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8F50" w14:textId="12B30EE6" w:rsidR="00226C5B" w:rsidRPr="00226C5B" w:rsidRDefault="00FD53FB" w:rsidP="009A4348">
      <w:pPr>
        <w:pStyle w:val="VCAADocumentsubtitle"/>
      </w:pPr>
      <w:r>
        <w:t>Recovering from</w:t>
      </w:r>
      <w:r w:rsidR="00226C5B" w:rsidRPr="00C83199">
        <w:t xml:space="preserve"> bushfires</w:t>
      </w:r>
    </w:p>
    <w:p w14:paraId="4518E601" w14:textId="714264FA" w:rsidR="008D3D43" w:rsidRPr="00C83199" w:rsidRDefault="008D3D43" w:rsidP="008D3D43">
      <w:pPr>
        <w:pStyle w:val="VCAAHeading1"/>
      </w:pPr>
      <w:r>
        <w:t>Lesson: Commemorating</w:t>
      </w:r>
      <w:r w:rsidR="00A1388C">
        <w:t xml:space="preserve"> the</w:t>
      </w:r>
      <w:r>
        <w:t xml:space="preserve"> Black Saturday bushfires </w:t>
      </w:r>
      <w:r w:rsidR="00A1388C">
        <w:t xml:space="preserve">in </w:t>
      </w:r>
      <w:r>
        <w:t>2019</w:t>
      </w:r>
    </w:p>
    <w:p w14:paraId="673C8343" w14:textId="77777777" w:rsidR="008D3D43" w:rsidRDefault="008D3D43" w:rsidP="008D3D43">
      <w:pPr>
        <w:pStyle w:val="VCAAHeading2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F660FAB" wp14:editId="29DF2D58">
            <wp:simplePos x="0" y="0"/>
            <wp:positionH relativeFrom="column">
              <wp:posOffset>2946400</wp:posOffset>
            </wp:positionH>
            <wp:positionV relativeFrom="paragraph">
              <wp:posOffset>135749</wp:posOffset>
            </wp:positionV>
            <wp:extent cx="3228975" cy="2145476"/>
            <wp:effectExtent l="0" t="0" r="0" b="762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28975" cy="2145476"/>
                    </a:xfrm>
                    <a:prstGeom prst="rect">
                      <a:avLst/>
                    </a:prstGeom>
                    <a:noFill/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>Overview</w:t>
      </w:r>
    </w:p>
    <w:p w14:paraId="17848572" w14:textId="77777777" w:rsidR="008D3D43" w:rsidRPr="00AD3B69" w:rsidRDefault="008D3D43" w:rsidP="008D3D43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5 and 6 </w:t>
      </w:r>
    </w:p>
    <w:p w14:paraId="520033AA" w14:textId="77777777" w:rsidR="008D3D43" w:rsidRPr="00226C5B" w:rsidRDefault="008D3D43" w:rsidP="008D3D43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6CCAE502" w14:textId="77777777" w:rsidR="008D3D43" w:rsidRPr="00860259" w:rsidRDefault="008D3D43" w:rsidP="008D3D43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3EC07F47" w14:textId="77777777" w:rsidR="008D3D43" w:rsidRDefault="008D3D43" w:rsidP="008D3D43">
      <w:pPr>
        <w:pStyle w:val="VCAAbody"/>
        <w:rPr>
          <w:noProof/>
          <w:lang w:val="en-AU"/>
        </w:rPr>
      </w:pPr>
      <w:r>
        <w:rPr>
          <w:noProof/>
          <w:lang w:val="en-AU"/>
        </w:rPr>
        <w:t xml:space="preserve">Civics </w:t>
      </w:r>
      <w:r w:rsidRPr="000E327A">
        <w:t>and</w:t>
      </w:r>
      <w:r>
        <w:rPr>
          <w:noProof/>
          <w:lang w:val="en-AU"/>
        </w:rPr>
        <w:t xml:space="preserve"> Citizenship, Levels 5 and 6</w:t>
      </w:r>
    </w:p>
    <w:p w14:paraId="79DFA2E0" w14:textId="77777777" w:rsidR="008D3D43" w:rsidRPr="000E327A" w:rsidRDefault="008D3D43" w:rsidP="008D3D43">
      <w:pPr>
        <w:pStyle w:val="VCAAcontentdescription"/>
      </w:pPr>
      <w:r w:rsidRPr="000E327A">
        <w:t>Citizenship, Diversity and Identity</w:t>
      </w:r>
    </w:p>
    <w:p w14:paraId="137874A6" w14:textId="77777777" w:rsidR="008D3D43" w:rsidRPr="000E327A" w:rsidRDefault="008D3D43" w:rsidP="008D3D43">
      <w:pPr>
        <w:pStyle w:val="VCAAcontentdescription"/>
      </w:pPr>
      <w:r w:rsidRPr="000E327A">
        <w:t>Investigate how people with shared beliefs and values work together to achieve their goals and plan for action </w:t>
      </w:r>
      <w:hyperlink r:id="rId12" w:tooltip="View elaborations and additional details of VCCCC016" w:history="1">
        <w:r w:rsidRPr="000E327A">
          <w:rPr>
            <w:rStyle w:val="Hyperlink"/>
            <w:color w:val="auto"/>
            <w:u w:val="none"/>
          </w:rPr>
          <w:t>(</w:t>
        </w:r>
        <w:r w:rsidRPr="000E327A">
          <w:rPr>
            <w:rStyle w:val="Hyperlink"/>
          </w:rPr>
          <w:t>VCCCC016</w:t>
        </w:r>
        <w:r w:rsidRPr="000E327A">
          <w:rPr>
            <w:rStyle w:val="Hyperlink"/>
            <w:color w:val="auto"/>
            <w:u w:val="none"/>
          </w:rPr>
          <w:t>)</w:t>
        </w:r>
      </w:hyperlink>
    </w:p>
    <w:p w14:paraId="0F1FAECB" w14:textId="77777777" w:rsidR="008D3D43" w:rsidRPr="000E327A" w:rsidRDefault="008D3D43" w:rsidP="008D3D43">
      <w:pPr>
        <w:pStyle w:val="VCAAbody"/>
      </w:pPr>
      <w:r w:rsidRPr="000E327A">
        <w:t>English</w:t>
      </w:r>
      <w:r>
        <w:t>,</w:t>
      </w:r>
      <w:r w:rsidRPr="000E327A">
        <w:t xml:space="preserve"> Level 5</w:t>
      </w:r>
    </w:p>
    <w:p w14:paraId="4D8154D9" w14:textId="77777777" w:rsidR="008D3D43" w:rsidRPr="000E327A" w:rsidRDefault="008D3D43" w:rsidP="008D3D43">
      <w:pPr>
        <w:pStyle w:val="VCAAcontentdescription"/>
      </w:pPr>
      <w:r w:rsidRPr="000E327A">
        <w:t>Reading and Viewing</w:t>
      </w:r>
    </w:p>
    <w:p w14:paraId="75A0DE06" w14:textId="77777777" w:rsidR="008D3D43" w:rsidRPr="00112B0C" w:rsidRDefault="008D3D43" w:rsidP="008D3D43">
      <w:pPr>
        <w:pStyle w:val="VCAAcontentdescription"/>
      </w:pPr>
      <w:r w:rsidRPr="000E327A">
        <w:t xml:space="preserve">Use comprehension strategies to </w:t>
      </w:r>
      <w:proofErr w:type="spellStart"/>
      <w:r w:rsidRPr="000E327A">
        <w:t>analyse</w:t>
      </w:r>
      <w:proofErr w:type="spellEnd"/>
      <w:r w:rsidRPr="000E327A">
        <w:t xml:space="preserve"> information, integrating and linking ideas from a variety of print and digital sources</w:t>
      </w:r>
      <w:r>
        <w:t xml:space="preserve"> </w:t>
      </w:r>
      <w:hyperlink r:id="rId13" w:tooltip="View elaborations and additional details of VCELY319" w:history="1">
        <w:r w:rsidRPr="000E327A">
          <w:rPr>
            <w:rStyle w:val="Hyperlink"/>
            <w:color w:val="auto"/>
            <w:u w:val="none"/>
          </w:rPr>
          <w:t>(</w:t>
        </w:r>
        <w:r w:rsidRPr="000E327A">
          <w:rPr>
            <w:rStyle w:val="Hyperlink"/>
          </w:rPr>
          <w:t>VCELY319</w:t>
        </w:r>
        <w:r w:rsidRPr="000E327A">
          <w:rPr>
            <w:rStyle w:val="Hyperlink"/>
            <w:color w:val="auto"/>
            <w:u w:val="none"/>
          </w:rPr>
          <w:t>)</w:t>
        </w:r>
      </w:hyperlink>
      <w:bookmarkStart w:id="0" w:name="_GoBack"/>
      <w:bookmarkEnd w:id="0"/>
    </w:p>
    <w:p w14:paraId="37727A2D" w14:textId="77777777" w:rsidR="008D3D43" w:rsidRPr="00226C5B" w:rsidRDefault="008D3D43" w:rsidP="008D3D43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3DC5DCB3" w14:textId="66F6E830" w:rsidR="008D3D43" w:rsidRDefault="008D3D43" w:rsidP="008D3D43">
      <w:pPr>
        <w:pStyle w:val="VCAAbody"/>
        <w:rPr>
          <w:b/>
        </w:rPr>
      </w:pPr>
      <w:r w:rsidRPr="00735211">
        <w:rPr>
          <w:noProof/>
          <w:lang w:val="en-AU"/>
        </w:rPr>
        <w:t xml:space="preserve">Students look at the </w:t>
      </w:r>
      <w:r w:rsidR="00A1388C">
        <w:rPr>
          <w:noProof/>
          <w:lang w:val="en-AU"/>
        </w:rPr>
        <w:t>c</w:t>
      </w:r>
      <w:r>
        <w:rPr>
          <w:noProof/>
          <w:lang w:val="en-AU"/>
        </w:rPr>
        <w:t>ommemoration of Black Saturday in 2019</w:t>
      </w:r>
      <w:r w:rsidR="00A1388C">
        <w:rPr>
          <w:noProof/>
          <w:lang w:val="en-AU"/>
        </w:rPr>
        <w:t xml:space="preserve"> – 10 years after the fires –</w:t>
      </w:r>
      <w:r>
        <w:rPr>
          <w:noProof/>
          <w:lang w:val="en-AU"/>
        </w:rPr>
        <w:t xml:space="preserve"> and the roles that commemoration plays in the community, both for those directly affected and the broader community.</w:t>
      </w:r>
      <w:r w:rsidRPr="00226C5B">
        <w:rPr>
          <w:b/>
        </w:rPr>
        <w:t xml:space="preserve"> </w:t>
      </w:r>
    </w:p>
    <w:p w14:paraId="6AB09C63" w14:textId="77777777" w:rsidR="008D3D43" w:rsidRPr="00226C5B" w:rsidRDefault="008D3D43" w:rsidP="008D3D43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146C683F" w14:textId="77777777" w:rsidR="008D3D43" w:rsidRPr="000E327A" w:rsidRDefault="008D3D43" w:rsidP="008D3D43">
      <w:pPr>
        <w:pStyle w:val="VCAAbullet"/>
        <w:spacing w:before="120" w:after="120"/>
        <w:ind w:left="360" w:hanging="360"/>
      </w:pPr>
      <w:r w:rsidRPr="000E327A">
        <w:t>Whiteboard, IWB or poster paper</w:t>
      </w:r>
      <w:r>
        <w:t>, and appropriate markers</w:t>
      </w:r>
    </w:p>
    <w:p w14:paraId="1DE7EA0B" w14:textId="77777777" w:rsidR="008D3D43" w:rsidRPr="000E327A" w:rsidRDefault="008D3D43" w:rsidP="008D3D43">
      <w:pPr>
        <w:pStyle w:val="VCAAbullet"/>
        <w:spacing w:before="120" w:after="120"/>
        <w:ind w:left="360" w:hanging="360"/>
      </w:pPr>
      <w:r w:rsidRPr="000E327A">
        <w:rPr>
          <w:rFonts w:eastAsia="Calibri"/>
        </w:rPr>
        <w:t>Materials as selected for recording student responses</w:t>
      </w:r>
      <w:r>
        <w:rPr>
          <w:rFonts w:eastAsia="Calibri"/>
        </w:rPr>
        <w:t>,</w:t>
      </w:r>
      <w:r w:rsidRPr="000E327A">
        <w:rPr>
          <w:rFonts w:eastAsia="Calibri"/>
        </w:rPr>
        <w:t xml:space="preserve"> </w:t>
      </w:r>
      <w:r>
        <w:rPr>
          <w:rFonts w:eastAsia="Calibri"/>
        </w:rPr>
        <w:t>e</w:t>
      </w:r>
      <w:r w:rsidRPr="000E327A">
        <w:rPr>
          <w:rFonts w:eastAsia="Calibri"/>
        </w:rPr>
        <w:t>.g. workbooks and markers, tablets, recording devices</w:t>
      </w:r>
    </w:p>
    <w:p w14:paraId="650A6177" w14:textId="77777777" w:rsidR="008D3D43" w:rsidRPr="000E327A" w:rsidRDefault="008D3D43" w:rsidP="008D3D43">
      <w:pPr>
        <w:pStyle w:val="VCAAbullet"/>
        <w:spacing w:before="120" w:after="120"/>
        <w:ind w:left="360" w:hanging="360"/>
      </w:pPr>
      <w:r w:rsidRPr="00A16B0E">
        <w:t xml:space="preserve">Online resources such as the images and linked resources listed in the </w:t>
      </w:r>
      <w:hyperlink r:id="rId14" w:history="1">
        <w:r w:rsidRPr="005E7A88">
          <w:rPr>
            <w:rStyle w:val="Hyperlink"/>
          </w:rPr>
          <w:t>Resources</w:t>
        </w:r>
      </w:hyperlink>
      <w:r w:rsidRPr="00A16B0E">
        <w:t xml:space="preserve"> section of the </w:t>
      </w:r>
      <w:r>
        <w:t xml:space="preserve">VCAA </w:t>
      </w:r>
      <w:r w:rsidRPr="00A16B0E">
        <w:t>Bushfire Education web</w:t>
      </w:r>
      <w:r>
        <w:t>pages</w:t>
      </w:r>
    </w:p>
    <w:p w14:paraId="5A49F848" w14:textId="77777777" w:rsidR="008D3D43" w:rsidRDefault="008D3D43" w:rsidP="008D3D43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62C6CB21" w14:textId="77777777" w:rsidR="008D3D43" w:rsidRPr="00860259" w:rsidRDefault="008D3D43" w:rsidP="008D3D43">
      <w:pPr>
        <w:pStyle w:val="VCAAHeading1"/>
      </w:pPr>
      <w:r w:rsidRPr="00860259">
        <w:lastRenderedPageBreak/>
        <w:t>Activities</w:t>
      </w:r>
    </w:p>
    <w:p w14:paraId="7F6B9D2E" w14:textId="77777777" w:rsidR="008D3D43" w:rsidRPr="00574E25" w:rsidRDefault="008D3D43" w:rsidP="008D3D43">
      <w:pPr>
        <w:pStyle w:val="VCAAHeading2"/>
      </w:pPr>
      <w:r w:rsidRPr="00860259">
        <w:t>Starting</w:t>
      </w:r>
    </w:p>
    <w:p w14:paraId="5E79F900" w14:textId="77777777" w:rsidR="008D3D43" w:rsidRPr="00735211" w:rsidRDefault="008D3D43" w:rsidP="008D3D43">
      <w:pPr>
        <w:pStyle w:val="VCAAbody"/>
        <w:rPr>
          <w:noProof/>
          <w:lang w:val="en-AU"/>
        </w:rPr>
      </w:pPr>
      <w:r>
        <w:rPr>
          <w:noProof/>
          <w:lang w:val="en-AU"/>
        </w:rPr>
        <w:t>C</w:t>
      </w:r>
      <w:r w:rsidRPr="00735211">
        <w:rPr>
          <w:noProof/>
          <w:lang w:val="en-AU"/>
        </w:rPr>
        <w:t xml:space="preserve">onduct a </w:t>
      </w:r>
      <w:r>
        <w:rPr>
          <w:noProof/>
          <w:lang w:val="en-AU"/>
        </w:rPr>
        <w:t xml:space="preserve">class </w:t>
      </w:r>
      <w:r w:rsidRPr="00735211">
        <w:rPr>
          <w:noProof/>
          <w:lang w:val="en-AU"/>
        </w:rPr>
        <w:t xml:space="preserve">discussion: </w:t>
      </w:r>
    </w:p>
    <w:p w14:paraId="0852689E" w14:textId="77777777" w:rsidR="008D3D43" w:rsidRPr="00A16B0E" w:rsidRDefault="008D3D43" w:rsidP="008D3D43">
      <w:pPr>
        <w:pStyle w:val="VCAAbullet"/>
        <w:spacing w:before="120" w:after="120"/>
        <w:ind w:left="360" w:hanging="360"/>
      </w:pPr>
      <w:r w:rsidRPr="00A16B0E">
        <w:t>How do we remember significant events and lives in Australia?</w:t>
      </w:r>
    </w:p>
    <w:p w14:paraId="5C84334A" w14:textId="77777777" w:rsidR="008D3D43" w:rsidRPr="00A16B0E" w:rsidRDefault="008D3D43" w:rsidP="008D3D43">
      <w:pPr>
        <w:pStyle w:val="VCAAbullet"/>
        <w:spacing w:before="120" w:after="120"/>
        <w:ind w:left="360" w:hanging="360"/>
      </w:pPr>
      <w:r w:rsidRPr="00A16B0E">
        <w:t xml:space="preserve">What does </w:t>
      </w:r>
      <w:r>
        <w:t>‘</w:t>
      </w:r>
      <w:r w:rsidRPr="00A16B0E">
        <w:t>commemorate</w:t>
      </w:r>
      <w:r>
        <w:t>’</w:t>
      </w:r>
      <w:r w:rsidRPr="00A16B0E">
        <w:t xml:space="preserve"> mean?</w:t>
      </w:r>
    </w:p>
    <w:p w14:paraId="56B07912" w14:textId="77777777" w:rsidR="008D3D43" w:rsidRDefault="008D3D43" w:rsidP="008D3D43">
      <w:pPr>
        <w:pStyle w:val="VCAAbody"/>
        <w:rPr>
          <w:noProof/>
          <w:lang w:val="en-AU"/>
        </w:rPr>
      </w:pPr>
      <w:r w:rsidRPr="00735211">
        <w:rPr>
          <w:noProof/>
          <w:lang w:val="en-AU"/>
        </w:rPr>
        <w:t>Share and record resp</w:t>
      </w:r>
      <w:r>
        <w:rPr>
          <w:noProof/>
          <w:lang w:val="en-AU"/>
        </w:rPr>
        <w:t xml:space="preserve">onses </w:t>
      </w:r>
      <w:r w:rsidRPr="00A16B0E">
        <w:t>and</w:t>
      </w:r>
      <w:r>
        <w:rPr>
          <w:noProof/>
          <w:lang w:val="en-AU"/>
        </w:rPr>
        <w:t xml:space="preserve"> ideas</w:t>
      </w:r>
      <w:r w:rsidRPr="00735211">
        <w:rPr>
          <w:noProof/>
          <w:lang w:val="en-AU"/>
        </w:rPr>
        <w:t>.</w:t>
      </w:r>
      <w:r>
        <w:rPr>
          <w:noProof/>
          <w:lang w:val="en-AU"/>
        </w:rPr>
        <w:t xml:space="preserve"> This might include public holidays, special ceremonies, construction of memorials, etc.</w:t>
      </w:r>
    </w:p>
    <w:p w14:paraId="4B21838D" w14:textId="77777777" w:rsidR="008D3D43" w:rsidRDefault="008D3D43" w:rsidP="008D3D43">
      <w:pPr>
        <w:pStyle w:val="VCAAbody"/>
        <w:rPr>
          <w:noProof/>
          <w:lang w:val="en-AU"/>
        </w:rPr>
      </w:pPr>
      <w:r>
        <w:rPr>
          <w:noProof/>
          <w:lang w:val="en-AU"/>
        </w:rPr>
        <w:t>Make clear the difference between commemoration and celebration, e.g. we commemorate the sacrifices made by people on Anzac Day, but we celebrate Australia Day.</w:t>
      </w:r>
    </w:p>
    <w:p w14:paraId="5FC09428" w14:textId="77777777" w:rsidR="008D3D43" w:rsidRPr="00A16B0E" w:rsidRDefault="008D3D43" w:rsidP="008D3D43">
      <w:pPr>
        <w:pStyle w:val="VCAAbody"/>
      </w:pPr>
      <w:r w:rsidRPr="00A16B0E">
        <w:t>Commemorate means to take notice of or remember a significant event or person. This might involve having a special ceremony, building a memorial, putting a person’s picture or name on something (e.g.</w:t>
      </w:r>
      <w:r>
        <w:t xml:space="preserve"> </w:t>
      </w:r>
      <w:r w:rsidRPr="00A16B0E">
        <w:t>a street, a stamp or a banknote or coin), or giving them an award.</w:t>
      </w:r>
    </w:p>
    <w:p w14:paraId="7A00BDDC" w14:textId="77777777" w:rsidR="008D3D43" w:rsidRPr="00860259" w:rsidRDefault="008D3D43" w:rsidP="008D3D43">
      <w:pPr>
        <w:pStyle w:val="VCAAHeading2"/>
      </w:pPr>
      <w:r w:rsidRPr="00860259">
        <w:t>Exploring</w:t>
      </w:r>
    </w:p>
    <w:p w14:paraId="0980A061" w14:textId="77777777" w:rsidR="008D3D43" w:rsidRPr="003510BD" w:rsidRDefault="008D3D43" w:rsidP="008D3D43">
      <w:pPr>
        <w:pStyle w:val="VCAAbody"/>
      </w:pPr>
      <w:r w:rsidRPr="00A16B0E">
        <w:t>Read</w:t>
      </w:r>
      <w:r>
        <w:rPr>
          <w:noProof/>
          <w:lang w:val="en-AU"/>
        </w:rPr>
        <w:t xml:space="preserve"> the article ‘</w:t>
      </w:r>
      <w:hyperlink r:id="rId15" w:history="1">
        <w:r w:rsidRPr="00B26B43">
          <w:rPr>
            <w:rStyle w:val="Hyperlink"/>
          </w:rPr>
          <w:t>Black Saturday fires commemoration highlights kindness and recovery</w:t>
        </w:r>
      </w:hyperlink>
      <w:r>
        <w:rPr>
          <w:noProof/>
          <w:lang w:val="en-AU"/>
        </w:rPr>
        <w:t xml:space="preserve">’ with students and watch the short video contained in the article. </w:t>
      </w:r>
    </w:p>
    <w:p w14:paraId="26955BAB" w14:textId="77777777" w:rsidR="008D3D43" w:rsidRPr="003510BD" w:rsidRDefault="008D3D43" w:rsidP="008D3D43">
      <w:pPr>
        <w:pStyle w:val="VCAAbody"/>
        <w:rPr>
          <w:noProof/>
          <w:lang w:val="en-AU"/>
        </w:rPr>
      </w:pPr>
      <w:r w:rsidRPr="003510BD">
        <w:t>Discuss with students:</w:t>
      </w:r>
    </w:p>
    <w:p w14:paraId="4AEA6BF6" w14:textId="77777777" w:rsidR="008D3D43" w:rsidRPr="00A16B0E" w:rsidRDefault="008D3D43" w:rsidP="008D3D43">
      <w:pPr>
        <w:pStyle w:val="VCAAbullet"/>
        <w:spacing w:before="120" w:after="120"/>
        <w:ind w:left="360" w:hanging="360"/>
      </w:pPr>
      <w:r w:rsidRPr="00A16B0E">
        <w:t>the purpose of the ceremony</w:t>
      </w:r>
    </w:p>
    <w:p w14:paraId="1E3CA917" w14:textId="77777777" w:rsidR="008D3D43" w:rsidRPr="00A16B0E" w:rsidRDefault="008D3D43" w:rsidP="008D3D43">
      <w:pPr>
        <w:pStyle w:val="VCAAbullet"/>
        <w:spacing w:before="120" w:after="120"/>
        <w:ind w:left="360" w:hanging="360"/>
      </w:pPr>
      <w:r w:rsidRPr="00A16B0E">
        <w:t>the things that helped people recover</w:t>
      </w:r>
    </w:p>
    <w:p w14:paraId="182FA057" w14:textId="77777777" w:rsidR="008D3D43" w:rsidRPr="00A16B0E" w:rsidRDefault="008D3D43" w:rsidP="008D3D43">
      <w:pPr>
        <w:pStyle w:val="VCAAbullet"/>
        <w:spacing w:before="120" w:after="120"/>
        <w:ind w:left="360" w:hanging="360"/>
      </w:pPr>
      <w:r w:rsidRPr="00A16B0E">
        <w:t>the symbolism of the map of Victoria</w:t>
      </w:r>
    </w:p>
    <w:p w14:paraId="7626D9EE" w14:textId="77777777" w:rsidR="008D3D43" w:rsidRPr="00A16B0E" w:rsidRDefault="008D3D43" w:rsidP="008D3D43">
      <w:pPr>
        <w:pStyle w:val="VCAAbullet"/>
        <w:spacing w:before="120" w:after="120"/>
        <w:ind w:left="360" w:hanging="360"/>
      </w:pPr>
      <w:r w:rsidRPr="00A16B0E">
        <w:t>the importance of remembering.</w:t>
      </w:r>
    </w:p>
    <w:p w14:paraId="4B8385BB" w14:textId="77777777" w:rsidR="008D3D43" w:rsidRDefault="008D3D43" w:rsidP="008D3D43">
      <w:pPr>
        <w:pStyle w:val="VCAAHeading2"/>
      </w:pPr>
      <w:r w:rsidRPr="00860259">
        <w:t xml:space="preserve">Bringing it </w:t>
      </w:r>
      <w:r w:rsidRPr="004B0859">
        <w:t>together</w:t>
      </w:r>
    </w:p>
    <w:p w14:paraId="0FAE43F5" w14:textId="77777777" w:rsidR="008D3D43" w:rsidRDefault="008D3D43" w:rsidP="008D3D43">
      <w:pPr>
        <w:pStyle w:val="VCAAbody"/>
        <w:rPr>
          <w:rFonts w:eastAsia="Calibri"/>
          <w:noProof/>
          <w:lang w:val="en-AU"/>
        </w:rPr>
      </w:pPr>
      <w:r>
        <w:rPr>
          <w:noProof/>
          <w:lang w:val="en-AU"/>
        </w:rPr>
        <w:t>Working in pairs, have students research one or more of the bushfire memorials from the 2009 bushfires</w:t>
      </w:r>
      <w:r>
        <w:rPr>
          <w:rFonts w:eastAsia="Calibri"/>
          <w:noProof/>
          <w:lang w:val="en-AU"/>
        </w:rPr>
        <w:t xml:space="preserve"> (see </w:t>
      </w:r>
      <w:hyperlink r:id="rId16" w:history="1">
        <w:r w:rsidRPr="00F82DB3">
          <w:rPr>
            <w:rStyle w:val="Hyperlink"/>
          </w:rPr>
          <w:t>2009 Bushfire Memorials</w:t>
        </w:r>
      </w:hyperlink>
      <w:r>
        <w:rPr>
          <w:rFonts w:eastAsia="Calibri"/>
          <w:noProof/>
          <w:lang w:val="en-AU"/>
        </w:rPr>
        <w:t>, Regional Development Victoria).</w:t>
      </w:r>
    </w:p>
    <w:p w14:paraId="2B71CC7F" w14:textId="77777777" w:rsidR="008D3D43" w:rsidRPr="00E64595" w:rsidRDefault="008D3D43" w:rsidP="008D3D43">
      <w:pPr>
        <w:pStyle w:val="VCAAbody"/>
      </w:pPr>
      <w:r>
        <w:t>Students report back to the class on the nature and feature of their memorial:</w:t>
      </w:r>
    </w:p>
    <w:p w14:paraId="47BEEA58" w14:textId="77777777" w:rsidR="008D3D43" w:rsidRDefault="008D3D43" w:rsidP="008D3D43">
      <w:pPr>
        <w:pStyle w:val="VCAAbullet"/>
        <w:spacing w:before="120" w:after="120"/>
        <w:ind w:left="360" w:hanging="360"/>
      </w:pPr>
      <w:r>
        <w:t>What does the memorial look like? (Include an appropriate image.)</w:t>
      </w:r>
    </w:p>
    <w:p w14:paraId="02311361" w14:textId="77777777" w:rsidR="008D3D43" w:rsidRPr="00E64595" w:rsidRDefault="008D3D43" w:rsidP="008D3D43">
      <w:pPr>
        <w:pStyle w:val="VCAAbullet"/>
        <w:spacing w:before="120" w:after="120"/>
        <w:ind w:left="360" w:hanging="360"/>
      </w:pPr>
      <w:r w:rsidRPr="00E64595">
        <w:t xml:space="preserve">What are the </w:t>
      </w:r>
      <w:r>
        <w:t xml:space="preserve">special </w:t>
      </w:r>
      <w:r w:rsidRPr="00E64595">
        <w:t>features of the memorial?</w:t>
      </w:r>
    </w:p>
    <w:p w14:paraId="2FC128CF" w14:textId="77777777" w:rsidR="008D3D43" w:rsidRPr="00E64595" w:rsidRDefault="008D3D43" w:rsidP="008D3D43">
      <w:pPr>
        <w:pStyle w:val="VCAAbullet"/>
        <w:spacing w:before="120" w:after="120"/>
        <w:ind w:left="360" w:hanging="360"/>
        <w:rPr>
          <w:rFonts w:eastAsia="Calibri"/>
          <w:noProof/>
          <w:lang w:val="en-AU"/>
        </w:rPr>
      </w:pPr>
      <w:r w:rsidRPr="00E64595">
        <w:t xml:space="preserve">What does the memorial </w:t>
      </w:r>
      <w:r>
        <w:t>symbolis</w:t>
      </w:r>
      <w:r w:rsidRPr="00E64595">
        <w:t>e?</w:t>
      </w:r>
    </w:p>
    <w:p w14:paraId="20476C5D" w14:textId="77777777" w:rsidR="008D3D43" w:rsidRDefault="008D3D43" w:rsidP="008D3D43">
      <w:pPr>
        <w:pStyle w:val="VCAAbody"/>
      </w:pPr>
      <w:r>
        <w:t xml:space="preserve">Discuss: </w:t>
      </w:r>
    </w:p>
    <w:p w14:paraId="6F14EA1F" w14:textId="77777777" w:rsidR="008D3D43" w:rsidRPr="000E327A" w:rsidRDefault="008D3D43" w:rsidP="008D3D43">
      <w:pPr>
        <w:pStyle w:val="VCAAbullet"/>
        <w:spacing w:before="120" w:after="120"/>
        <w:ind w:left="360" w:hanging="360"/>
        <w:rPr>
          <w:lang w:val="en-AU"/>
        </w:rPr>
      </w:pPr>
      <w:r>
        <w:t>What impact might the construction of a memorial have on the local community?</w:t>
      </w:r>
    </w:p>
    <w:p w14:paraId="1066AC43" w14:textId="77777777" w:rsidR="008D3D43" w:rsidRPr="00860259" w:rsidRDefault="008D3D43" w:rsidP="008D3D43">
      <w:pPr>
        <w:pStyle w:val="VCAAHeading2"/>
      </w:pPr>
      <w:r w:rsidRPr="00860259">
        <w:t>Extending</w:t>
      </w:r>
    </w:p>
    <w:p w14:paraId="4DEB49B3" w14:textId="77777777" w:rsidR="008D3D43" w:rsidRPr="00F32F16" w:rsidRDefault="008D3D43" w:rsidP="008D3D43">
      <w:pPr>
        <w:pStyle w:val="VCAAbody"/>
      </w:pPr>
      <w:r>
        <w:t xml:space="preserve">Option </w:t>
      </w:r>
      <w:r w:rsidRPr="00F32F16">
        <w:t>A:</w:t>
      </w:r>
      <w:r>
        <w:t xml:space="preserve"> </w:t>
      </w:r>
      <w:r w:rsidRPr="00F32F16">
        <w:t xml:space="preserve">Have </w:t>
      </w:r>
      <w:r w:rsidRPr="00A16B0E">
        <w:t>students</w:t>
      </w:r>
      <w:r w:rsidRPr="00F32F16">
        <w:t xml:space="preserve"> view</w:t>
      </w:r>
      <w:r>
        <w:t xml:space="preserve"> </w:t>
      </w:r>
      <w:r>
        <w:rPr>
          <w:rStyle w:val="Hyperlink"/>
        </w:rPr>
        <w:t>‘</w:t>
      </w:r>
      <w:hyperlink r:id="rId17" w:history="1">
        <w:r w:rsidRPr="006C2358">
          <w:rPr>
            <w:rStyle w:val="Hyperlink"/>
          </w:rPr>
          <w:t>Black Saturday horror and hope remembered</w:t>
        </w:r>
      </w:hyperlink>
      <w:r>
        <w:rPr>
          <w:rStyle w:val="Hyperlink"/>
        </w:rPr>
        <w:t>’</w:t>
      </w:r>
      <w:r w:rsidRPr="00F32F16">
        <w:t xml:space="preserve"> and discuss the various messages that people from Marysville </w:t>
      </w:r>
      <w:r>
        <w:t>present</w:t>
      </w:r>
      <w:r w:rsidRPr="00F32F16">
        <w:t xml:space="preserve"> on the </w:t>
      </w:r>
      <w:r>
        <w:t>ten</w:t>
      </w:r>
      <w:r w:rsidRPr="00F32F16">
        <w:t>th anniversary of Black Saturday. How do the people interviewed view their recovery</w:t>
      </w:r>
      <w:r>
        <w:t>?</w:t>
      </w:r>
    </w:p>
    <w:p w14:paraId="762BE8D8" w14:textId="0C40A668" w:rsidR="002647BB" w:rsidRPr="008D3D43" w:rsidRDefault="008D3D43" w:rsidP="008D3D43">
      <w:pPr>
        <w:pStyle w:val="VCAAbody"/>
      </w:pPr>
      <w:r>
        <w:t xml:space="preserve">Option </w:t>
      </w:r>
      <w:r w:rsidRPr="00F32F16">
        <w:t xml:space="preserve">B: News media </w:t>
      </w:r>
      <w:r>
        <w:t xml:space="preserve">staff </w:t>
      </w:r>
      <w:r w:rsidRPr="00F32F16">
        <w:t>covering the bushfires were also deeply affected by the tragedy. Have students read and listen</w:t>
      </w:r>
      <w:r>
        <w:t xml:space="preserve"> to</w:t>
      </w:r>
      <w:r w:rsidRPr="00F32F16">
        <w:t xml:space="preserve"> </w:t>
      </w:r>
      <w:r>
        <w:rPr>
          <w:rStyle w:val="Hyperlink"/>
        </w:rPr>
        <w:t>‘“</w:t>
      </w:r>
      <w:hyperlink r:id="rId18" w:history="1">
        <w:r w:rsidRPr="006C2358">
          <w:rPr>
            <w:rStyle w:val="Hyperlink"/>
          </w:rPr>
          <w:t>We were people first, reporters second</w:t>
        </w:r>
        <w:r>
          <w:rPr>
            <w:rStyle w:val="Hyperlink"/>
          </w:rPr>
          <w:t>”</w:t>
        </w:r>
        <w:r w:rsidRPr="006C2358">
          <w:rPr>
            <w:rStyle w:val="Hyperlink"/>
          </w:rPr>
          <w:t xml:space="preserve">: ABC news teams and broadcasters reflect on </w:t>
        </w:r>
        <w:r w:rsidRPr="006C2358">
          <w:rPr>
            <w:rStyle w:val="Hyperlink"/>
          </w:rPr>
          <w:lastRenderedPageBreak/>
          <w:t>covering Black Saturday</w:t>
        </w:r>
      </w:hyperlink>
      <w:r>
        <w:rPr>
          <w:rStyle w:val="Hyperlink"/>
        </w:rPr>
        <w:t>’</w:t>
      </w:r>
      <w:r>
        <w:t xml:space="preserve">. </w:t>
      </w:r>
      <w:r w:rsidRPr="00F32F16">
        <w:t>What were the responses of media</w:t>
      </w:r>
      <w:r>
        <w:t xml:space="preserve"> staff</w:t>
      </w:r>
      <w:r w:rsidRPr="00F32F16">
        <w:t xml:space="preserve"> to the tragedy? How did they share the feelings of the community in covering the tragedy?</w:t>
      </w:r>
    </w:p>
    <w:sectPr w:rsidR="002647BB" w:rsidRPr="008D3D43" w:rsidSect="007A47D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5FEECF66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1388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C950" w14:textId="6B6785EC" w:rsidR="007A47D1" w:rsidRPr="007A47D1" w:rsidRDefault="00A1388C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D3D43">
          <w:rPr>
            <w:rFonts w:ascii="Arial" w:eastAsia="Arial" w:hAnsi="Arial" w:cs="Arial"/>
            <w:color w:val="999999"/>
            <w:sz w:val="18"/>
            <w:szCs w:val="18"/>
          </w:rPr>
          <w:t xml:space="preserve">Commemorating </w:t>
        </w:r>
        <w:r>
          <w:rPr>
            <w:rFonts w:ascii="Arial" w:eastAsia="Arial" w:hAnsi="Arial" w:cs="Arial"/>
            <w:color w:val="999999"/>
            <w:sz w:val="18"/>
            <w:szCs w:val="18"/>
          </w:rPr>
          <w:t xml:space="preserve">the </w:t>
        </w:r>
        <w:r w:rsidR="008D3D43">
          <w:rPr>
            <w:rFonts w:ascii="Arial" w:eastAsia="Arial" w:hAnsi="Arial" w:cs="Arial"/>
            <w:color w:val="999999"/>
            <w:sz w:val="18"/>
            <w:szCs w:val="18"/>
          </w:rPr>
          <w:t xml:space="preserve">Black Saturday bushfires </w:t>
        </w:r>
        <w:r>
          <w:rPr>
            <w:rFonts w:ascii="Arial" w:eastAsia="Arial" w:hAnsi="Arial" w:cs="Arial"/>
            <w:color w:val="999999"/>
            <w:sz w:val="18"/>
            <w:szCs w:val="18"/>
          </w:rPr>
          <w:t xml:space="preserve">in </w:t>
        </w:r>
        <w:r w:rsidR="008D3D43">
          <w:rPr>
            <w:rFonts w:ascii="Arial" w:eastAsia="Arial" w:hAnsi="Arial" w:cs="Arial"/>
            <w:color w:val="999999"/>
            <w:sz w:val="18"/>
            <w:szCs w:val="18"/>
          </w:rPr>
          <w:t>2019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06DD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A90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49A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D3D43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388C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1388C"/>
  </w:style>
  <w:style w:type="character" w:default="1" w:styleId="DefaultParagraphFont">
    <w:name w:val="Default Paragraph Font"/>
    <w:uiPriority w:val="1"/>
    <w:semiHidden/>
    <w:unhideWhenUsed/>
    <w:rsid w:val="00A138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388C"/>
  </w:style>
  <w:style w:type="paragraph" w:styleId="Header">
    <w:name w:val="header"/>
    <w:basedOn w:val="Normal"/>
    <w:link w:val="HeaderChar"/>
    <w:uiPriority w:val="99"/>
    <w:semiHidden/>
    <w:rsid w:val="00A1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88C"/>
  </w:style>
  <w:style w:type="paragraph" w:styleId="Footer">
    <w:name w:val="footer"/>
    <w:basedOn w:val="Normal"/>
    <w:link w:val="FooterChar"/>
    <w:uiPriority w:val="99"/>
    <w:semiHidden/>
    <w:rsid w:val="00A1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88C"/>
  </w:style>
  <w:style w:type="paragraph" w:styleId="BalloonText">
    <w:name w:val="Balloon Text"/>
    <w:basedOn w:val="Normal"/>
    <w:link w:val="BalloonTextChar"/>
    <w:uiPriority w:val="99"/>
    <w:semiHidden/>
    <w:unhideWhenUsed/>
    <w:rsid w:val="00A1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8C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A1388C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A1388C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A1388C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A1388C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A1388C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A1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1388C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1388C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1388C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1388C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A1388C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1388C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A1388C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1388C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A1388C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A1388C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388C"/>
    <w:rPr>
      <w:color w:val="808080"/>
    </w:rPr>
  </w:style>
  <w:style w:type="table" w:styleId="LightShading">
    <w:name w:val="Light Shading"/>
    <w:basedOn w:val="TableNormal"/>
    <w:uiPriority w:val="60"/>
    <w:rsid w:val="00A138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A1388C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1388C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1388C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1388C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A1388C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1388C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1388C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A138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A1388C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A1388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388C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A1388C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A1388C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A1388C"/>
    <w:rPr>
      <w:i/>
    </w:rPr>
  </w:style>
  <w:style w:type="paragraph" w:customStyle="1" w:styleId="VCAADocumentsubtitle">
    <w:name w:val="VCAA Document subtitle"/>
    <w:basedOn w:val="Normal"/>
    <w:qFormat/>
    <w:rsid w:val="00A1388C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C6006F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A138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A1388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1388C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388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3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88C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A1388C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A1388C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A1388C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A1388C"/>
  </w:style>
  <w:style w:type="paragraph" w:customStyle="1" w:styleId="VCAAfigures">
    <w:name w:val="VCAA figures"/>
    <w:basedOn w:val="VCAAbody"/>
    <w:link w:val="VCAAfiguresChar"/>
    <w:qFormat/>
    <w:rsid w:val="00A1388C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A1388C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A1388C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A1388C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A1388C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A1388C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A1388C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A1388C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A1388C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88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88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8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388C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ELY319" TargetMode="External"/><Relationship Id="rId18" Type="http://schemas.openxmlformats.org/officeDocument/2006/relationships/hyperlink" Target="https://www.abc.net.au/news/about/backstory/news-coverage/2019-02-04/abc-news-and-radio-teams-remember-black-saturday-coverage/10772888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CCC016" TargetMode="External"/><Relationship Id="rId17" Type="http://schemas.openxmlformats.org/officeDocument/2006/relationships/hyperlink" Target="https://www.sbs.com.au/news/black-saturday-horror-and-hope-remembere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dv.vic.gov.au/resources/2009-bushfire-memorial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abc.net.au/news/2019-02-04/black-saturday-remembered-10-years-on/1076956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caa.vic.edu.au/curriculum/foundation-10/crosscurriculumresources/bushfireeductation/Pages/Resources.aspx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  <w:style w:type="paragraph" w:customStyle="1" w:styleId="0769881BA19B4E98ABB72AEA3A99DC1E">
    <w:name w:val="0769881BA19B4E98ABB72AEA3A99DC1E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2428-83D1-4388-8F0A-D209F3882B7F}"/>
</file>

<file path=customXml/itemProps2.xml><?xml version="1.0" encoding="utf-8"?>
<ds:datastoreItem xmlns:ds="http://schemas.openxmlformats.org/officeDocument/2006/customXml" ds:itemID="{37EF280C-389A-4C8D-89A3-15C62BD1748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aab662d-a6b2-42d6-996b-a574723d1ad8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A1ECD-39B6-4BEB-A9A5-42FF4499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Bushfires-template-2022-pink.dotx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Commemorating the Black Saturday bushfires in 2019</dc:title>
  <dc:creator/>
  <cp:keywords>Level 5, Level 6, Victorian Curriculum, Bushfire Education</cp:keywords>
  <cp:lastModifiedBy/>
  <cp:revision>1</cp:revision>
  <dcterms:created xsi:type="dcterms:W3CDTF">2022-03-15T23:33:00Z</dcterms:created>
  <dcterms:modified xsi:type="dcterms:W3CDTF">2022-05-02T02:09:00Z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