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A270B" w14:textId="77777777" w:rsidR="00A73907" w:rsidRPr="00073765" w:rsidRDefault="00A73907" w:rsidP="00A73907">
      <w:pPr>
        <w:pStyle w:val="VCAADocumenttitle"/>
      </w:pPr>
      <w:r w:rsidRPr="009A7618">
        <w:t>Professional learning activity: Teacher approaches to contemporary issues</w:t>
      </w:r>
      <w:bookmarkStart w:id="0" w:name="_GoBack"/>
      <w:bookmarkEnd w:id="0"/>
    </w:p>
    <w:p w14:paraId="0A18AC30" w14:textId="77777777" w:rsidR="00A73907" w:rsidRPr="009365EA" w:rsidRDefault="00A73907" w:rsidP="00A73907">
      <w:pPr>
        <w:pStyle w:val="VCAAbody"/>
      </w:pPr>
      <w:r w:rsidRPr="00D418CB">
        <w:rPr>
          <w:b/>
          <w:bCs/>
        </w:rPr>
        <w:t>Activity suggested duration:</w:t>
      </w:r>
      <w:r>
        <w:rPr>
          <w:b/>
          <w:bCs/>
        </w:rPr>
        <w:t xml:space="preserve"> </w:t>
      </w:r>
      <w:r>
        <w:t>30 minutes</w:t>
      </w:r>
    </w:p>
    <w:p w14:paraId="6F926315" w14:textId="77777777" w:rsidR="00A73907" w:rsidRPr="00D418CB" w:rsidRDefault="00A73907" w:rsidP="00A73907">
      <w:pPr>
        <w:pStyle w:val="VCAAbody"/>
        <w:rPr>
          <w:b/>
          <w:bCs/>
        </w:rPr>
      </w:pPr>
      <w:r>
        <w:rPr>
          <w:b/>
          <w:bCs/>
        </w:rPr>
        <w:t>Activity description:</w:t>
      </w:r>
      <w:r w:rsidRPr="009365EA">
        <w:t xml:space="preserve"> This reflective activity </w:t>
      </w:r>
      <w:r>
        <w:t>can be undertaken</w:t>
      </w:r>
      <w:r w:rsidRPr="009365EA">
        <w:t xml:space="preserve"> as a group, in pairs and individually. The goal is to understand six </w:t>
      </w:r>
      <w:r w:rsidRPr="00C06701">
        <w:t>teaching approaches</w:t>
      </w:r>
      <w:r w:rsidRPr="009365EA">
        <w:t xml:space="preserve"> that can be used when facilitating learning about contemporary issues</w:t>
      </w:r>
      <w:r>
        <w:t>,</w:t>
      </w:r>
      <w:r w:rsidRPr="009365EA">
        <w:t xml:space="preserve"> and for </w:t>
      </w:r>
      <w:r>
        <w:t>participants</w:t>
      </w:r>
      <w:r w:rsidRPr="009365EA">
        <w:t xml:space="preserve"> to reflect on their own practice in relation to these.</w:t>
      </w:r>
    </w:p>
    <w:p w14:paraId="5DF01EED" w14:textId="6DB68733" w:rsidR="00A73907" w:rsidRPr="00C819B9" w:rsidRDefault="00A73907" w:rsidP="00A73907">
      <w:pPr>
        <w:pStyle w:val="VCAAbullet"/>
        <w:numPr>
          <w:ilvl w:val="0"/>
          <w:numId w:val="0"/>
        </w:numPr>
        <w:ind w:left="425" w:hanging="425"/>
      </w:pPr>
      <w:r w:rsidRPr="00C819B9">
        <w:rPr>
          <w:b/>
          <w:bCs/>
        </w:rPr>
        <w:t>Re</w:t>
      </w:r>
      <w:r>
        <w:rPr>
          <w:b/>
          <w:bCs/>
        </w:rPr>
        <w:t xml:space="preserve">quired </w:t>
      </w:r>
      <w:r w:rsidRPr="00C819B9">
        <w:rPr>
          <w:b/>
          <w:bCs/>
        </w:rPr>
        <w:t>sources:</w:t>
      </w:r>
      <w:r w:rsidRPr="009365EA">
        <w:t xml:space="preserve"> </w:t>
      </w:r>
      <w:r>
        <w:t>sticky notes</w:t>
      </w:r>
      <w:r w:rsidRPr="009365EA">
        <w:t>, whiteboard or butcher</w:t>
      </w:r>
      <w:r>
        <w:t>’</w:t>
      </w:r>
      <w:r w:rsidRPr="009365EA">
        <w:t>s paper and markers (or digital alternative)</w:t>
      </w:r>
    </w:p>
    <w:p w14:paraId="5FDF6581" w14:textId="77777777" w:rsidR="00A73907" w:rsidRDefault="00A73907" w:rsidP="00A73907">
      <w:pPr>
        <w:pStyle w:val="VCAAbody"/>
      </w:pPr>
      <w:r w:rsidRPr="00D418CB">
        <w:rPr>
          <w:b/>
          <w:bCs/>
        </w:rPr>
        <w:t xml:space="preserve">Learning </w:t>
      </w:r>
      <w:r>
        <w:rPr>
          <w:b/>
          <w:bCs/>
        </w:rPr>
        <w:t>l</w:t>
      </w:r>
      <w:r w:rsidRPr="00D418CB">
        <w:rPr>
          <w:b/>
          <w:bCs/>
        </w:rPr>
        <w:t xml:space="preserve">eader </w:t>
      </w:r>
      <w:r>
        <w:rPr>
          <w:b/>
          <w:bCs/>
        </w:rPr>
        <w:t>p</w:t>
      </w:r>
      <w:r w:rsidRPr="00D418CB">
        <w:rPr>
          <w:b/>
          <w:bCs/>
        </w:rPr>
        <w:t>reparation</w:t>
      </w:r>
      <w:r>
        <w:rPr>
          <w:b/>
          <w:bCs/>
        </w:rPr>
        <w:t xml:space="preserve">: </w:t>
      </w:r>
    </w:p>
    <w:p w14:paraId="1845E5ED" w14:textId="77777777" w:rsidR="00A73907" w:rsidRPr="009365EA" w:rsidRDefault="00A73907" w:rsidP="00A73907">
      <w:pPr>
        <w:pStyle w:val="VCAAbullet"/>
        <w:contextualSpacing w:val="0"/>
      </w:pPr>
      <w:r w:rsidRPr="009365EA">
        <w:t>Read 2.3</w:t>
      </w:r>
      <w:r>
        <w:t>.</w:t>
      </w:r>
    </w:p>
    <w:p w14:paraId="4C926354" w14:textId="05DD0382" w:rsidR="00A73907" w:rsidRPr="009365EA" w:rsidRDefault="00A73907" w:rsidP="00A73907">
      <w:pPr>
        <w:pStyle w:val="VCAAbullet"/>
        <w:contextualSpacing w:val="0"/>
      </w:pPr>
      <w:r w:rsidRPr="009365EA">
        <w:t xml:space="preserve">On </w:t>
      </w:r>
      <w:r>
        <w:t>the</w:t>
      </w:r>
      <w:r w:rsidRPr="009365EA">
        <w:t xml:space="preserve"> whiteboard</w:t>
      </w:r>
      <w:r>
        <w:t xml:space="preserve">, butcher’s paper or digital </w:t>
      </w:r>
      <w:r w:rsidRPr="00C06701">
        <w:t>alternative</w:t>
      </w:r>
      <w:r w:rsidR="00BE3FF6">
        <w:t>,</w:t>
      </w:r>
      <w:r w:rsidRPr="009365EA">
        <w:t xml:space="preserve"> create a </w:t>
      </w:r>
      <w:r>
        <w:t xml:space="preserve">six-section </w:t>
      </w:r>
      <w:r w:rsidRPr="009365EA">
        <w:t xml:space="preserve">chart with </w:t>
      </w:r>
      <w:r>
        <w:t>the following</w:t>
      </w:r>
      <w:r w:rsidRPr="009365EA">
        <w:t xml:space="preserve"> headings:</w:t>
      </w:r>
    </w:p>
    <w:p w14:paraId="26F96A21" w14:textId="77777777" w:rsidR="00A73907" w:rsidRPr="009365EA" w:rsidRDefault="00A73907" w:rsidP="00A73907">
      <w:pPr>
        <w:pStyle w:val="VCAAbulletlevel2"/>
        <w:contextualSpacing w:val="0"/>
      </w:pPr>
      <w:r>
        <w:t>n</w:t>
      </w:r>
      <w:r w:rsidRPr="009365EA">
        <w:t>eutral chairperson</w:t>
      </w:r>
    </w:p>
    <w:p w14:paraId="49693AF2" w14:textId="77777777" w:rsidR="00A73907" w:rsidRPr="009365EA" w:rsidRDefault="00A73907" w:rsidP="00A73907">
      <w:pPr>
        <w:pStyle w:val="VCAAbulletlevel2"/>
        <w:contextualSpacing w:val="0"/>
      </w:pPr>
      <w:r>
        <w:t>d</w:t>
      </w:r>
      <w:r w:rsidRPr="009365EA">
        <w:t xml:space="preserve">evil’s </w:t>
      </w:r>
      <w:r>
        <w:t>a</w:t>
      </w:r>
      <w:r w:rsidRPr="009365EA">
        <w:t>dvocate</w:t>
      </w:r>
    </w:p>
    <w:p w14:paraId="65073047" w14:textId="77777777" w:rsidR="00A73907" w:rsidRPr="009365EA" w:rsidRDefault="00A73907" w:rsidP="00A73907">
      <w:pPr>
        <w:pStyle w:val="VCAAbulletlevel2"/>
        <w:contextualSpacing w:val="0"/>
      </w:pPr>
      <w:r>
        <w:t>a</w:t>
      </w:r>
      <w:r w:rsidRPr="009365EA">
        <w:t>lly</w:t>
      </w:r>
    </w:p>
    <w:p w14:paraId="5FD3EFE1" w14:textId="77777777" w:rsidR="00A73907" w:rsidRPr="009365EA" w:rsidRDefault="00A73907" w:rsidP="00A73907">
      <w:pPr>
        <w:pStyle w:val="VCAAbulletlevel2"/>
        <w:contextualSpacing w:val="0"/>
      </w:pPr>
      <w:r>
        <w:t>b</w:t>
      </w:r>
      <w:r w:rsidRPr="009365EA">
        <w:t>alanced</w:t>
      </w:r>
    </w:p>
    <w:p w14:paraId="60A66DA4" w14:textId="77777777" w:rsidR="00A73907" w:rsidRPr="009365EA" w:rsidRDefault="00A73907" w:rsidP="00A73907">
      <w:pPr>
        <w:pStyle w:val="VCAAbulletlevel2"/>
        <w:contextualSpacing w:val="0"/>
      </w:pPr>
      <w:r>
        <w:t>s</w:t>
      </w:r>
      <w:r w:rsidRPr="009365EA">
        <w:t xml:space="preserve">tated </w:t>
      </w:r>
      <w:r>
        <w:t>c</w:t>
      </w:r>
      <w:r w:rsidRPr="009365EA">
        <w:t>ommitment</w:t>
      </w:r>
    </w:p>
    <w:p w14:paraId="33EA793E" w14:textId="4695EB85" w:rsidR="00A73907" w:rsidRDefault="00A73907" w:rsidP="00A73907">
      <w:pPr>
        <w:pStyle w:val="VCAAbulletlevel2"/>
        <w:contextualSpacing w:val="0"/>
      </w:pPr>
      <w:r>
        <w:t>o</w:t>
      </w:r>
      <w:r w:rsidRPr="009365EA">
        <w:t xml:space="preserve">fficial </w:t>
      </w:r>
      <w:r>
        <w:t>l</w:t>
      </w:r>
      <w:r w:rsidRPr="009365EA">
        <w:t>ine</w:t>
      </w:r>
      <w:r w:rsidR="00BE3FF6">
        <w:t>.</w:t>
      </w:r>
    </w:p>
    <w:p w14:paraId="1E6ED5D9" w14:textId="4073502A" w:rsidR="00A73907" w:rsidRPr="009365EA" w:rsidRDefault="00BE3FF6" w:rsidP="000D1614">
      <w:pPr>
        <w:pStyle w:val="VCAAbulletlevel2"/>
        <w:numPr>
          <w:ilvl w:val="0"/>
          <w:numId w:val="0"/>
        </w:numPr>
        <w:ind w:left="850" w:hanging="425"/>
        <w:contextualSpacing w:val="0"/>
      </w:pPr>
      <w:r>
        <w:t xml:space="preserve">(See the </w:t>
      </w:r>
      <w:r w:rsidR="00A73907">
        <w:t>sample chart below</w:t>
      </w:r>
      <w:r>
        <w:t>.</w:t>
      </w:r>
      <w:r w:rsidR="00A73907">
        <w:t>)</w:t>
      </w:r>
    </w:p>
    <w:p w14:paraId="1D0EBB2E" w14:textId="77777777" w:rsidR="00A73907" w:rsidRDefault="00A73907" w:rsidP="00A73907">
      <w:pPr>
        <w:pStyle w:val="VCAAbody"/>
        <w:rPr>
          <w:b/>
          <w:bCs/>
        </w:rPr>
      </w:pPr>
      <w:r w:rsidRPr="00D418CB">
        <w:rPr>
          <w:b/>
          <w:bCs/>
        </w:rPr>
        <w:t xml:space="preserve">Participant </w:t>
      </w:r>
      <w:r>
        <w:rPr>
          <w:b/>
          <w:bCs/>
        </w:rPr>
        <w:t>p</w:t>
      </w:r>
      <w:r w:rsidRPr="00D418CB">
        <w:rPr>
          <w:b/>
          <w:bCs/>
        </w:rPr>
        <w:t>reparation</w:t>
      </w:r>
      <w:r>
        <w:rPr>
          <w:b/>
          <w:bCs/>
        </w:rPr>
        <w:t xml:space="preserve">: </w:t>
      </w:r>
    </w:p>
    <w:p w14:paraId="592F82EA" w14:textId="77777777" w:rsidR="00A73907" w:rsidRPr="009A7618" w:rsidRDefault="00A73907" w:rsidP="00A73907">
      <w:pPr>
        <w:pStyle w:val="VCAAbullet"/>
        <w:contextualSpacing w:val="0"/>
        <w:rPr>
          <w:lang w:val="en-AU"/>
        </w:rPr>
      </w:pPr>
      <w:r>
        <w:t>Read 2.3.</w:t>
      </w:r>
    </w:p>
    <w:p w14:paraId="0EBE357C" w14:textId="77777777" w:rsidR="00A73907" w:rsidRPr="009A7618" w:rsidRDefault="00A73907" w:rsidP="00A73907">
      <w:pPr>
        <w:pStyle w:val="ListParagraph"/>
        <w:numPr>
          <w:ilvl w:val="0"/>
          <w:numId w:val="7"/>
        </w:numPr>
        <w:spacing w:before="320" w:after="120" w:line="400" w:lineRule="exact"/>
        <w:contextualSpacing w:val="0"/>
        <w:outlineLvl w:val="3"/>
        <w:rPr>
          <w:rFonts w:ascii="Arial" w:hAnsi="Arial" w:cs="Arial"/>
          <w:vanish/>
          <w:color w:val="0F7EB4"/>
          <w:sz w:val="32"/>
          <w:szCs w:val="24"/>
          <w:lang w:val="en-AU"/>
        </w:rPr>
      </w:pPr>
      <w:bookmarkStart w:id="1" w:name="_Hlk107081556"/>
    </w:p>
    <w:p w14:paraId="32168DCB" w14:textId="77777777" w:rsidR="00A73907" w:rsidRPr="009A7618" w:rsidRDefault="00A73907" w:rsidP="00A73907">
      <w:pPr>
        <w:pStyle w:val="ListParagraph"/>
        <w:numPr>
          <w:ilvl w:val="0"/>
          <w:numId w:val="7"/>
        </w:numPr>
        <w:spacing w:before="320" w:after="120" w:line="400" w:lineRule="exact"/>
        <w:contextualSpacing w:val="0"/>
        <w:outlineLvl w:val="3"/>
        <w:rPr>
          <w:rFonts w:ascii="Arial" w:hAnsi="Arial" w:cs="Arial"/>
          <w:vanish/>
          <w:color w:val="0F7EB4"/>
          <w:sz w:val="32"/>
          <w:szCs w:val="24"/>
          <w:lang w:val="en-AU"/>
        </w:rPr>
      </w:pPr>
    </w:p>
    <w:p w14:paraId="264A83FB" w14:textId="77777777" w:rsidR="00A73907" w:rsidRPr="009A7618" w:rsidRDefault="00A73907" w:rsidP="00A73907">
      <w:pPr>
        <w:pStyle w:val="ListParagraph"/>
        <w:numPr>
          <w:ilvl w:val="1"/>
          <w:numId w:val="7"/>
        </w:numPr>
        <w:spacing w:before="320" w:after="120" w:line="400" w:lineRule="exact"/>
        <w:contextualSpacing w:val="0"/>
        <w:outlineLvl w:val="3"/>
        <w:rPr>
          <w:rFonts w:ascii="Arial" w:hAnsi="Arial" w:cs="Arial"/>
          <w:vanish/>
          <w:color w:val="0F7EB4"/>
          <w:sz w:val="32"/>
          <w:szCs w:val="24"/>
          <w:lang w:val="en-AU"/>
        </w:rPr>
      </w:pPr>
    </w:p>
    <w:p w14:paraId="13B608DB" w14:textId="77777777" w:rsidR="00A73907" w:rsidRPr="009A7618" w:rsidRDefault="00A73907" w:rsidP="00A73907">
      <w:pPr>
        <w:pStyle w:val="ListParagraph"/>
        <w:numPr>
          <w:ilvl w:val="1"/>
          <w:numId w:val="7"/>
        </w:numPr>
        <w:spacing w:before="320" w:after="120" w:line="400" w:lineRule="exact"/>
        <w:contextualSpacing w:val="0"/>
        <w:outlineLvl w:val="3"/>
        <w:rPr>
          <w:rFonts w:ascii="Arial" w:hAnsi="Arial" w:cs="Arial"/>
          <w:vanish/>
          <w:color w:val="0F7EB4"/>
          <w:sz w:val="32"/>
          <w:szCs w:val="24"/>
          <w:lang w:val="en-AU"/>
        </w:rPr>
      </w:pPr>
    </w:p>
    <w:p w14:paraId="497E76C6" w14:textId="77777777" w:rsidR="00A73907" w:rsidRPr="009A7618" w:rsidRDefault="00A73907" w:rsidP="00A73907">
      <w:pPr>
        <w:pStyle w:val="ListParagraph"/>
        <w:numPr>
          <w:ilvl w:val="1"/>
          <w:numId w:val="7"/>
        </w:numPr>
        <w:spacing w:before="320" w:after="120" w:line="400" w:lineRule="exact"/>
        <w:contextualSpacing w:val="0"/>
        <w:outlineLvl w:val="3"/>
        <w:rPr>
          <w:rFonts w:ascii="Arial" w:hAnsi="Arial" w:cs="Arial"/>
          <w:vanish/>
          <w:color w:val="0F7EB4"/>
          <w:sz w:val="32"/>
          <w:szCs w:val="24"/>
          <w:lang w:val="en-AU"/>
        </w:rPr>
      </w:pPr>
    </w:p>
    <w:p w14:paraId="139F7322" w14:textId="77777777" w:rsidR="00A73907" w:rsidRPr="009A7618" w:rsidRDefault="00A73907" w:rsidP="00A73907">
      <w:pPr>
        <w:pStyle w:val="ListParagraph"/>
        <w:numPr>
          <w:ilvl w:val="1"/>
          <w:numId w:val="7"/>
        </w:numPr>
        <w:spacing w:before="320" w:after="120" w:line="400" w:lineRule="exact"/>
        <w:contextualSpacing w:val="0"/>
        <w:outlineLvl w:val="3"/>
        <w:rPr>
          <w:rFonts w:ascii="Arial" w:hAnsi="Arial" w:cs="Arial"/>
          <w:vanish/>
          <w:color w:val="0F7EB4"/>
          <w:sz w:val="32"/>
          <w:szCs w:val="24"/>
          <w:lang w:val="en-AU"/>
        </w:rPr>
      </w:pPr>
    </w:p>
    <w:p w14:paraId="671093B9" w14:textId="77777777" w:rsidR="00A73907" w:rsidRPr="007076C7" w:rsidRDefault="00A73907" w:rsidP="00A73907">
      <w:pPr>
        <w:pStyle w:val="VCAAHeading1"/>
        <w:rPr>
          <w:lang w:val="en-AU"/>
        </w:rPr>
      </w:pPr>
      <w:r>
        <w:rPr>
          <w:lang w:val="en-AU"/>
        </w:rPr>
        <w:t>Activity steps</w:t>
      </w:r>
      <w:bookmarkEnd w:id="1"/>
    </w:p>
    <w:p w14:paraId="02001F24" w14:textId="77777777" w:rsidR="00A73907" w:rsidRDefault="00A73907" w:rsidP="00A73907">
      <w:pPr>
        <w:pStyle w:val="VCAAnumbers"/>
        <w:numPr>
          <w:ilvl w:val="0"/>
          <w:numId w:val="6"/>
        </w:numPr>
        <w:tabs>
          <w:tab w:val="clear" w:pos="425"/>
        </w:tabs>
        <w:ind w:left="426" w:hanging="426"/>
        <w:contextualSpacing w:val="0"/>
      </w:pPr>
      <w:r w:rsidRPr="00C819B9">
        <w:t>The learning leader asks participants to share what they noticed about the different categories in the reading. Record the responses in the summary row of the chart. (5 minutes)</w:t>
      </w:r>
    </w:p>
    <w:p w14:paraId="59B75003" w14:textId="77777777" w:rsidR="00A73907" w:rsidRPr="00C819B9" w:rsidRDefault="00A73907" w:rsidP="000D1614">
      <w:pPr>
        <w:pStyle w:val="VCAAbullet"/>
        <w:numPr>
          <w:ilvl w:val="0"/>
          <w:numId w:val="0"/>
        </w:numPr>
        <w:ind w:left="425"/>
      </w:pPr>
      <w:r w:rsidRPr="00C819B9">
        <w:t>Alternatively, in a small group this can be done collaboratively with all participants writing down their observations or recording them on butcher’s paper.</w:t>
      </w:r>
    </w:p>
    <w:p w14:paraId="68857C2D" w14:textId="77777777" w:rsidR="00A73907" w:rsidRPr="00C819B9" w:rsidRDefault="00A73907" w:rsidP="00A73907">
      <w:pPr>
        <w:pStyle w:val="VCAAnumbers"/>
        <w:tabs>
          <w:tab w:val="clear" w:pos="425"/>
        </w:tabs>
        <w:ind w:left="426" w:hanging="426"/>
        <w:contextualSpacing w:val="0"/>
      </w:pPr>
      <w:r w:rsidRPr="00C819B9">
        <w:t>In pairs, participants choose one or two of the reflection questions below to discuss the categories and record their thinking. (10 minutes)</w:t>
      </w:r>
    </w:p>
    <w:p w14:paraId="63F9A934" w14:textId="77777777" w:rsidR="00A73907" w:rsidRPr="00C819B9" w:rsidRDefault="00A73907" w:rsidP="00A73907">
      <w:pPr>
        <w:pStyle w:val="VCAAnumbers"/>
        <w:tabs>
          <w:tab w:val="clear" w:pos="425"/>
        </w:tabs>
        <w:ind w:left="426" w:hanging="426"/>
        <w:contextualSpacing w:val="0"/>
      </w:pPr>
      <w:r w:rsidRPr="00C819B9">
        <w:t>Share ideas that were discussed in pairs. (5 minutes)</w:t>
      </w:r>
    </w:p>
    <w:p w14:paraId="7BDD2E71" w14:textId="35B80AC5" w:rsidR="00A73907" w:rsidRPr="00C819B9" w:rsidRDefault="00A73907" w:rsidP="00A73907">
      <w:pPr>
        <w:pStyle w:val="VCAAnumbers"/>
        <w:tabs>
          <w:tab w:val="clear" w:pos="425"/>
        </w:tabs>
        <w:ind w:left="426" w:hanging="426"/>
        <w:contextualSpacing w:val="0"/>
      </w:pPr>
      <w:r w:rsidRPr="00C819B9">
        <w:t xml:space="preserve">Whole-group discussion: </w:t>
      </w:r>
      <w:r w:rsidR="00BE3FF6">
        <w:t>W</w:t>
      </w:r>
      <w:r w:rsidRPr="00C819B9">
        <w:t>hat implications of these different teaching approaches can participants see for their teaching? Appoint a scribe to record this conversation on the whiteboard</w:t>
      </w:r>
      <w:r w:rsidR="00BE3FF6">
        <w:t>,</w:t>
      </w:r>
      <w:r w:rsidRPr="00C819B9">
        <w:t xml:space="preserve"> butcher’s paper</w:t>
      </w:r>
      <w:r w:rsidR="00BE3FF6">
        <w:t xml:space="preserve"> or digital alternative</w:t>
      </w:r>
      <w:r w:rsidRPr="00C819B9">
        <w:t>. (10 minutes)</w:t>
      </w:r>
    </w:p>
    <w:p w14:paraId="42DBEE20" w14:textId="70820899" w:rsidR="00A73907" w:rsidRPr="007076C7" w:rsidRDefault="00A73907" w:rsidP="00A73907">
      <w:pPr>
        <w:pStyle w:val="VCAAbody"/>
      </w:pPr>
      <w:r w:rsidRPr="00C819B9">
        <w:t>Note</w:t>
      </w:r>
      <w:r w:rsidR="00BE3FF6">
        <w:t>: I</w:t>
      </w:r>
      <w:r w:rsidRPr="009365EA">
        <w:t>f time allows</w:t>
      </w:r>
      <w:r>
        <w:t>,</w:t>
      </w:r>
      <w:r w:rsidRPr="009365EA">
        <w:t xml:space="preserve"> an exit ticket can be used with the prompt ‘Which teaching approach are you least likely to use and why?’ </w:t>
      </w:r>
      <w:r>
        <w:t>This</w:t>
      </w:r>
      <w:r w:rsidRPr="009365EA">
        <w:t xml:space="preserve"> can help the learning leader to understand doubts or disinclinations within the group.</w:t>
      </w:r>
      <w:r>
        <w:br w:type="page"/>
      </w:r>
    </w:p>
    <w:p w14:paraId="0A4B07B0" w14:textId="77777777" w:rsidR="00A73907" w:rsidRPr="007076C7" w:rsidRDefault="00A73907" w:rsidP="00A73907">
      <w:pPr>
        <w:pStyle w:val="VCAAHeading2"/>
        <w:rPr>
          <w:lang w:val="en-AU"/>
        </w:rPr>
      </w:pPr>
      <w:r w:rsidRPr="007076C7">
        <w:rPr>
          <w:lang w:val="en-AU"/>
        </w:rPr>
        <w:lastRenderedPageBreak/>
        <w:t>Sample chart for learning leader preparation</w:t>
      </w:r>
    </w:p>
    <w:tbl>
      <w:tblPr>
        <w:tblStyle w:val="VCAAclosedtable"/>
        <w:tblW w:w="0" w:type="auto"/>
        <w:tblLook w:val="04A0" w:firstRow="1" w:lastRow="0" w:firstColumn="1" w:lastColumn="0" w:noHBand="0" w:noVBand="1"/>
        <w:tblDescription w:val="Sample chart for learning leader preparation. This chart has six columns listing the six approaches (Neutral chairperson, Devil's advocate, Ally, Balanced, Stated commitment and Official line), plus two row headings (Summary and Implications for teaching). The body cells of the chart are blank."/>
      </w:tblPr>
      <w:tblGrid>
        <w:gridCol w:w="1174"/>
        <w:gridCol w:w="1401"/>
        <w:gridCol w:w="1402"/>
        <w:gridCol w:w="1402"/>
        <w:gridCol w:w="1401"/>
        <w:gridCol w:w="1402"/>
        <w:gridCol w:w="1402"/>
      </w:tblGrid>
      <w:tr w:rsidR="00A73907" w14:paraId="6B0C91E9" w14:textId="77777777" w:rsidTr="000D1614">
        <w:trPr>
          <w:cnfStyle w:val="100000000000" w:firstRow="1" w:lastRow="0" w:firstColumn="0" w:lastColumn="0" w:oddVBand="0" w:evenVBand="0" w:oddHBand="0" w:evenHBand="0" w:firstRowFirstColumn="0" w:firstRowLastColumn="0" w:lastRowFirstColumn="0" w:lastRowLastColumn="0"/>
          <w:trHeight w:val="567"/>
        </w:trPr>
        <w:tc>
          <w:tcPr>
            <w:tcW w:w="1083" w:type="dxa"/>
            <w:tcBorders>
              <w:top w:val="nil"/>
              <w:left w:val="nil"/>
              <w:right w:val="single" w:sz="4" w:space="0" w:color="auto"/>
            </w:tcBorders>
            <w:shd w:val="clear" w:color="auto" w:fill="auto"/>
          </w:tcPr>
          <w:p w14:paraId="7B72980B" w14:textId="0741C4A3" w:rsidR="00A73907" w:rsidRDefault="00BE3FF6" w:rsidP="00954A62">
            <w:pPr>
              <w:pStyle w:val="VCAAtableheadingnarrow"/>
              <w:rPr>
                <w:lang w:val="en-AU"/>
              </w:rPr>
            </w:pPr>
            <w:r>
              <w:rPr>
                <w:lang w:val="en-AU"/>
              </w:rPr>
              <w:t xml:space="preserve"> </w:t>
            </w:r>
          </w:p>
        </w:tc>
        <w:tc>
          <w:tcPr>
            <w:tcW w:w="1401" w:type="dxa"/>
            <w:tcBorders>
              <w:left w:val="single" w:sz="4" w:space="0" w:color="auto"/>
            </w:tcBorders>
          </w:tcPr>
          <w:p w14:paraId="763FC52B" w14:textId="77777777" w:rsidR="00A73907" w:rsidRDefault="00A73907" w:rsidP="00954A62">
            <w:pPr>
              <w:pStyle w:val="VCAAtableheadingnarrow"/>
              <w:rPr>
                <w:lang w:val="en-AU"/>
              </w:rPr>
            </w:pPr>
            <w:r>
              <w:rPr>
                <w:lang w:val="en-AU"/>
              </w:rPr>
              <w:t>Neutral chairperson</w:t>
            </w:r>
          </w:p>
        </w:tc>
        <w:tc>
          <w:tcPr>
            <w:tcW w:w="1402" w:type="dxa"/>
          </w:tcPr>
          <w:p w14:paraId="077C0779" w14:textId="77777777" w:rsidR="00A73907" w:rsidRDefault="00A73907" w:rsidP="00954A62">
            <w:pPr>
              <w:pStyle w:val="VCAAtableheadingnarrow"/>
              <w:rPr>
                <w:lang w:val="en-AU"/>
              </w:rPr>
            </w:pPr>
            <w:r>
              <w:rPr>
                <w:lang w:val="en-AU"/>
              </w:rPr>
              <w:t>Devil’s advocate</w:t>
            </w:r>
          </w:p>
        </w:tc>
        <w:tc>
          <w:tcPr>
            <w:tcW w:w="1402" w:type="dxa"/>
          </w:tcPr>
          <w:p w14:paraId="3C376262" w14:textId="77777777" w:rsidR="00A73907" w:rsidRDefault="00A73907" w:rsidP="00954A62">
            <w:pPr>
              <w:pStyle w:val="VCAAtableheadingnarrow"/>
              <w:rPr>
                <w:lang w:val="en-AU"/>
              </w:rPr>
            </w:pPr>
            <w:r>
              <w:rPr>
                <w:lang w:val="en-AU"/>
              </w:rPr>
              <w:t>Ally</w:t>
            </w:r>
          </w:p>
        </w:tc>
        <w:tc>
          <w:tcPr>
            <w:tcW w:w="1401" w:type="dxa"/>
          </w:tcPr>
          <w:p w14:paraId="33C610A2" w14:textId="77777777" w:rsidR="00A73907" w:rsidRDefault="00A73907" w:rsidP="00954A62">
            <w:pPr>
              <w:pStyle w:val="VCAAtableheadingnarrow"/>
              <w:rPr>
                <w:lang w:val="en-AU"/>
              </w:rPr>
            </w:pPr>
            <w:r>
              <w:rPr>
                <w:lang w:val="en-AU"/>
              </w:rPr>
              <w:t>Balanced</w:t>
            </w:r>
          </w:p>
        </w:tc>
        <w:tc>
          <w:tcPr>
            <w:tcW w:w="1402" w:type="dxa"/>
          </w:tcPr>
          <w:p w14:paraId="5078F82F" w14:textId="77777777" w:rsidR="00A73907" w:rsidRDefault="00A73907" w:rsidP="00954A62">
            <w:pPr>
              <w:pStyle w:val="VCAAtableheadingnarrow"/>
              <w:rPr>
                <w:lang w:val="en-AU"/>
              </w:rPr>
            </w:pPr>
            <w:r>
              <w:rPr>
                <w:lang w:val="en-AU"/>
              </w:rPr>
              <w:t>Stated commitment</w:t>
            </w:r>
          </w:p>
        </w:tc>
        <w:tc>
          <w:tcPr>
            <w:tcW w:w="1402" w:type="dxa"/>
          </w:tcPr>
          <w:p w14:paraId="4BD5FB0A" w14:textId="77777777" w:rsidR="00A73907" w:rsidRDefault="00A73907" w:rsidP="00954A62">
            <w:pPr>
              <w:pStyle w:val="VCAAtableheadingnarrow"/>
              <w:rPr>
                <w:lang w:val="en-AU"/>
              </w:rPr>
            </w:pPr>
            <w:r>
              <w:rPr>
                <w:lang w:val="en-AU"/>
              </w:rPr>
              <w:t>Official line</w:t>
            </w:r>
          </w:p>
        </w:tc>
      </w:tr>
      <w:tr w:rsidR="00A73907" w14:paraId="5C6F8524" w14:textId="77777777" w:rsidTr="00A73907">
        <w:trPr>
          <w:cnfStyle w:val="000000100000" w:firstRow="0" w:lastRow="0" w:firstColumn="0" w:lastColumn="0" w:oddVBand="0" w:evenVBand="0" w:oddHBand="1" w:evenHBand="0" w:firstRowFirstColumn="0" w:firstRowLastColumn="0" w:lastRowFirstColumn="0" w:lastRowLastColumn="0"/>
          <w:trHeight w:val="2835"/>
        </w:trPr>
        <w:tc>
          <w:tcPr>
            <w:tcW w:w="1083" w:type="dxa"/>
          </w:tcPr>
          <w:p w14:paraId="5C468B55" w14:textId="77777777" w:rsidR="00A73907" w:rsidRPr="000D1614" w:rsidRDefault="00A73907" w:rsidP="00954A62">
            <w:pPr>
              <w:pStyle w:val="VCAAtabletextnarrow"/>
              <w:rPr>
                <w:b/>
              </w:rPr>
            </w:pPr>
            <w:r w:rsidRPr="000D1614">
              <w:rPr>
                <w:b/>
              </w:rPr>
              <w:t>Summary</w:t>
            </w:r>
          </w:p>
        </w:tc>
        <w:tc>
          <w:tcPr>
            <w:tcW w:w="1401" w:type="dxa"/>
          </w:tcPr>
          <w:p w14:paraId="195C271B" w14:textId="77777777" w:rsidR="00A73907" w:rsidRDefault="00A73907" w:rsidP="00954A62">
            <w:pPr>
              <w:pStyle w:val="VCAAtabletextnarrow"/>
              <w:rPr>
                <w:lang w:val="en-AU"/>
              </w:rPr>
            </w:pPr>
          </w:p>
        </w:tc>
        <w:tc>
          <w:tcPr>
            <w:tcW w:w="1402" w:type="dxa"/>
          </w:tcPr>
          <w:p w14:paraId="7F54E782" w14:textId="77777777" w:rsidR="00A73907" w:rsidRDefault="00A73907" w:rsidP="00954A62">
            <w:pPr>
              <w:pStyle w:val="VCAAtabletextnarrow"/>
              <w:rPr>
                <w:lang w:val="en-AU"/>
              </w:rPr>
            </w:pPr>
          </w:p>
        </w:tc>
        <w:tc>
          <w:tcPr>
            <w:tcW w:w="1402" w:type="dxa"/>
          </w:tcPr>
          <w:p w14:paraId="21254513" w14:textId="77777777" w:rsidR="00A73907" w:rsidRDefault="00A73907" w:rsidP="00954A62">
            <w:pPr>
              <w:pStyle w:val="VCAAtabletextnarrow"/>
              <w:rPr>
                <w:lang w:val="en-AU"/>
              </w:rPr>
            </w:pPr>
          </w:p>
          <w:p w14:paraId="436A07A9" w14:textId="77777777" w:rsidR="00A73907" w:rsidRDefault="00A73907" w:rsidP="00954A62">
            <w:pPr>
              <w:pStyle w:val="VCAAtabletextnarrow"/>
              <w:rPr>
                <w:lang w:val="en-AU"/>
              </w:rPr>
            </w:pPr>
          </w:p>
          <w:p w14:paraId="11A5009E" w14:textId="77777777" w:rsidR="00A73907" w:rsidRDefault="00A73907" w:rsidP="00954A62">
            <w:pPr>
              <w:pStyle w:val="VCAAtabletextnarrow"/>
              <w:rPr>
                <w:lang w:val="en-AU"/>
              </w:rPr>
            </w:pPr>
          </w:p>
          <w:p w14:paraId="0AE44F86" w14:textId="77777777" w:rsidR="00A73907" w:rsidRDefault="00A73907" w:rsidP="00954A62">
            <w:pPr>
              <w:pStyle w:val="VCAAtabletextnarrow"/>
              <w:rPr>
                <w:lang w:val="en-AU"/>
              </w:rPr>
            </w:pPr>
          </w:p>
          <w:p w14:paraId="5EEA8596" w14:textId="77777777" w:rsidR="00A73907" w:rsidRDefault="00A73907" w:rsidP="00954A62">
            <w:pPr>
              <w:pStyle w:val="VCAAtabletextnarrow"/>
              <w:rPr>
                <w:lang w:val="en-AU"/>
              </w:rPr>
            </w:pPr>
          </w:p>
          <w:p w14:paraId="1B89763E" w14:textId="77777777" w:rsidR="00A73907" w:rsidRDefault="00A73907" w:rsidP="00954A62">
            <w:pPr>
              <w:pStyle w:val="VCAAtabletextnarrow"/>
              <w:rPr>
                <w:lang w:val="en-AU"/>
              </w:rPr>
            </w:pPr>
          </w:p>
          <w:p w14:paraId="5C3F6CDC" w14:textId="77777777" w:rsidR="00A73907" w:rsidRDefault="00A73907" w:rsidP="00954A62">
            <w:pPr>
              <w:pStyle w:val="VCAAtabletextnarrow"/>
              <w:rPr>
                <w:lang w:val="en-AU"/>
              </w:rPr>
            </w:pPr>
          </w:p>
          <w:p w14:paraId="1C7F41F6" w14:textId="3B02984E" w:rsidR="00A73907" w:rsidRDefault="00A73907" w:rsidP="00954A62">
            <w:pPr>
              <w:pStyle w:val="VCAAtabletextnarrow"/>
              <w:rPr>
                <w:lang w:val="en-AU"/>
              </w:rPr>
            </w:pPr>
          </w:p>
          <w:p w14:paraId="6D99B07D" w14:textId="77777777" w:rsidR="00A73907" w:rsidRDefault="00A73907" w:rsidP="00954A62">
            <w:pPr>
              <w:pStyle w:val="VCAAtabletextnarrow"/>
              <w:rPr>
                <w:lang w:val="en-AU"/>
              </w:rPr>
            </w:pPr>
          </w:p>
          <w:p w14:paraId="774268F9" w14:textId="08400EAA" w:rsidR="00A73907" w:rsidRDefault="00A73907" w:rsidP="00954A62">
            <w:pPr>
              <w:pStyle w:val="VCAAtabletextnarrow"/>
              <w:rPr>
                <w:lang w:val="en-AU"/>
              </w:rPr>
            </w:pPr>
          </w:p>
        </w:tc>
        <w:tc>
          <w:tcPr>
            <w:tcW w:w="1401" w:type="dxa"/>
          </w:tcPr>
          <w:p w14:paraId="49C2174F" w14:textId="77777777" w:rsidR="00A73907" w:rsidRDefault="00A73907" w:rsidP="00954A62">
            <w:pPr>
              <w:pStyle w:val="VCAAtabletextnarrow"/>
              <w:rPr>
                <w:lang w:val="en-AU"/>
              </w:rPr>
            </w:pPr>
          </w:p>
        </w:tc>
        <w:tc>
          <w:tcPr>
            <w:tcW w:w="1402" w:type="dxa"/>
          </w:tcPr>
          <w:p w14:paraId="36051F78" w14:textId="77777777" w:rsidR="00A73907" w:rsidRDefault="00A73907" w:rsidP="00954A62">
            <w:pPr>
              <w:pStyle w:val="VCAAtabletextnarrow"/>
              <w:rPr>
                <w:lang w:val="en-AU"/>
              </w:rPr>
            </w:pPr>
          </w:p>
        </w:tc>
        <w:tc>
          <w:tcPr>
            <w:tcW w:w="1402" w:type="dxa"/>
          </w:tcPr>
          <w:p w14:paraId="7D951C67" w14:textId="77777777" w:rsidR="00A73907" w:rsidRDefault="00A73907" w:rsidP="00954A62">
            <w:pPr>
              <w:pStyle w:val="VCAAtabletextnarrow"/>
              <w:rPr>
                <w:lang w:val="en-AU"/>
              </w:rPr>
            </w:pPr>
          </w:p>
        </w:tc>
      </w:tr>
      <w:tr w:rsidR="00A73907" w14:paraId="55032D12" w14:textId="77777777" w:rsidTr="00A73907">
        <w:trPr>
          <w:cnfStyle w:val="000000010000" w:firstRow="0" w:lastRow="0" w:firstColumn="0" w:lastColumn="0" w:oddVBand="0" w:evenVBand="0" w:oddHBand="0" w:evenHBand="1" w:firstRowFirstColumn="0" w:firstRowLastColumn="0" w:lastRowFirstColumn="0" w:lastRowLastColumn="0"/>
          <w:trHeight w:val="2835"/>
        </w:trPr>
        <w:tc>
          <w:tcPr>
            <w:tcW w:w="1083" w:type="dxa"/>
          </w:tcPr>
          <w:p w14:paraId="3D539B4F" w14:textId="77777777" w:rsidR="00A73907" w:rsidRPr="000D1614" w:rsidRDefault="00A73907" w:rsidP="00954A62">
            <w:pPr>
              <w:pStyle w:val="VCAAtabletextnarrow"/>
              <w:rPr>
                <w:b/>
                <w:lang w:val="en-AU"/>
              </w:rPr>
            </w:pPr>
            <w:r w:rsidRPr="000D1614">
              <w:rPr>
                <w:b/>
                <w:lang w:val="en-AU"/>
              </w:rPr>
              <w:t>Implications for teaching</w:t>
            </w:r>
          </w:p>
        </w:tc>
        <w:tc>
          <w:tcPr>
            <w:tcW w:w="1401" w:type="dxa"/>
          </w:tcPr>
          <w:p w14:paraId="4B79E863" w14:textId="77777777" w:rsidR="00A73907" w:rsidRDefault="00A73907" w:rsidP="00954A62">
            <w:pPr>
              <w:pStyle w:val="VCAAtabletextnarrow"/>
              <w:rPr>
                <w:lang w:val="en-AU"/>
              </w:rPr>
            </w:pPr>
          </w:p>
        </w:tc>
        <w:tc>
          <w:tcPr>
            <w:tcW w:w="1402" w:type="dxa"/>
          </w:tcPr>
          <w:p w14:paraId="43CEAAD8" w14:textId="77777777" w:rsidR="00A73907" w:rsidRDefault="00A73907" w:rsidP="00954A62">
            <w:pPr>
              <w:pStyle w:val="VCAAtabletextnarrow"/>
              <w:rPr>
                <w:lang w:val="en-AU"/>
              </w:rPr>
            </w:pPr>
          </w:p>
          <w:p w14:paraId="5506581D" w14:textId="77777777" w:rsidR="00A73907" w:rsidRDefault="00A73907" w:rsidP="00954A62">
            <w:pPr>
              <w:pStyle w:val="VCAAtabletextnarrow"/>
              <w:rPr>
                <w:lang w:val="en-AU"/>
              </w:rPr>
            </w:pPr>
          </w:p>
          <w:p w14:paraId="1AB8C882" w14:textId="77777777" w:rsidR="00A73907" w:rsidRDefault="00A73907" w:rsidP="00954A62">
            <w:pPr>
              <w:pStyle w:val="VCAAtabletextnarrow"/>
              <w:rPr>
                <w:lang w:val="en-AU"/>
              </w:rPr>
            </w:pPr>
          </w:p>
          <w:p w14:paraId="5FB95766" w14:textId="77777777" w:rsidR="00A73907" w:rsidRDefault="00A73907" w:rsidP="00954A62">
            <w:pPr>
              <w:pStyle w:val="VCAAtabletextnarrow"/>
              <w:rPr>
                <w:lang w:val="en-AU"/>
              </w:rPr>
            </w:pPr>
          </w:p>
          <w:p w14:paraId="0C725AFB" w14:textId="77777777" w:rsidR="00A73907" w:rsidRDefault="00A73907" w:rsidP="00954A62">
            <w:pPr>
              <w:pStyle w:val="VCAAtabletextnarrow"/>
              <w:rPr>
                <w:lang w:val="en-AU"/>
              </w:rPr>
            </w:pPr>
          </w:p>
          <w:p w14:paraId="4EBB45B8" w14:textId="77777777" w:rsidR="00A73907" w:rsidRDefault="00A73907" w:rsidP="00954A62">
            <w:pPr>
              <w:pStyle w:val="VCAAtabletextnarrow"/>
              <w:rPr>
                <w:lang w:val="en-AU"/>
              </w:rPr>
            </w:pPr>
          </w:p>
          <w:p w14:paraId="0676B8A6" w14:textId="77777777" w:rsidR="00A73907" w:rsidRDefault="00A73907" w:rsidP="00954A62">
            <w:pPr>
              <w:pStyle w:val="VCAAtabletextnarrow"/>
              <w:rPr>
                <w:lang w:val="en-AU"/>
              </w:rPr>
            </w:pPr>
          </w:p>
          <w:p w14:paraId="0AA0CCA0" w14:textId="77777777" w:rsidR="00A73907" w:rsidRDefault="00A73907" w:rsidP="00954A62">
            <w:pPr>
              <w:pStyle w:val="VCAAtabletextnarrow"/>
              <w:rPr>
                <w:lang w:val="en-AU"/>
              </w:rPr>
            </w:pPr>
          </w:p>
          <w:p w14:paraId="2BA436CA" w14:textId="77777777" w:rsidR="00A73907" w:rsidRDefault="00A73907" w:rsidP="00954A62">
            <w:pPr>
              <w:pStyle w:val="VCAAtabletextnarrow"/>
              <w:rPr>
                <w:lang w:val="en-AU"/>
              </w:rPr>
            </w:pPr>
          </w:p>
          <w:p w14:paraId="2871190A" w14:textId="77777777" w:rsidR="00A73907" w:rsidRDefault="00A73907" w:rsidP="00954A62">
            <w:pPr>
              <w:pStyle w:val="VCAAtabletextnarrow"/>
              <w:rPr>
                <w:lang w:val="en-AU"/>
              </w:rPr>
            </w:pPr>
          </w:p>
          <w:p w14:paraId="73DED6E4" w14:textId="77777777" w:rsidR="00A73907" w:rsidRDefault="00A73907" w:rsidP="00954A62">
            <w:pPr>
              <w:pStyle w:val="VCAAtabletextnarrow"/>
              <w:rPr>
                <w:lang w:val="en-AU"/>
              </w:rPr>
            </w:pPr>
          </w:p>
          <w:p w14:paraId="1ED4EAC5" w14:textId="15DA5440" w:rsidR="00A73907" w:rsidRDefault="00A73907" w:rsidP="00954A62">
            <w:pPr>
              <w:pStyle w:val="VCAAtabletextnarrow"/>
              <w:rPr>
                <w:lang w:val="en-AU"/>
              </w:rPr>
            </w:pPr>
          </w:p>
        </w:tc>
        <w:tc>
          <w:tcPr>
            <w:tcW w:w="1402" w:type="dxa"/>
          </w:tcPr>
          <w:p w14:paraId="2D7A9AD8" w14:textId="77777777" w:rsidR="00A73907" w:rsidRDefault="00A73907" w:rsidP="00954A62">
            <w:pPr>
              <w:pStyle w:val="VCAAtabletextnarrow"/>
              <w:rPr>
                <w:lang w:val="en-AU"/>
              </w:rPr>
            </w:pPr>
          </w:p>
          <w:p w14:paraId="4D190969" w14:textId="77777777" w:rsidR="00A73907" w:rsidRDefault="00A73907" w:rsidP="00954A62">
            <w:pPr>
              <w:pStyle w:val="VCAAtabletextnarrow"/>
              <w:rPr>
                <w:lang w:val="en-AU"/>
              </w:rPr>
            </w:pPr>
          </w:p>
          <w:p w14:paraId="6CAC967A" w14:textId="77777777" w:rsidR="00A73907" w:rsidRDefault="00A73907" w:rsidP="00954A62">
            <w:pPr>
              <w:pStyle w:val="VCAAtabletextnarrow"/>
              <w:rPr>
                <w:lang w:val="en-AU"/>
              </w:rPr>
            </w:pPr>
          </w:p>
          <w:p w14:paraId="407F6AAC" w14:textId="77777777" w:rsidR="00A73907" w:rsidRDefault="00A73907" w:rsidP="00954A62">
            <w:pPr>
              <w:pStyle w:val="VCAAtabletextnarrow"/>
              <w:rPr>
                <w:lang w:val="en-AU"/>
              </w:rPr>
            </w:pPr>
          </w:p>
          <w:p w14:paraId="7D25533B" w14:textId="77777777" w:rsidR="00A73907" w:rsidRDefault="00A73907" w:rsidP="00954A62">
            <w:pPr>
              <w:pStyle w:val="VCAAtabletextnarrow"/>
              <w:rPr>
                <w:lang w:val="en-AU"/>
              </w:rPr>
            </w:pPr>
          </w:p>
          <w:p w14:paraId="6A51EA77" w14:textId="77777777" w:rsidR="00A73907" w:rsidRDefault="00A73907" w:rsidP="00954A62">
            <w:pPr>
              <w:pStyle w:val="VCAAtabletextnarrow"/>
              <w:rPr>
                <w:lang w:val="en-AU"/>
              </w:rPr>
            </w:pPr>
          </w:p>
          <w:p w14:paraId="0F1C1BE0" w14:textId="77777777" w:rsidR="00A73907" w:rsidRDefault="00A73907" w:rsidP="00954A62">
            <w:pPr>
              <w:pStyle w:val="VCAAtabletextnarrow"/>
              <w:rPr>
                <w:lang w:val="en-AU"/>
              </w:rPr>
            </w:pPr>
          </w:p>
          <w:p w14:paraId="1C987269" w14:textId="77777777" w:rsidR="00A73907" w:rsidRDefault="00A73907" w:rsidP="00954A62">
            <w:pPr>
              <w:pStyle w:val="VCAAtabletextnarrow"/>
              <w:rPr>
                <w:lang w:val="en-AU"/>
              </w:rPr>
            </w:pPr>
          </w:p>
          <w:p w14:paraId="3D9A3A3B" w14:textId="77777777" w:rsidR="00A73907" w:rsidRDefault="00A73907" w:rsidP="00954A62">
            <w:pPr>
              <w:pStyle w:val="VCAAtabletextnarrow"/>
              <w:rPr>
                <w:lang w:val="en-AU"/>
              </w:rPr>
            </w:pPr>
          </w:p>
          <w:p w14:paraId="2C89B632" w14:textId="77777777" w:rsidR="00A73907" w:rsidRDefault="00A73907" w:rsidP="00954A62">
            <w:pPr>
              <w:pStyle w:val="VCAAtabletextnarrow"/>
              <w:rPr>
                <w:lang w:val="en-AU"/>
              </w:rPr>
            </w:pPr>
          </w:p>
          <w:p w14:paraId="62B444E8" w14:textId="77777777" w:rsidR="00A73907" w:rsidRDefault="00A73907" w:rsidP="00954A62">
            <w:pPr>
              <w:pStyle w:val="VCAAtabletextnarrow"/>
              <w:rPr>
                <w:lang w:val="en-AU"/>
              </w:rPr>
            </w:pPr>
          </w:p>
          <w:p w14:paraId="60864A4D" w14:textId="77777777" w:rsidR="00A73907" w:rsidRDefault="00A73907" w:rsidP="00954A62">
            <w:pPr>
              <w:pStyle w:val="VCAAtabletextnarrow"/>
              <w:rPr>
                <w:lang w:val="en-AU"/>
              </w:rPr>
            </w:pPr>
          </w:p>
          <w:p w14:paraId="36E2E1B1" w14:textId="77777777" w:rsidR="00A73907" w:rsidRDefault="00A73907" w:rsidP="00954A62">
            <w:pPr>
              <w:pStyle w:val="VCAAtabletextnarrow"/>
              <w:rPr>
                <w:lang w:val="en-AU"/>
              </w:rPr>
            </w:pPr>
          </w:p>
          <w:p w14:paraId="45647C55" w14:textId="77777777" w:rsidR="00A73907" w:rsidRDefault="00A73907" w:rsidP="00954A62">
            <w:pPr>
              <w:pStyle w:val="VCAAtabletextnarrow"/>
              <w:rPr>
                <w:lang w:val="en-AU"/>
              </w:rPr>
            </w:pPr>
          </w:p>
          <w:p w14:paraId="693F4202" w14:textId="38F90C95" w:rsidR="00A73907" w:rsidRDefault="00A73907" w:rsidP="00954A62">
            <w:pPr>
              <w:pStyle w:val="VCAAtabletextnarrow"/>
              <w:rPr>
                <w:lang w:val="en-AU"/>
              </w:rPr>
            </w:pPr>
          </w:p>
        </w:tc>
        <w:tc>
          <w:tcPr>
            <w:tcW w:w="1401" w:type="dxa"/>
          </w:tcPr>
          <w:p w14:paraId="3AD43AA4" w14:textId="77777777" w:rsidR="00A73907" w:rsidRDefault="00A73907" w:rsidP="00954A62">
            <w:pPr>
              <w:pStyle w:val="VCAAtabletextnarrow"/>
              <w:rPr>
                <w:lang w:val="en-AU"/>
              </w:rPr>
            </w:pPr>
          </w:p>
        </w:tc>
        <w:tc>
          <w:tcPr>
            <w:tcW w:w="1402" w:type="dxa"/>
          </w:tcPr>
          <w:p w14:paraId="7ADA7F57" w14:textId="77777777" w:rsidR="00A73907" w:rsidRDefault="00A73907" w:rsidP="00954A62">
            <w:pPr>
              <w:pStyle w:val="VCAAtabletextnarrow"/>
              <w:rPr>
                <w:lang w:val="en-AU"/>
              </w:rPr>
            </w:pPr>
          </w:p>
        </w:tc>
        <w:tc>
          <w:tcPr>
            <w:tcW w:w="1402" w:type="dxa"/>
          </w:tcPr>
          <w:p w14:paraId="2B541DAD" w14:textId="77777777" w:rsidR="00A73907" w:rsidRDefault="00A73907" w:rsidP="00954A62">
            <w:pPr>
              <w:pStyle w:val="VCAAtabletextnarrow"/>
              <w:rPr>
                <w:lang w:val="en-AU"/>
              </w:rPr>
            </w:pPr>
          </w:p>
        </w:tc>
      </w:tr>
    </w:tbl>
    <w:p w14:paraId="75E4E05B" w14:textId="77777777" w:rsidR="00A73907" w:rsidRPr="007076C7" w:rsidRDefault="00A73907" w:rsidP="00A73907">
      <w:pPr>
        <w:pStyle w:val="VCAAHeading1"/>
        <w:rPr>
          <w:lang w:val="en-AU"/>
        </w:rPr>
      </w:pPr>
      <w:r>
        <w:rPr>
          <w:lang w:val="en-AU"/>
        </w:rPr>
        <w:t>Reflection questions</w:t>
      </w:r>
    </w:p>
    <w:p w14:paraId="687FF493" w14:textId="77777777" w:rsidR="00A73907" w:rsidRPr="009365EA" w:rsidRDefault="00A73907" w:rsidP="00A73907">
      <w:pPr>
        <w:pStyle w:val="VCAAbody"/>
      </w:pPr>
      <w:r w:rsidRPr="009365EA">
        <w:t>Use these questions to reflect and share which of the six teaching approaches you’ve used before.</w:t>
      </w:r>
    </w:p>
    <w:p w14:paraId="0FD68C70" w14:textId="77777777" w:rsidR="00A73907" w:rsidRPr="00C819B9" w:rsidRDefault="00A73907" w:rsidP="00A73907">
      <w:pPr>
        <w:pStyle w:val="VCAAbullet"/>
        <w:contextualSpacing w:val="0"/>
      </w:pPr>
      <w:r w:rsidRPr="00C819B9">
        <w:t>When might you use different approaches in the classroom?</w:t>
      </w:r>
    </w:p>
    <w:p w14:paraId="34D660C8" w14:textId="77777777" w:rsidR="00A73907" w:rsidRPr="00C819B9" w:rsidRDefault="00A73907" w:rsidP="00A73907">
      <w:pPr>
        <w:pStyle w:val="VCAAbullet"/>
        <w:contextualSpacing w:val="0"/>
      </w:pPr>
      <w:r w:rsidRPr="00C819B9">
        <w:t>Which teaching style are you most comfortable with? Why?</w:t>
      </w:r>
    </w:p>
    <w:p w14:paraId="1F4BA60F" w14:textId="77777777" w:rsidR="00A73907" w:rsidRPr="00C819B9" w:rsidRDefault="00A73907" w:rsidP="00A73907">
      <w:pPr>
        <w:pStyle w:val="VCAAbullet"/>
        <w:contextualSpacing w:val="0"/>
      </w:pPr>
      <w:r w:rsidRPr="00C819B9">
        <w:t>Which do you find challenging? Why?</w:t>
      </w:r>
    </w:p>
    <w:p w14:paraId="342E5947" w14:textId="77777777" w:rsidR="00A73907" w:rsidRPr="00C819B9" w:rsidRDefault="00A73907" w:rsidP="00A73907">
      <w:pPr>
        <w:pStyle w:val="VCAAbullet"/>
        <w:contextualSpacing w:val="0"/>
      </w:pPr>
      <w:r w:rsidRPr="00C819B9">
        <w:t>Which of these approaches support vulnerable students in your classes?</w:t>
      </w:r>
    </w:p>
    <w:p w14:paraId="7123CBBC" w14:textId="77777777" w:rsidR="00A73907" w:rsidRPr="00C819B9" w:rsidRDefault="00A73907" w:rsidP="00A73907">
      <w:pPr>
        <w:pStyle w:val="VCAAbullet"/>
        <w:contextualSpacing w:val="0"/>
      </w:pPr>
      <w:r w:rsidRPr="00C819B9">
        <w:t>Which of these approaches are helpful when addressing student misconceptions or misunderstandings?</w:t>
      </w:r>
    </w:p>
    <w:p w14:paraId="054BEE6D" w14:textId="77777777" w:rsidR="00A73907" w:rsidRDefault="00A73907" w:rsidP="00A73907"/>
    <w:p w14:paraId="2B976676" w14:textId="7E05E9C8" w:rsidR="002647BB" w:rsidRPr="00A73907" w:rsidRDefault="002647BB" w:rsidP="00A73907"/>
    <w:sectPr w:rsidR="002647BB" w:rsidRPr="00A73907"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7C2CE014"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661079">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76BFBF31" w:rsidR="00FD29D3" w:rsidRPr="00D86DE4" w:rsidRDefault="00661079" w:rsidP="00D86DE4">
    <w:pPr>
      <w:pStyle w:val="VCAAcaptionsandfootnotes"/>
      <w:rPr>
        <w:color w:val="999999" w:themeColor="accent2"/>
      </w:rPr>
    </w:pPr>
    <w:sdt>
      <w:sdtPr>
        <w:rPr>
          <w:color w:val="999999" w:themeColor="accent2"/>
          <w:lang w:val="en-AU"/>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A73907" w:rsidRPr="00A73907">
          <w:rPr>
            <w:color w:val="999999" w:themeColor="accent2"/>
            <w:lang w:val="en-AU"/>
          </w:rPr>
          <w:t>Professional learning activity: Teacher approaches to contemporary issues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0A71C3"/>
    <w:multiLevelType w:val="multilevel"/>
    <w:tmpl w:val="4890219A"/>
    <w:lvl w:ilvl="0">
      <w:start w:val="2"/>
      <w:numFmt w:val="decimal"/>
      <w:lvlText w:val="%1"/>
      <w:lvlJc w:val="left"/>
      <w:pPr>
        <w:ind w:left="570" w:hanging="57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4DAC00C2"/>
    <w:multiLevelType w:val="multilevel"/>
    <w:tmpl w:val="A70CFF8E"/>
    <w:lvl w:ilvl="0">
      <w:start w:val="1"/>
      <w:numFmt w:val="decimal"/>
      <w:lvlText w:val="%1"/>
      <w:lvlJc w:val="left"/>
      <w:pPr>
        <w:ind w:left="567" w:hanging="567"/>
      </w:pPr>
      <w:rPr>
        <w:rFonts w:hint="default"/>
      </w:rPr>
    </w:lvl>
    <w:lvl w:ilvl="1">
      <w:start w:val="1"/>
      <w:numFmt w:val="decimal"/>
      <w:lvlText w:val="%1.%2"/>
      <w:lvlJc w:val="left"/>
      <w:pPr>
        <w:ind w:left="851" w:hanging="49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510" w:firstLine="93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5"/>
  </w:num>
  <w:num w:numId="6">
    <w:abstractNumId w:val="2"/>
    <w:lvlOverride w:ilvl="0">
      <w:startOverride w:val="1"/>
    </w:lvlOverride>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stylePaneSortMethod w:val="0000"/>
  <w:mailMerge>
    <w:mainDocumentType w:val="formLetters"/>
    <w:dataType w:val="textFile"/>
    <w:activeRecord w:val="-1"/>
  </w:mailMerge>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A71F7"/>
    <w:rsid w:val="000D1614"/>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A0645"/>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A5A7F"/>
    <w:rsid w:val="005B391B"/>
    <w:rsid w:val="005D3D78"/>
    <w:rsid w:val="005E2EF0"/>
    <w:rsid w:val="005F4092"/>
    <w:rsid w:val="00661079"/>
    <w:rsid w:val="0068471E"/>
    <w:rsid w:val="00684F98"/>
    <w:rsid w:val="00693FFD"/>
    <w:rsid w:val="006D2159"/>
    <w:rsid w:val="006F787C"/>
    <w:rsid w:val="00702636"/>
    <w:rsid w:val="00724507"/>
    <w:rsid w:val="00773E6C"/>
    <w:rsid w:val="00781FB1"/>
    <w:rsid w:val="007D1B6D"/>
    <w:rsid w:val="00813C37"/>
    <w:rsid w:val="008154B5"/>
    <w:rsid w:val="00823962"/>
    <w:rsid w:val="00850410"/>
    <w:rsid w:val="00852719"/>
    <w:rsid w:val="00860115"/>
    <w:rsid w:val="0088783C"/>
    <w:rsid w:val="009370BC"/>
    <w:rsid w:val="00970580"/>
    <w:rsid w:val="0098739B"/>
    <w:rsid w:val="009B61E5"/>
    <w:rsid w:val="009D1E89"/>
    <w:rsid w:val="009E5707"/>
    <w:rsid w:val="00A17661"/>
    <w:rsid w:val="00A24B2D"/>
    <w:rsid w:val="00A40966"/>
    <w:rsid w:val="00A73907"/>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3FF6"/>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25B2F"/>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VCAAtabletextnarrow">
    <w:name w:val="VCAA table text narrow"/>
    <w:link w:val="VCAAtabletextnarrowChar"/>
    <w:qFormat/>
    <w:rsid w:val="00A73907"/>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A73907"/>
    <w:rPr>
      <w:color w:val="FFFFFF" w:themeColor="background1"/>
    </w:rPr>
  </w:style>
  <w:style w:type="table" w:customStyle="1" w:styleId="VCAAclosedtable">
    <w:name w:val="VCAA closed table"/>
    <w:basedOn w:val="TableNormal"/>
    <w:uiPriority w:val="99"/>
    <w:rsid w:val="00A73907"/>
    <w:pPr>
      <w:spacing w:before="40" w:after="0" w:line="240" w:lineRule="auto"/>
    </w:pPr>
    <w:rPr>
      <w:rFonts w:ascii="Arial Narrow" w:hAnsi="Arial Narrow"/>
      <w:color w:val="000000" w:themeColor="text1"/>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character" w:customStyle="1" w:styleId="VCAAtabletextnarrowChar">
    <w:name w:val="VCAA table text narrow Char"/>
    <w:basedOn w:val="DefaultParagraphFont"/>
    <w:link w:val="VCAAtabletextnarrow"/>
    <w:rsid w:val="00A73907"/>
    <w:rPr>
      <w:rFonts w:ascii="Arial Narrow" w:hAnsi="Arial Narrow" w:cs="Arial"/>
      <w:sz w:val="20"/>
    </w:rPr>
  </w:style>
  <w:style w:type="paragraph" w:styleId="ListParagraph">
    <w:name w:val="List Paragraph"/>
    <w:basedOn w:val="Normal"/>
    <w:uiPriority w:val="34"/>
    <w:qFormat/>
    <w:rsid w:val="00A73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42229A"/>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229A"/>
    <w:rPr>
      <w:color w:val="808080"/>
    </w:rPr>
  </w:style>
  <w:style w:type="paragraph" w:customStyle="1" w:styleId="A8C39B39ED9FB94FBDEAEED12CD16B85">
    <w:name w:val="A8C39B39ED9FB94FBDEAEED12CD16B85"/>
  </w:style>
  <w:style w:type="paragraph" w:customStyle="1" w:styleId="5E90A6DD1CBC475081B637222D6F67BC">
    <w:name w:val="5E90A6DD1CBC475081B637222D6F67BC"/>
    <w:rsid w:val="0042229A"/>
    <w:pPr>
      <w:spacing w:after="160" w:line="259" w:lineRule="auto"/>
    </w:pPr>
    <w:rPr>
      <w:sz w:val="22"/>
      <w:szCs w:val="22"/>
      <w:lang w:eastAsia="en-AU"/>
    </w:rPr>
  </w:style>
  <w:style w:type="paragraph" w:customStyle="1" w:styleId="466BF049F4EC436D9402F65D0E181836">
    <w:name w:val="466BF049F4EC436D9402F65D0E181836"/>
    <w:rsid w:val="0042229A"/>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6D3AC0C8-3742-47F0-993C-6F86F59FE915}"/>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B0123E91-01C3-4F86-BA21-2CC702E04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Professional learning activity: Teacher approaches to contemporary issues</vt:lpstr>
    </vt:vector>
  </TitlesOfParts>
  <Company>Victorian Curriculum and Assessment Authority</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learning activity: Teacher approaches to contemporary issues</dc:title>
  <dc:creator>Derek Tolan</dc:creator>
  <cp:keywords>Victorian Curriculum; Civics and Citizenship; contemporary issues</cp:keywords>
  <cp:lastModifiedBy>Garner, Georgina K</cp:lastModifiedBy>
  <cp:revision>8</cp:revision>
  <cp:lastPrinted>2015-05-15T02:36:00Z</cp:lastPrinted>
  <dcterms:created xsi:type="dcterms:W3CDTF">2022-06-30T05:58:00Z</dcterms:created>
  <dcterms:modified xsi:type="dcterms:W3CDTF">2022-07-28T04:43:00Z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