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CB" w:rsidRPr="00007BCB" w:rsidRDefault="00007BCB" w:rsidP="00007BCB"/>
    <w:p w:rsidR="00007BCB" w:rsidRPr="00007BCB" w:rsidRDefault="00007BCB" w:rsidP="00007BCB">
      <w:pPr>
        <w:spacing w:before="720" w:line="800" w:lineRule="exact"/>
        <w:jc w:val="center"/>
        <w:outlineLvl w:val="0"/>
        <w:rPr>
          <w:rFonts w:ascii="Arial" w:hAnsi="Arial" w:cs="Arial"/>
          <w:b/>
          <w:color w:val="0099E3" w:themeColor="accent1"/>
          <w:sz w:val="72"/>
          <w:szCs w:val="48"/>
          <w:lang w:val="en-AU" w:eastAsia="en-AU"/>
        </w:rPr>
      </w:pPr>
      <w:bookmarkStart w:id="0" w:name="_Toc398032444"/>
      <w:bookmarkStart w:id="1" w:name="_Toc398032631"/>
      <w:r w:rsidRPr="00007BCB">
        <w:rPr>
          <w:rFonts w:ascii="Arial" w:hAnsi="Arial" w:cs="Arial"/>
          <w:b/>
          <w:color w:val="0099E3" w:themeColor="accent1"/>
          <w:sz w:val="72"/>
          <w:szCs w:val="48"/>
          <w:lang w:val="en-AU" w:eastAsia="en-AU"/>
        </w:rPr>
        <w:t xml:space="preserve">Using formative assessment rubrics in </w:t>
      </w:r>
      <w:r w:rsidR="00467219">
        <w:rPr>
          <w:rFonts w:ascii="Arial" w:hAnsi="Arial" w:cs="Arial"/>
          <w:b/>
          <w:color w:val="0099E3" w:themeColor="accent1"/>
          <w:sz w:val="72"/>
          <w:szCs w:val="48"/>
          <w:lang w:val="en-AU" w:eastAsia="en-AU"/>
        </w:rPr>
        <w:t xml:space="preserve">History </w:t>
      </w:r>
    </w:p>
    <w:bookmarkEnd w:id="0"/>
    <w:bookmarkEnd w:id="1"/>
    <w:p w:rsidR="00007BCB" w:rsidRDefault="00007BCB" w:rsidP="00390117">
      <w:pPr>
        <w:rPr>
          <w:lang w:val="en-AU"/>
        </w:rPr>
      </w:pPr>
    </w:p>
    <w:p w:rsidR="00940483" w:rsidRPr="0096253A" w:rsidRDefault="00467219" w:rsidP="00940483">
      <w:pPr>
        <w:pStyle w:val="VCAADocumentsubtitle"/>
        <w:rPr>
          <w:noProof w:val="0"/>
        </w:rPr>
      </w:pPr>
      <w:r>
        <w:rPr>
          <w:noProof w:val="0"/>
        </w:rPr>
        <w:t>Cause and effect</w:t>
      </w:r>
    </w:p>
    <w:p w:rsidR="00940483" w:rsidRPr="0096253A" w:rsidRDefault="00CD7977" w:rsidP="00940483">
      <w:pPr>
        <w:pStyle w:val="VCAADocumentsubtitleB"/>
        <w:rPr>
          <w:noProof w:val="0"/>
        </w:rPr>
      </w:pPr>
      <w:r w:rsidRPr="00007BCB">
        <w:rPr>
          <w:rFonts w:cs="Times New Roman"/>
          <w:b/>
        </w:rPr>
        <w:drawing>
          <wp:anchor distT="0" distB="0" distL="114300" distR="114300" simplePos="0" relativeHeight="251680768" behindDoc="0" locked="0" layoutInCell="1" allowOverlap="1">
            <wp:simplePos x="0" y="0"/>
            <wp:positionH relativeFrom="margin">
              <wp:align>left</wp:align>
            </wp:positionH>
            <wp:positionV relativeFrom="margin">
              <wp:posOffset>3340735</wp:posOffset>
            </wp:positionV>
            <wp:extent cx="7265035" cy="323469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5" r="20778" b="26543"/>
                    <a:stretch/>
                  </pic:blipFill>
                  <pic:spPr bwMode="auto">
                    <a:xfrm>
                      <a:off x="0" y="0"/>
                      <a:ext cx="7265035" cy="3235125"/>
                    </a:xfrm>
                    <a:prstGeom prst="rect">
                      <a:avLst/>
                    </a:prstGeom>
                    <a:noFill/>
                    <a:ln>
                      <a:noFill/>
                    </a:ln>
                    <a:extLst>
                      <a:ext uri="{53640926-AAD7-44D8-BBD7-CCE9431645EC}">
                        <a14:shadowObscured xmlns:a14="http://schemas.microsoft.com/office/drawing/2010/main"/>
                      </a:ext>
                    </a:extLst>
                  </pic:spPr>
                </pic:pic>
              </a:graphicData>
            </a:graphic>
          </wp:anchor>
        </w:drawing>
      </w:r>
      <w:r w:rsidR="00094E3B">
        <w:rPr>
          <w:noProof w:val="0"/>
        </w:rPr>
        <w:t>Level</w:t>
      </w:r>
      <w:r w:rsidR="00CE1BC0">
        <w:rPr>
          <w:noProof w:val="0"/>
        </w:rPr>
        <w:t>s</w:t>
      </w:r>
      <w:r w:rsidR="00094E3B">
        <w:rPr>
          <w:noProof w:val="0"/>
        </w:rPr>
        <w:t xml:space="preserve"> </w:t>
      </w:r>
      <w:r w:rsidR="00CE1BC0">
        <w:rPr>
          <w:noProof w:val="0"/>
        </w:rPr>
        <w:t>9–</w:t>
      </w:r>
      <w:r w:rsidR="004B3508">
        <w:rPr>
          <w:noProof w:val="0"/>
        </w:rPr>
        <w:t>10</w:t>
      </w:r>
    </w:p>
    <w:p w:rsidR="00390117" w:rsidRDefault="00390117" w:rsidP="00007BCB">
      <w:pPr>
        <w:jc w:val="center"/>
        <w:rPr>
          <w:lang w:val="en-AU"/>
        </w:rPr>
      </w:pPr>
    </w:p>
    <w:p w:rsidR="00390117" w:rsidRDefault="00390117" w:rsidP="00007BCB">
      <w:pPr>
        <w:jc w:val="center"/>
        <w:rPr>
          <w:lang w:val="en-AU"/>
        </w:rPr>
      </w:pPr>
    </w:p>
    <w:p w:rsidR="00390117" w:rsidRPr="00007BCB" w:rsidRDefault="00390117" w:rsidP="00007BCB">
      <w:pPr>
        <w:jc w:val="center"/>
        <w:rPr>
          <w:lang w:val="en-AU"/>
        </w:rPr>
        <w:sectPr w:rsidR="00390117" w:rsidRPr="00007BCB" w:rsidSect="004B3508">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rsidR="00007BCB" w:rsidRPr="00007BCB" w:rsidRDefault="00007BCB" w:rsidP="00007BCB">
      <w:pPr>
        <w:spacing w:before="888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w:t>
      </w:r>
      <w:r w:rsidR="00586FC2">
        <w:rPr>
          <w:rFonts w:ascii="Arial" w:hAnsi="Arial" w:cs="Arial"/>
          <w:color w:val="000000" w:themeColor="text1"/>
          <w:sz w:val="16"/>
          <w:szCs w:val="16"/>
          <w:lang w:val="en-AU"/>
        </w:rPr>
        <w:t>20</w:t>
      </w:r>
      <w:r w:rsidRPr="00007BCB">
        <w:rPr>
          <w:rFonts w:ascii="Arial" w:hAnsi="Arial" w:cs="Arial"/>
          <w:color w:val="000000" w:themeColor="text1"/>
          <w:sz w:val="16"/>
          <w:szCs w:val="16"/>
          <w:lang w:val="en-AU"/>
        </w:rPr>
        <w:t>.</w:t>
      </w:r>
    </w:p>
    <w:p w:rsidR="00007BCB" w:rsidRPr="00007BCB" w:rsidRDefault="00007BCB" w:rsidP="00007BCB">
      <w:pPr>
        <w:spacing w:before="12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rsidR="00007BCB" w:rsidRPr="00007BCB" w:rsidRDefault="00007BCB" w:rsidP="00007BCB">
      <w:pPr>
        <w:spacing w:before="12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rsidR="00007BCB" w:rsidRPr="00007BCB" w:rsidRDefault="00007BCB" w:rsidP="00007BCB">
      <w:pPr>
        <w:spacing w:before="120" w:after="120" w:line="280" w:lineRule="exact"/>
        <w:rPr>
          <w:rFonts w:ascii="Arial" w:hAnsi="Arial" w:cs="Arial"/>
          <w:color w:val="000000" w:themeColor="text1"/>
          <w:lang w:val="en-AU" w:eastAsia="en-AU"/>
        </w:rPr>
      </w:pPr>
    </w:p>
    <w:p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rsidR="00FF0E61" w:rsidRDefault="005C58BE">
      <w:pPr>
        <w:pStyle w:val="TOC1"/>
        <w:rPr>
          <w:rFonts w:eastAsiaTheme="minorEastAsia"/>
          <w:b w:val="0"/>
          <w:lang w:eastAsia="en-AU"/>
        </w:rPr>
      </w:pPr>
      <w:r w:rsidRPr="00007BCB">
        <w:rPr>
          <w:lang w:eastAsia="en-AU"/>
        </w:rPr>
        <w:fldChar w:fldCharType="begin"/>
      </w:r>
      <w:r w:rsidR="00007BCB" w:rsidRPr="00007BCB">
        <w:rPr>
          <w:lang w:eastAsia="en-AU"/>
        </w:rPr>
        <w:instrText xml:space="preserve"> TOC \h \z \t "VCAA Heading 1,1,VCAA Heading 2,2,VCAA Heading 3,4,VCAA Heading 2b sample,3" </w:instrText>
      </w:r>
      <w:r w:rsidRPr="00007BCB">
        <w:rPr>
          <w:lang w:eastAsia="en-AU"/>
        </w:rPr>
        <w:fldChar w:fldCharType="separate"/>
      </w:r>
      <w:hyperlink w:anchor="_Toc42631452" w:history="1">
        <w:r w:rsidR="00FF0E61" w:rsidRPr="001B3401">
          <w:rPr>
            <w:rStyle w:val="Hyperlink"/>
          </w:rPr>
          <w:t>What is formative assessment?</w:t>
        </w:r>
        <w:r w:rsidR="00FF0E61">
          <w:rPr>
            <w:webHidden/>
          </w:rPr>
          <w:tab/>
        </w:r>
        <w:r w:rsidR="00FF0E61">
          <w:rPr>
            <w:webHidden/>
          </w:rPr>
          <w:fldChar w:fldCharType="begin"/>
        </w:r>
        <w:r w:rsidR="00FF0E61">
          <w:rPr>
            <w:webHidden/>
          </w:rPr>
          <w:instrText xml:space="preserve"> PAGEREF _Toc42631452 \h </w:instrText>
        </w:r>
        <w:r w:rsidR="00FF0E61">
          <w:rPr>
            <w:webHidden/>
          </w:rPr>
        </w:r>
        <w:r w:rsidR="00FF0E61">
          <w:rPr>
            <w:webHidden/>
          </w:rPr>
          <w:fldChar w:fldCharType="separate"/>
        </w:r>
        <w:r w:rsidR="00FF0E61">
          <w:rPr>
            <w:webHidden/>
          </w:rPr>
          <w:t>4</w:t>
        </w:r>
        <w:r w:rsidR="00FF0E61">
          <w:rPr>
            <w:webHidden/>
          </w:rPr>
          <w:fldChar w:fldCharType="end"/>
        </w:r>
      </w:hyperlink>
    </w:p>
    <w:p w:rsidR="00FF0E61" w:rsidRDefault="00CF016D">
      <w:pPr>
        <w:pStyle w:val="TOC2"/>
        <w:tabs>
          <w:tab w:val="right" w:leader="dot" w:pos="9629"/>
        </w:tabs>
        <w:rPr>
          <w:rFonts w:eastAsiaTheme="minorEastAsia"/>
          <w:noProof/>
          <w:lang w:val="en-AU" w:eastAsia="en-AU"/>
        </w:rPr>
      </w:pPr>
      <w:hyperlink w:anchor="_Toc42631453" w:history="1">
        <w:r w:rsidR="00FF0E61" w:rsidRPr="001B3401">
          <w:rPr>
            <w:rStyle w:val="Hyperlink"/>
            <w:noProof/>
          </w:rPr>
          <w:t>Using formative assessment rubrics in schools</w:t>
        </w:r>
        <w:r w:rsidR="00FF0E61">
          <w:rPr>
            <w:noProof/>
            <w:webHidden/>
          </w:rPr>
          <w:tab/>
        </w:r>
        <w:r w:rsidR="00FF0E61">
          <w:rPr>
            <w:noProof/>
            <w:webHidden/>
          </w:rPr>
          <w:fldChar w:fldCharType="begin"/>
        </w:r>
        <w:r w:rsidR="00FF0E61">
          <w:rPr>
            <w:noProof/>
            <w:webHidden/>
          </w:rPr>
          <w:instrText xml:space="preserve"> PAGEREF _Toc42631453 \h </w:instrText>
        </w:r>
        <w:r w:rsidR="00FF0E61">
          <w:rPr>
            <w:noProof/>
            <w:webHidden/>
          </w:rPr>
        </w:r>
        <w:r w:rsidR="00FF0E61">
          <w:rPr>
            <w:noProof/>
            <w:webHidden/>
          </w:rPr>
          <w:fldChar w:fldCharType="separate"/>
        </w:r>
        <w:r w:rsidR="00FF0E61">
          <w:rPr>
            <w:noProof/>
            <w:webHidden/>
          </w:rPr>
          <w:t>4</w:t>
        </w:r>
        <w:r w:rsidR="00FF0E61">
          <w:rPr>
            <w:noProof/>
            <w:webHidden/>
          </w:rPr>
          <w:fldChar w:fldCharType="end"/>
        </w:r>
      </w:hyperlink>
    </w:p>
    <w:p w:rsidR="00FF0E61" w:rsidRDefault="00CF016D">
      <w:pPr>
        <w:pStyle w:val="TOC1"/>
        <w:rPr>
          <w:rFonts w:eastAsiaTheme="minorEastAsia"/>
          <w:b w:val="0"/>
          <w:lang w:eastAsia="en-AU"/>
        </w:rPr>
      </w:pPr>
      <w:hyperlink w:anchor="_Toc42631454" w:history="1">
        <w:r w:rsidR="00FF0E61" w:rsidRPr="001B3401">
          <w:rPr>
            <w:rStyle w:val="Hyperlink"/>
          </w:rPr>
          <w:t>The formative assessment rubric</w:t>
        </w:r>
        <w:r w:rsidR="00FF0E61">
          <w:rPr>
            <w:webHidden/>
          </w:rPr>
          <w:tab/>
        </w:r>
        <w:r w:rsidR="00FF0E61">
          <w:rPr>
            <w:webHidden/>
          </w:rPr>
          <w:fldChar w:fldCharType="begin"/>
        </w:r>
        <w:r w:rsidR="00FF0E61">
          <w:rPr>
            <w:webHidden/>
          </w:rPr>
          <w:instrText xml:space="preserve"> PAGEREF _Toc42631454 \h </w:instrText>
        </w:r>
        <w:r w:rsidR="00FF0E61">
          <w:rPr>
            <w:webHidden/>
          </w:rPr>
        </w:r>
        <w:r w:rsidR="00FF0E61">
          <w:rPr>
            <w:webHidden/>
          </w:rPr>
          <w:fldChar w:fldCharType="separate"/>
        </w:r>
        <w:r w:rsidR="00FF0E61">
          <w:rPr>
            <w:webHidden/>
          </w:rPr>
          <w:t>5</w:t>
        </w:r>
        <w:r w:rsidR="00FF0E61">
          <w:rPr>
            <w:webHidden/>
          </w:rPr>
          <w:fldChar w:fldCharType="end"/>
        </w:r>
      </w:hyperlink>
    </w:p>
    <w:p w:rsidR="00FF0E61" w:rsidRDefault="00CF016D">
      <w:pPr>
        <w:pStyle w:val="TOC4"/>
        <w:tabs>
          <w:tab w:val="right" w:leader="dot" w:pos="9629"/>
        </w:tabs>
        <w:rPr>
          <w:rFonts w:eastAsiaTheme="minorEastAsia"/>
          <w:noProof/>
          <w:lang w:val="en-AU" w:eastAsia="en-AU"/>
        </w:rPr>
      </w:pPr>
      <w:hyperlink w:anchor="_Toc42631455" w:history="1">
        <w:r w:rsidR="00FF0E61" w:rsidRPr="001B3401">
          <w:rPr>
            <w:rStyle w:val="Hyperlink"/>
            <w:noProof/>
          </w:rPr>
          <w:t>Links to the Victorian Curriculum F–10</w:t>
        </w:r>
        <w:r w:rsidR="00FF0E61">
          <w:rPr>
            <w:noProof/>
            <w:webHidden/>
          </w:rPr>
          <w:tab/>
        </w:r>
        <w:r w:rsidR="00FF0E61">
          <w:rPr>
            <w:noProof/>
            <w:webHidden/>
          </w:rPr>
          <w:fldChar w:fldCharType="begin"/>
        </w:r>
        <w:r w:rsidR="00FF0E61">
          <w:rPr>
            <w:noProof/>
            <w:webHidden/>
          </w:rPr>
          <w:instrText xml:space="preserve"> PAGEREF _Toc42631455 \h </w:instrText>
        </w:r>
        <w:r w:rsidR="00FF0E61">
          <w:rPr>
            <w:noProof/>
            <w:webHidden/>
          </w:rPr>
        </w:r>
        <w:r w:rsidR="00FF0E61">
          <w:rPr>
            <w:noProof/>
            <w:webHidden/>
          </w:rPr>
          <w:fldChar w:fldCharType="separate"/>
        </w:r>
        <w:r w:rsidR="00FF0E61">
          <w:rPr>
            <w:noProof/>
            <w:webHidden/>
          </w:rPr>
          <w:t>5</w:t>
        </w:r>
        <w:r w:rsidR="00FF0E61">
          <w:rPr>
            <w:noProof/>
            <w:webHidden/>
          </w:rPr>
          <w:fldChar w:fldCharType="end"/>
        </w:r>
      </w:hyperlink>
    </w:p>
    <w:p w:rsidR="00FF0E61" w:rsidRDefault="00CF016D">
      <w:pPr>
        <w:pStyle w:val="TOC1"/>
        <w:rPr>
          <w:rFonts w:eastAsiaTheme="minorEastAsia"/>
          <w:b w:val="0"/>
          <w:lang w:eastAsia="en-AU"/>
        </w:rPr>
      </w:pPr>
      <w:hyperlink w:anchor="_Toc42631456" w:history="1">
        <w:r w:rsidR="00FF0E61" w:rsidRPr="001B3401">
          <w:rPr>
            <w:rStyle w:val="Hyperlink"/>
          </w:rPr>
          <w:t>The formative assessment task</w:t>
        </w:r>
        <w:r w:rsidR="00FF0E61">
          <w:rPr>
            <w:webHidden/>
          </w:rPr>
          <w:tab/>
        </w:r>
        <w:r w:rsidR="00FF0E61">
          <w:rPr>
            <w:webHidden/>
          </w:rPr>
          <w:fldChar w:fldCharType="begin"/>
        </w:r>
        <w:r w:rsidR="00FF0E61">
          <w:rPr>
            <w:webHidden/>
          </w:rPr>
          <w:instrText xml:space="preserve"> PAGEREF _Toc42631456 \h </w:instrText>
        </w:r>
        <w:r w:rsidR="00FF0E61">
          <w:rPr>
            <w:webHidden/>
          </w:rPr>
        </w:r>
        <w:r w:rsidR="00FF0E61">
          <w:rPr>
            <w:webHidden/>
          </w:rPr>
          <w:fldChar w:fldCharType="separate"/>
        </w:r>
        <w:r w:rsidR="00FF0E61">
          <w:rPr>
            <w:webHidden/>
          </w:rPr>
          <w:t>7</w:t>
        </w:r>
        <w:r w:rsidR="00FF0E61">
          <w:rPr>
            <w:webHidden/>
          </w:rPr>
          <w:fldChar w:fldCharType="end"/>
        </w:r>
      </w:hyperlink>
    </w:p>
    <w:p w:rsidR="00FF0E61" w:rsidRDefault="00CF016D">
      <w:pPr>
        <w:pStyle w:val="TOC2"/>
        <w:tabs>
          <w:tab w:val="right" w:leader="dot" w:pos="9629"/>
        </w:tabs>
        <w:rPr>
          <w:rFonts w:eastAsiaTheme="minorEastAsia"/>
          <w:noProof/>
          <w:lang w:val="en-AU" w:eastAsia="en-AU"/>
        </w:rPr>
      </w:pPr>
      <w:hyperlink w:anchor="_Toc42631457" w:history="1">
        <w:r w:rsidR="00FF0E61" w:rsidRPr="001B3401">
          <w:rPr>
            <w:rStyle w:val="Hyperlink"/>
            <w:noProof/>
          </w:rPr>
          <w:t>Description of the task (administration guidelines)</w:t>
        </w:r>
        <w:r w:rsidR="00FF0E61">
          <w:rPr>
            <w:noProof/>
            <w:webHidden/>
          </w:rPr>
          <w:tab/>
        </w:r>
        <w:r w:rsidR="00FF0E61">
          <w:rPr>
            <w:noProof/>
            <w:webHidden/>
          </w:rPr>
          <w:fldChar w:fldCharType="begin"/>
        </w:r>
        <w:r w:rsidR="00FF0E61">
          <w:rPr>
            <w:noProof/>
            <w:webHidden/>
          </w:rPr>
          <w:instrText xml:space="preserve"> PAGEREF _Toc42631457 \h </w:instrText>
        </w:r>
        <w:r w:rsidR="00FF0E61">
          <w:rPr>
            <w:noProof/>
            <w:webHidden/>
          </w:rPr>
        </w:r>
        <w:r w:rsidR="00FF0E61">
          <w:rPr>
            <w:noProof/>
            <w:webHidden/>
          </w:rPr>
          <w:fldChar w:fldCharType="separate"/>
        </w:r>
        <w:r w:rsidR="00FF0E61">
          <w:rPr>
            <w:noProof/>
            <w:webHidden/>
          </w:rPr>
          <w:t>7</w:t>
        </w:r>
        <w:r w:rsidR="00FF0E61">
          <w:rPr>
            <w:noProof/>
            <w:webHidden/>
          </w:rPr>
          <w:fldChar w:fldCharType="end"/>
        </w:r>
      </w:hyperlink>
    </w:p>
    <w:p w:rsidR="00FF0E61" w:rsidRDefault="00CF016D">
      <w:pPr>
        <w:pStyle w:val="TOC1"/>
        <w:rPr>
          <w:rFonts w:eastAsiaTheme="minorEastAsia"/>
          <w:b w:val="0"/>
          <w:lang w:eastAsia="en-AU"/>
        </w:rPr>
      </w:pPr>
      <w:hyperlink w:anchor="_Toc42631458" w:history="1">
        <w:r w:rsidR="00FF0E61" w:rsidRPr="001B3401">
          <w:rPr>
            <w:rStyle w:val="Hyperlink"/>
          </w:rPr>
          <w:t>Appendix 1: Worksheets</w:t>
        </w:r>
        <w:r w:rsidR="00FF0E61">
          <w:rPr>
            <w:webHidden/>
          </w:rPr>
          <w:tab/>
        </w:r>
        <w:r w:rsidR="00FF0E61">
          <w:rPr>
            <w:webHidden/>
          </w:rPr>
          <w:fldChar w:fldCharType="begin"/>
        </w:r>
        <w:r w:rsidR="00FF0E61">
          <w:rPr>
            <w:webHidden/>
          </w:rPr>
          <w:instrText xml:space="preserve"> PAGEREF _Toc42631458 \h </w:instrText>
        </w:r>
        <w:r w:rsidR="00FF0E61">
          <w:rPr>
            <w:webHidden/>
          </w:rPr>
        </w:r>
        <w:r w:rsidR="00FF0E61">
          <w:rPr>
            <w:webHidden/>
          </w:rPr>
          <w:fldChar w:fldCharType="separate"/>
        </w:r>
        <w:r w:rsidR="00FF0E61">
          <w:rPr>
            <w:webHidden/>
          </w:rPr>
          <w:t>9</w:t>
        </w:r>
        <w:r w:rsidR="00FF0E61">
          <w:rPr>
            <w:webHidden/>
          </w:rPr>
          <w:fldChar w:fldCharType="end"/>
        </w:r>
      </w:hyperlink>
    </w:p>
    <w:p w:rsidR="00007BCB" w:rsidRPr="00007BCB" w:rsidRDefault="005C58BE" w:rsidP="00007BCB">
      <w:pPr>
        <w:tabs>
          <w:tab w:val="right" w:leader="dot" w:pos="9639"/>
        </w:tabs>
        <w:spacing w:before="240" w:after="100" w:line="240" w:lineRule="auto"/>
        <w:jc w:val="both"/>
        <w:rPr>
          <w:rFonts w:ascii="Arial" w:eastAsia="Times New Roman" w:hAnsi="Arial" w:cs="Arial"/>
          <w:b/>
          <w:bCs/>
          <w:szCs w:val="24"/>
          <w:lang w:val="en-AU" w:eastAsia="en-AU"/>
        </w:rPr>
        <w:sectPr w:rsidR="00007BCB" w:rsidRPr="00007BCB" w:rsidSect="004B3508">
          <w:headerReference w:type="first" r:id="rId19"/>
          <w:footerReference w:type="first" r:id="rId20"/>
          <w:pgSz w:w="11907" w:h="16840" w:code="9"/>
          <w:pgMar w:top="0" w:right="1134" w:bottom="0" w:left="1134" w:header="567" w:footer="284" w:gutter="0"/>
          <w:cols w:space="708"/>
          <w:titlePg/>
          <w:docGrid w:linePitch="360"/>
        </w:sectPr>
      </w:pPr>
      <w:r w:rsidRPr="00007BCB">
        <w:rPr>
          <w:rFonts w:ascii="Arial" w:eastAsia="Times New Roman" w:hAnsi="Arial" w:cs="Arial"/>
          <w:bCs/>
          <w:szCs w:val="24"/>
          <w:lang w:val="en-AU" w:eastAsia="en-AU"/>
        </w:rPr>
        <w:fldChar w:fldCharType="end"/>
      </w:r>
    </w:p>
    <w:p w:rsidR="00007BCB" w:rsidRPr="00007BCB" w:rsidRDefault="00007BCB" w:rsidP="00007BCB">
      <w:pPr>
        <w:rPr>
          <w:rFonts w:ascii="Arial" w:hAnsi="Arial" w:cs="Arial"/>
          <w:b/>
          <w:color w:val="000000" w:themeColor="text1"/>
          <w:sz w:val="40"/>
          <w:szCs w:val="40"/>
        </w:rPr>
      </w:pPr>
      <w:r w:rsidRPr="00007BCB">
        <w:br w:type="page"/>
      </w:r>
    </w:p>
    <w:p w:rsidR="00007BCB" w:rsidRPr="00007BCB" w:rsidRDefault="00007BCB" w:rsidP="00686D05">
      <w:pPr>
        <w:pStyle w:val="VCAAHeading1"/>
        <w:rPr>
          <w:lang w:val="en-AU"/>
        </w:rPr>
      </w:pPr>
      <w:bookmarkStart w:id="4" w:name="_Toc515458827"/>
      <w:bookmarkStart w:id="5" w:name="_Toc7594995"/>
      <w:bookmarkStart w:id="6" w:name="_Toc42631452"/>
      <w:r w:rsidRPr="00007BCB">
        <w:rPr>
          <w:lang w:val="en-AU"/>
        </w:rPr>
        <w:lastRenderedPageBreak/>
        <w:t>What is formative assessment?</w:t>
      </w:r>
      <w:bookmarkEnd w:id="4"/>
      <w:bookmarkEnd w:id="5"/>
      <w:bookmarkEnd w:id="6"/>
    </w:p>
    <w:p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t xml:space="preserve">Formative assessment is any assessment that is used to improve teaching and learning. Best-practice formative assessment uses a rigorous approach in which each step of the assessment process is carefully thought through. </w:t>
      </w:r>
    </w:p>
    <w:p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t>Assessment is a three-step process by which evidence is collected, interpreted and used. By definition, the final step of formative assessment requires a use that improves teaching and learning.</w:t>
      </w:r>
    </w:p>
    <w:p w:rsidR="00007BCB" w:rsidRPr="00CD7977" w:rsidRDefault="00007BCB" w:rsidP="00007BCB">
      <w:pPr>
        <w:spacing w:before="120" w:after="120" w:line="280" w:lineRule="exact"/>
        <w:rPr>
          <w:rFonts w:ascii="Arial" w:hAnsi="Arial" w:cs="Arial"/>
          <w:color w:val="000000" w:themeColor="text1"/>
          <w:lang w:val="en-AU"/>
        </w:rPr>
      </w:pPr>
      <w:r w:rsidRPr="00CD7977">
        <w:rPr>
          <w:rFonts w:ascii="Arial" w:hAnsi="Arial" w:cs="Arial"/>
          <w:color w:val="000000" w:themeColor="text1"/>
          <w:lang w:val="en-AU"/>
        </w:rPr>
        <w:t xml:space="preserve">For the best results, teachers can work together to interrogate the curriculum and use their professional expertise and knowledge of their students to outline a learning continuum including a rubric of measurable, user-friendly descriptions of skills and knowledge. </w:t>
      </w:r>
      <w:r w:rsidR="00EB7958" w:rsidRPr="00CD7977">
        <w:rPr>
          <w:rFonts w:ascii="Arial" w:hAnsi="Arial" w:cs="Arial"/>
          <w:color w:val="000000" w:themeColor="text1"/>
          <w:lang w:val="en-AU"/>
        </w:rPr>
        <w:t>T</w:t>
      </w:r>
      <w:r w:rsidRPr="00CD7977">
        <w:rPr>
          <w:rFonts w:ascii="Arial" w:hAnsi="Arial" w:cs="Arial"/>
          <w:color w:val="000000" w:themeColor="text1"/>
          <w:lang w:val="en-AU"/>
        </w:rPr>
        <w:t xml:space="preserve">eachers can draw on this learning continuum and rubric to collect evidence of </w:t>
      </w:r>
      <w:r w:rsidR="00EB7958" w:rsidRPr="00CD7977">
        <w:rPr>
          <w:rFonts w:ascii="Arial" w:hAnsi="Arial" w:cs="Arial"/>
          <w:color w:val="000000" w:themeColor="text1"/>
          <w:lang w:val="en-AU"/>
        </w:rPr>
        <w:t xml:space="preserve">each student’s </w:t>
      </w:r>
      <w:r w:rsidRPr="00CD7977">
        <w:rPr>
          <w:rFonts w:ascii="Arial" w:hAnsi="Arial" w:cs="Arial"/>
          <w:color w:val="000000" w:themeColor="text1"/>
          <w:lang w:val="en-AU"/>
        </w:rPr>
        <w:t xml:space="preserve">current </w:t>
      </w:r>
      <w:r w:rsidR="00EB7958" w:rsidRPr="00CD7977">
        <w:rPr>
          <w:rFonts w:ascii="Arial" w:hAnsi="Arial" w:cs="Arial"/>
          <w:color w:val="000000" w:themeColor="text1"/>
          <w:lang w:val="en-AU"/>
        </w:rPr>
        <w:t>learning</w:t>
      </w:r>
      <w:r w:rsidR="00E83006" w:rsidRPr="00CD7977">
        <w:rPr>
          <w:rFonts w:ascii="Arial" w:hAnsi="Arial" w:cs="Arial"/>
          <w:color w:val="000000" w:themeColor="text1"/>
          <w:lang w:val="en-AU"/>
        </w:rPr>
        <w:t xml:space="preserve"> in order</w:t>
      </w:r>
      <w:r w:rsidRPr="00CD7977">
        <w:rPr>
          <w:rFonts w:ascii="Arial" w:hAnsi="Arial" w:cs="Arial"/>
          <w:color w:val="000000" w:themeColor="text1"/>
          <w:lang w:val="en-AU"/>
        </w:rPr>
        <w:t xml:space="preserve"> to provide formative feedback and </w:t>
      </w:r>
      <w:r w:rsidR="00E83006" w:rsidRPr="00CD7977">
        <w:rPr>
          <w:rFonts w:ascii="Arial" w:hAnsi="Arial" w:cs="Arial"/>
          <w:color w:val="000000" w:themeColor="text1"/>
          <w:lang w:val="en-AU"/>
        </w:rPr>
        <w:t xml:space="preserve">understand what they are ready to learn next. </w:t>
      </w:r>
    </w:p>
    <w:p w:rsidR="00007BCB" w:rsidRPr="00007BCB" w:rsidRDefault="00007BCB" w:rsidP="00007BCB">
      <w:pPr>
        <w:spacing w:before="120" w:after="120" w:line="280" w:lineRule="exact"/>
        <w:rPr>
          <w:rFonts w:ascii="Arial" w:hAnsi="Arial" w:cs="Arial"/>
          <w:color w:val="000000" w:themeColor="text1"/>
          <w:lang w:val="en-AU"/>
        </w:rPr>
      </w:pPr>
      <w:r w:rsidRPr="00CD7977">
        <w:rPr>
          <w:rFonts w:ascii="Arial" w:hAnsi="Arial" w:cs="Arial"/>
          <w:color w:val="000000" w:themeColor="text1"/>
          <w:lang w:val="en-AU"/>
        </w:rPr>
        <w:t xml:space="preserve">The VCAA’s </w:t>
      </w:r>
      <w:r w:rsidRPr="00CD7977">
        <w:rPr>
          <w:rFonts w:ascii="Arial" w:hAnsi="Arial" w:cs="Arial"/>
          <w:i/>
          <w:color w:val="000000" w:themeColor="text1"/>
          <w:lang w:val="en-AU"/>
        </w:rPr>
        <w:t>Guide to Formative Assessment Rubrics</w:t>
      </w:r>
      <w:r w:rsidRPr="00CD7977">
        <w:rPr>
          <w:rFonts w:ascii="Arial" w:hAnsi="Arial" w:cs="Arial"/>
          <w:color w:val="000000" w:themeColor="text1"/>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CD7977">
          <w:rPr>
            <w:rFonts w:ascii="Arial" w:hAnsi="Arial" w:cs="Arial"/>
            <w:color w:val="0000FF" w:themeColor="hyperlink"/>
            <w:u w:val="single"/>
            <w:lang w:val="en-AU"/>
          </w:rPr>
          <w:t>Formative Assessment section</w:t>
        </w:r>
      </w:hyperlink>
      <w:r w:rsidRPr="00CD7977">
        <w:rPr>
          <w:rFonts w:ascii="Arial" w:hAnsi="Arial" w:cs="Arial"/>
          <w:color w:val="000000" w:themeColor="text1"/>
          <w:lang w:val="en-AU"/>
        </w:rPr>
        <w:t xml:space="preserve"> of the VCAA website.</w:t>
      </w:r>
    </w:p>
    <w:p w:rsidR="00007BCB" w:rsidRPr="00007BCB" w:rsidRDefault="00007BCB" w:rsidP="00686D05">
      <w:pPr>
        <w:pStyle w:val="VCAAHeading2"/>
      </w:pPr>
      <w:bookmarkStart w:id="7" w:name="_Toc42631453"/>
      <w:r w:rsidRPr="00007BCB">
        <w:t>Using formative assessment rubrics in schools</w:t>
      </w:r>
      <w:bookmarkEnd w:id="7"/>
    </w:p>
    <w:p w:rsidR="00007BCB" w:rsidRPr="00CD7977" w:rsidRDefault="00007BCB" w:rsidP="00CF016D">
      <w:pPr>
        <w:spacing w:before="120" w:after="120" w:line="280" w:lineRule="exact"/>
        <w:rPr>
          <w:rFonts w:ascii="Arial" w:hAnsi="Arial" w:cs="Arial"/>
          <w:color w:val="000000" w:themeColor="text1"/>
        </w:rPr>
      </w:pPr>
      <w:r w:rsidRPr="00CD7977">
        <w:rPr>
          <w:rFonts w:ascii="Arial" w:hAnsi="Arial" w:cs="Arial"/>
          <w:color w:val="000000" w:themeColor="text1"/>
        </w:rPr>
        <w:t xml:space="preserve">This document is based on the material developed by one group of teachers in the 2019 Formative Assessment Rubrics project. </w:t>
      </w:r>
      <w:r w:rsidR="00CF016D">
        <w:rPr>
          <w:rFonts w:ascii="Arial" w:hAnsi="Arial" w:cs="Arial"/>
          <w:color w:val="000000"/>
        </w:rPr>
        <w:t xml:space="preserve">The VCAA acknowledges the valuable contribution to this resource of the following teachers: </w:t>
      </w:r>
      <w:r w:rsidR="00CF016D" w:rsidRPr="00CF016D">
        <w:rPr>
          <w:rFonts w:ascii="Arial" w:hAnsi="Arial" w:cs="Arial"/>
          <w:color w:val="000000" w:themeColor="text1"/>
        </w:rPr>
        <w:t>Chevelle Alderton</w:t>
      </w:r>
      <w:r w:rsidR="00CF016D">
        <w:rPr>
          <w:rFonts w:ascii="Arial" w:hAnsi="Arial" w:cs="Arial"/>
          <w:color w:val="000000" w:themeColor="text1"/>
        </w:rPr>
        <w:t xml:space="preserve"> (</w:t>
      </w:r>
      <w:r w:rsidR="00CF016D" w:rsidRPr="00CF016D">
        <w:rPr>
          <w:rFonts w:ascii="Arial" w:hAnsi="Arial" w:cs="Arial"/>
          <w:color w:val="000000" w:themeColor="text1"/>
        </w:rPr>
        <w:t>Ashwood High School</w:t>
      </w:r>
      <w:r w:rsidR="00CF016D">
        <w:rPr>
          <w:rFonts w:ascii="Arial" w:hAnsi="Arial" w:cs="Arial"/>
          <w:color w:val="000000" w:themeColor="text1"/>
        </w:rPr>
        <w:t>) and Jessica Fischmann (</w:t>
      </w:r>
      <w:r w:rsidR="00CF016D" w:rsidRPr="00CF016D">
        <w:rPr>
          <w:rFonts w:ascii="Arial" w:hAnsi="Arial" w:cs="Arial"/>
          <w:color w:val="000000" w:themeColor="text1"/>
        </w:rPr>
        <w:t>Brighton Secondary College</w:t>
      </w:r>
      <w:r w:rsidR="00CF016D">
        <w:rPr>
          <w:rFonts w:ascii="Arial" w:hAnsi="Arial" w:cs="Arial"/>
          <w:color w:val="000000" w:themeColor="text1"/>
        </w:rPr>
        <w:t>).</w:t>
      </w:r>
      <w:r w:rsidR="00CF016D" w:rsidRPr="00CF016D">
        <w:rPr>
          <w:rFonts w:ascii="Arial" w:hAnsi="Arial" w:cs="Arial"/>
          <w:color w:val="000000" w:themeColor="text1"/>
        </w:rPr>
        <w:t xml:space="preserve"> </w:t>
      </w:r>
      <w:r w:rsidR="00EB7958" w:rsidRPr="00CD7977">
        <w:rPr>
          <w:rFonts w:ascii="Arial" w:hAnsi="Arial" w:cs="Arial"/>
          <w:color w:val="000000" w:themeColor="text1"/>
        </w:rPr>
        <w:t>The</w:t>
      </w:r>
      <w:r w:rsidRPr="00CD7977">
        <w:rPr>
          <w:rFonts w:ascii="Arial" w:hAnsi="Arial" w:cs="Arial"/>
          <w:color w:val="000000" w:themeColor="text1"/>
        </w:rPr>
        <w:t xml:space="preserve"> Victorian Curriculum and Assessment Authority partnered with the Assessment Research Centre, University of Melbourne, to provide professional learning for </w:t>
      </w:r>
      <w:r w:rsidR="00EB7958" w:rsidRPr="00CD7977">
        <w:rPr>
          <w:rFonts w:ascii="Arial" w:hAnsi="Arial" w:cs="Arial"/>
          <w:color w:val="000000" w:themeColor="text1"/>
        </w:rPr>
        <w:t>t</w:t>
      </w:r>
      <w:r w:rsidRPr="00CD7977">
        <w:rPr>
          <w:rFonts w:ascii="Arial" w:hAnsi="Arial" w:cs="Arial"/>
          <w:color w:val="000000" w:themeColor="text1"/>
        </w:rPr>
        <w:t>eachers interested in strengthening their understanding and use or formative assessment rubrics.</w:t>
      </w:r>
    </w:p>
    <w:p w:rsidR="00007BCB" w:rsidRPr="00007BCB" w:rsidRDefault="00007BCB" w:rsidP="00007BCB">
      <w:pPr>
        <w:spacing w:before="120" w:after="120" w:line="280" w:lineRule="exact"/>
        <w:rPr>
          <w:rFonts w:ascii="Arial" w:eastAsia="Calibri" w:hAnsi="Arial" w:cs="Arial"/>
          <w:color w:val="000000"/>
        </w:rPr>
      </w:pPr>
      <w:r w:rsidRPr="00CD7977">
        <w:t>This resource includes a sample formative assessment rubric and task</w:t>
      </w:r>
      <w:r w:rsidR="00EB7958" w:rsidRPr="00CD7977">
        <w:t xml:space="preserve"> and</w:t>
      </w:r>
      <w:r w:rsidRPr="00CD7977">
        <w:t xml:space="preserve"> describes how the teachers implemented the task in their schools and also includes representative student work samples.</w:t>
      </w:r>
      <w:r w:rsidRPr="00007BCB">
        <w:t xml:space="preserve"> </w:t>
      </w:r>
    </w:p>
    <w:p w:rsidR="00007BCB" w:rsidRPr="00007BCB" w:rsidRDefault="00007BCB" w:rsidP="00007BCB">
      <w:pPr>
        <w:spacing w:before="120" w:after="120" w:line="280" w:lineRule="exact"/>
        <w:rPr>
          <w:rFonts w:ascii="Arial" w:hAnsi="Arial" w:cs="Arial"/>
          <w:color w:val="000000" w:themeColor="text1"/>
        </w:rPr>
      </w:pPr>
      <w:r w:rsidRPr="00007BCB">
        <w:rPr>
          <w:rFonts w:ascii="Arial" w:hAnsi="Arial" w:cs="Arial"/>
          <w:color w:val="000000" w:themeColor="text1"/>
        </w:rPr>
        <w:t>Schools have flexibility in how they choose to use this resource, including as:</w:t>
      </w:r>
    </w:p>
    <w:p w:rsidR="00007BCB" w:rsidRPr="00007BCB" w:rsidRDefault="00007BCB" w:rsidP="00007BCB">
      <w:pPr>
        <w:numPr>
          <w:ilvl w:val="0"/>
          <w:numId w:val="1"/>
        </w:numPr>
        <w:tabs>
          <w:tab w:val="left" w:pos="425"/>
        </w:tabs>
        <w:spacing w:before="120" w:after="120" w:line="280" w:lineRule="exact"/>
        <w:ind w:left="360"/>
        <w:contextualSpacing/>
        <w:rPr>
          <w:rFonts w:ascii="Arial" w:eastAsia="Calibri" w:hAnsi="Arial" w:cs="Arial"/>
          <w:color w:val="000000" w:themeColor="text1"/>
          <w:kern w:val="22"/>
          <w:lang w:val="en-GB" w:eastAsia="ja-JP"/>
        </w:rPr>
      </w:pPr>
      <w:r w:rsidRPr="00007BCB">
        <w:rPr>
          <w:rFonts w:ascii="Arial" w:eastAsia="Calibri" w:hAnsi="Arial" w:cs="Arial"/>
          <w:color w:val="000000" w:themeColor="text1"/>
          <w:kern w:val="22"/>
          <w:lang w:val="en-GB" w:eastAsia="ja-JP"/>
        </w:rPr>
        <w:t>a model that they adapt to suit their own teaching and learning plans</w:t>
      </w:r>
    </w:p>
    <w:p w:rsidR="00007BCB" w:rsidRPr="00007BCB" w:rsidRDefault="00007BCB" w:rsidP="00007BCB">
      <w:pPr>
        <w:numPr>
          <w:ilvl w:val="0"/>
          <w:numId w:val="1"/>
        </w:numPr>
        <w:tabs>
          <w:tab w:val="left" w:pos="425"/>
        </w:tabs>
        <w:spacing w:before="120" w:after="120" w:line="280" w:lineRule="exact"/>
        <w:ind w:left="360"/>
        <w:contextualSpacing/>
        <w:rPr>
          <w:rFonts w:ascii="Arial" w:eastAsia="Calibri" w:hAnsi="Arial" w:cs="Arial"/>
          <w:color w:val="000000" w:themeColor="text1"/>
          <w:kern w:val="22"/>
          <w:lang w:val="en-GB" w:eastAsia="ja-JP"/>
        </w:rPr>
      </w:pPr>
      <w:r w:rsidRPr="00007BCB">
        <w:rPr>
          <w:rFonts w:ascii="Arial" w:eastAsia="Calibri" w:hAnsi="Arial" w:cs="Arial"/>
          <w:color w:val="000000" w:themeColor="text1"/>
          <w:kern w:val="22"/>
          <w:lang w:val="en-GB" w:eastAsia="ja-JP"/>
        </w:rPr>
        <w:t>a resource to support them as they develop their own formative assessment rubrics and tasks.</w:t>
      </w:r>
    </w:p>
    <w:p w:rsidR="00586FC2" w:rsidRDefault="00007BCB" w:rsidP="00007BCB">
      <w:r w:rsidRPr="00007BCB">
        <w:t>This resource is not an exemplar.</w:t>
      </w:r>
    </w:p>
    <w:p w:rsidR="00F4525C" w:rsidRDefault="00007BCB" w:rsidP="00007BCB">
      <w:r w:rsidRPr="00007BCB">
        <w:t xml:space="preserve">Additional support and advice on high-quality curriculum planning is available from the </w:t>
      </w:r>
      <w:hyperlink r:id="rId22" w:history="1">
        <w:r w:rsidRPr="00586FC2">
          <w:rPr>
            <w:rStyle w:val="Hyperlink"/>
          </w:rPr>
          <w:t>Curriculum Planning Resource</w:t>
        </w:r>
      </w:hyperlink>
      <w:r w:rsidRPr="00007BCB">
        <w:t>.</w:t>
      </w:r>
    </w:p>
    <w:p w:rsidR="005F11B9" w:rsidRDefault="005F11B9">
      <w:pPr>
        <w:rPr>
          <w:rFonts w:ascii="Arial" w:hAnsi="Arial" w:cs="Arial"/>
          <w:b/>
          <w:color w:val="000000" w:themeColor="text1"/>
          <w:sz w:val="32"/>
          <w:szCs w:val="28"/>
        </w:rPr>
      </w:pPr>
      <w:r>
        <w:br w:type="page"/>
      </w:r>
    </w:p>
    <w:p w:rsidR="00B6691D" w:rsidRDefault="005F11B9" w:rsidP="00686D05">
      <w:pPr>
        <w:pStyle w:val="VCAAHeading1"/>
      </w:pPr>
      <w:bookmarkStart w:id="8" w:name="_Toc42631454"/>
      <w:r>
        <w:lastRenderedPageBreak/>
        <w:t xml:space="preserve">The </w:t>
      </w:r>
      <w:r w:rsidR="00A50A62">
        <w:t xml:space="preserve">formative assessment </w:t>
      </w:r>
      <w:r>
        <w:t>rubric</w:t>
      </w:r>
      <w:bookmarkEnd w:id="8"/>
    </w:p>
    <w:p w:rsidR="00810BE0" w:rsidRPr="00CD7977" w:rsidRDefault="00810BE0" w:rsidP="00CD7977">
      <w:pPr>
        <w:pStyle w:val="VCAAbody"/>
      </w:pPr>
      <w:r w:rsidRPr="00CD7977">
        <w:t>The rubric in this document was developed to help inform teaching and learning in History. This supports the explicit teaching of cause and effect</w:t>
      </w:r>
      <w:r w:rsidR="00980182">
        <w:t xml:space="preserve"> in the context of learning about</w:t>
      </w:r>
      <w:r w:rsidR="00980182" w:rsidRPr="00980182">
        <w:t xml:space="preserve"> </w:t>
      </w:r>
      <w:r w:rsidR="00980182" w:rsidRPr="00CD7977">
        <w:t>rights and freedoms</w:t>
      </w:r>
      <w:r w:rsidRPr="00CD7977">
        <w:t>.</w:t>
      </w:r>
      <w:r w:rsidR="00980182">
        <w:t xml:space="preserve"> The rubric focusses on:</w:t>
      </w:r>
    </w:p>
    <w:p w:rsidR="00810BE0" w:rsidRPr="00CD7977" w:rsidRDefault="00980182" w:rsidP="00CD7977">
      <w:pPr>
        <w:pStyle w:val="VCAAbullet"/>
      </w:pPr>
      <w:r>
        <w:t>i</w:t>
      </w:r>
      <w:r w:rsidR="00810BE0" w:rsidRPr="00CD7977">
        <w:t>dentifying how a cause leads to an effect</w:t>
      </w:r>
    </w:p>
    <w:p w:rsidR="00810BE0" w:rsidRPr="00CD7977" w:rsidRDefault="00810BE0" w:rsidP="00CD7977">
      <w:pPr>
        <w:pStyle w:val="VCAAbullet"/>
      </w:pPr>
      <w:r w:rsidRPr="00CD7977">
        <w:t>identify</w:t>
      </w:r>
      <w:r w:rsidR="00980182">
        <w:t>ing</w:t>
      </w:r>
      <w:r w:rsidRPr="00CD7977">
        <w:t xml:space="preserve"> relationships and patterns of continuity, change, cause and/or effect</w:t>
      </w:r>
    </w:p>
    <w:p w:rsidR="00810BE0" w:rsidRPr="00CD7977" w:rsidRDefault="00810BE0" w:rsidP="00CD7977">
      <w:pPr>
        <w:pStyle w:val="VCAAbullet"/>
      </w:pPr>
      <w:r w:rsidRPr="00CD7977">
        <w:t>explain</w:t>
      </w:r>
      <w:r w:rsidR="00980182">
        <w:t>ing</w:t>
      </w:r>
      <w:r w:rsidRPr="00CD7977">
        <w:t xml:space="preserve"> the impact of events, actions and beliefs.</w:t>
      </w:r>
    </w:p>
    <w:p w:rsidR="00810BE0" w:rsidRDefault="00810BE0" w:rsidP="00810BE0">
      <w:pPr>
        <w:pStyle w:val="VCAAHeading3"/>
      </w:pPr>
      <w:bookmarkStart w:id="9" w:name="_Toc42631455"/>
      <w:r>
        <w:t>Links to the Victorian Curriculum F–10</w:t>
      </w:r>
      <w:bookmarkEnd w:id="9"/>
    </w:p>
    <w:p w:rsidR="00810BE0" w:rsidRDefault="00CF016D" w:rsidP="00810BE0">
      <w:pPr>
        <w:pStyle w:val="VCAAbody"/>
        <w:rPr>
          <w:b/>
        </w:rPr>
      </w:pPr>
      <w:r>
        <w:rPr>
          <w:b/>
        </w:rPr>
        <w:pict>
          <v:rect id="_x0000_i1026" style="width:0;height:1.5pt" o:hralign="center" o:hrstd="t" o:hr="t" fillcolor="#a0a0a0" stroked="f"/>
        </w:pict>
      </w:r>
    </w:p>
    <w:p w:rsidR="00980182" w:rsidRDefault="00810BE0" w:rsidP="00810BE0">
      <w:pPr>
        <w:pStyle w:val="VCAAbody"/>
        <w:tabs>
          <w:tab w:val="left" w:pos="3969"/>
        </w:tabs>
        <w:ind w:left="3969" w:hanging="3969"/>
      </w:pPr>
      <w:r w:rsidRPr="005F11B9">
        <w:rPr>
          <w:b/>
        </w:rPr>
        <w:t>Curriculum area:</w:t>
      </w:r>
      <w:r>
        <w:tab/>
      </w:r>
      <w:r w:rsidRPr="00CD7977">
        <w:t>History</w:t>
      </w:r>
      <w:r w:rsidR="00980182" w:rsidRPr="00980182">
        <w:t xml:space="preserve"> </w:t>
      </w:r>
    </w:p>
    <w:p w:rsidR="00810BE0" w:rsidRDefault="00980182" w:rsidP="00810BE0">
      <w:pPr>
        <w:pStyle w:val="VCAAbody"/>
        <w:tabs>
          <w:tab w:val="left" w:pos="3969"/>
        </w:tabs>
        <w:ind w:left="3969" w:hanging="3969"/>
      </w:pPr>
      <w:r>
        <w:rPr>
          <w:b/>
        </w:rPr>
        <w:tab/>
      </w:r>
      <w:r w:rsidRPr="004E254C">
        <w:t>Strands:</w:t>
      </w:r>
      <w:r w:rsidRPr="00980182">
        <w:t xml:space="preserve"> Historical Knowledge and Historical Knowledge and Skills</w:t>
      </w:r>
    </w:p>
    <w:p w:rsidR="00980182" w:rsidRPr="00980182" w:rsidRDefault="00980182" w:rsidP="00810BE0">
      <w:pPr>
        <w:pStyle w:val="VCAAbody"/>
        <w:tabs>
          <w:tab w:val="left" w:pos="3969"/>
        </w:tabs>
        <w:ind w:left="3969" w:hanging="3969"/>
      </w:pPr>
      <w:r>
        <w:tab/>
        <w:t>Sub-strands: The modern world and Australia, Cause and effect</w:t>
      </w:r>
    </w:p>
    <w:p w:rsidR="00810BE0" w:rsidRDefault="00810BE0" w:rsidP="00810BE0">
      <w:pPr>
        <w:pStyle w:val="VCAAbody"/>
        <w:tabs>
          <w:tab w:val="left" w:pos="3969"/>
        </w:tabs>
        <w:ind w:left="3969" w:hanging="3969"/>
      </w:pPr>
      <w:r w:rsidRPr="005F11B9">
        <w:rPr>
          <w:b/>
        </w:rPr>
        <w:t>Level</w:t>
      </w:r>
      <w:r>
        <w:rPr>
          <w:b/>
        </w:rPr>
        <w:t>s</w:t>
      </w:r>
      <w:r w:rsidRPr="005F11B9">
        <w:rPr>
          <w:b/>
        </w:rPr>
        <w:t>/Band</w:t>
      </w:r>
      <w:r>
        <w:rPr>
          <w:b/>
        </w:rPr>
        <w:t>s</w:t>
      </w:r>
      <w:r w:rsidRPr="005F11B9">
        <w:rPr>
          <w:b/>
        </w:rPr>
        <w:t>:</w:t>
      </w:r>
      <w:r w:rsidRPr="005F11B9">
        <w:rPr>
          <w:b/>
        </w:rPr>
        <w:tab/>
      </w:r>
      <w:r w:rsidRPr="00CD7977">
        <w:t>Level</w:t>
      </w:r>
      <w:r w:rsidR="00980182">
        <w:t>s</w:t>
      </w:r>
      <w:r w:rsidRPr="00CD7977">
        <w:t xml:space="preserve"> 9</w:t>
      </w:r>
      <w:r w:rsidR="00980182">
        <w:t xml:space="preserve"> and</w:t>
      </w:r>
      <w:r w:rsidRPr="00CD7977">
        <w:t xml:space="preserve">10 </w:t>
      </w:r>
    </w:p>
    <w:p w:rsidR="00810BE0" w:rsidRPr="00550EE9" w:rsidRDefault="00810BE0" w:rsidP="00810BE0">
      <w:pPr>
        <w:tabs>
          <w:tab w:val="left" w:pos="3969"/>
        </w:tabs>
        <w:ind w:left="3969" w:hanging="3969"/>
        <w:rPr>
          <w:color w:val="517AB7" w:themeColor="accent6"/>
        </w:rPr>
      </w:pPr>
      <w:r w:rsidRPr="00550EE9">
        <w:rPr>
          <w:b/>
        </w:rPr>
        <w:t>Achievement standard/s extract:</w:t>
      </w:r>
      <w:r w:rsidRPr="00550EE9">
        <w:rPr>
          <w:color w:val="517AB7" w:themeColor="accent6"/>
        </w:rPr>
        <w:t xml:space="preserve"> </w:t>
      </w:r>
      <w:r>
        <w:rPr>
          <w:color w:val="517AB7" w:themeColor="accent6"/>
        </w:rPr>
        <w:tab/>
      </w:r>
      <w:r w:rsidR="00980182">
        <w:rPr>
          <w:rStyle w:val="VCAAbodyChar"/>
        </w:rPr>
        <w:t>Students</w:t>
      </w:r>
      <w:r w:rsidR="00980182" w:rsidRPr="00CD7977">
        <w:rPr>
          <w:rStyle w:val="VCAAbodyChar"/>
        </w:rPr>
        <w:t xml:space="preserve"> </w:t>
      </w:r>
      <w:r w:rsidRPr="00CD7977">
        <w:rPr>
          <w:rStyle w:val="VCAAbodyChar"/>
        </w:rPr>
        <w:t>analyse the causes and effects of events and developments and explain their significance.</w:t>
      </w:r>
    </w:p>
    <w:p w:rsidR="00810BE0" w:rsidRPr="00CD7977" w:rsidRDefault="00810BE0" w:rsidP="00810BE0">
      <w:pPr>
        <w:tabs>
          <w:tab w:val="left" w:pos="3969"/>
        </w:tabs>
        <w:ind w:left="3969" w:hanging="3969"/>
        <w:rPr>
          <w:rStyle w:val="VCAAbodyChar"/>
        </w:rPr>
      </w:pPr>
      <w:r w:rsidRPr="005F11B9">
        <w:rPr>
          <w:b/>
        </w:rPr>
        <w:t>Content Description/s:</w:t>
      </w:r>
      <w:r>
        <w:rPr>
          <w:b/>
        </w:rPr>
        <w:tab/>
      </w:r>
      <w:r w:rsidRPr="00CD7977">
        <w:rPr>
          <w:rStyle w:val="VCAAbodyChar"/>
        </w:rPr>
        <w:t xml:space="preserve">Effects of the US civil rights movement and its influence on Australia </w:t>
      </w:r>
      <w:r w:rsidRPr="00CD7977">
        <w:rPr>
          <w:rStyle w:val="Hyperlink"/>
        </w:rPr>
        <w:t>(</w:t>
      </w:r>
      <w:hyperlink r:id="rId23" w:history="1">
        <w:r w:rsidRPr="00CD7977">
          <w:rPr>
            <w:rStyle w:val="Hyperlink"/>
          </w:rPr>
          <w:t>VCHHK153</w:t>
        </w:r>
      </w:hyperlink>
      <w:r w:rsidRPr="00CD7977">
        <w:rPr>
          <w:rStyle w:val="Hyperlink"/>
        </w:rPr>
        <w:t>)</w:t>
      </w:r>
      <w:r w:rsidR="00CD7977">
        <w:rPr>
          <w:rStyle w:val="VCAAbodyChar"/>
        </w:rPr>
        <w:t>.</w:t>
      </w:r>
    </w:p>
    <w:p w:rsidR="00784803" w:rsidRDefault="00CD7977" w:rsidP="00463289">
      <w:pPr>
        <w:tabs>
          <w:tab w:val="left" w:pos="3969"/>
        </w:tabs>
        <w:ind w:left="3969" w:hanging="3969"/>
      </w:pPr>
      <w:r>
        <w:tab/>
      </w:r>
      <w:r w:rsidR="00810BE0" w:rsidRPr="00FA5AB0">
        <w:t xml:space="preserve">Analyse the long term causes, short term triggers </w:t>
      </w:r>
      <w:r w:rsidR="00810BE0">
        <w:br/>
      </w:r>
      <w:r w:rsidR="00810BE0" w:rsidRPr="00FA5AB0">
        <w:t>and the intended and unintended effects of significant events and developments (</w:t>
      </w:r>
      <w:hyperlink r:id="rId24" w:history="1">
        <w:r w:rsidR="00810BE0" w:rsidRPr="004E58A8">
          <w:rPr>
            <w:rStyle w:val="Hyperlink"/>
          </w:rPr>
          <w:t>VCHHC127</w:t>
        </w:r>
      </w:hyperlink>
      <w:r w:rsidR="00810BE0" w:rsidRPr="00FA5AB0">
        <w:t>)</w:t>
      </w:r>
      <w:r>
        <w:t>.</w:t>
      </w:r>
      <w:r w:rsidR="00810BE0">
        <w:t xml:space="preserve"> </w:t>
      </w:r>
    </w:p>
    <w:p w:rsidR="00724741" w:rsidRDefault="007B1B57" w:rsidP="00463289">
      <w:pPr>
        <w:pStyle w:val="VCAAbody"/>
        <w:numPr>
          <w:ilvl w:val="0"/>
          <w:numId w:val="37"/>
        </w:numPr>
        <w:sectPr w:rsidR="00724741" w:rsidSect="00EA71BE">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440" w:right="1440" w:bottom="1440" w:left="1440" w:header="567" w:footer="284" w:gutter="0"/>
          <w:cols w:space="708"/>
          <w:titlePg/>
          <w:docGrid w:linePitch="360"/>
        </w:sectPr>
      </w:pPr>
      <w:r>
        <w:rPr>
          <w:color w:val="517AB7" w:themeColor="accent6"/>
        </w:rPr>
        <w:t xml:space="preserve"> </w:t>
      </w:r>
    </w:p>
    <w:tbl>
      <w:tblPr>
        <w:tblW w:w="5000" w:type="pct"/>
        <w:tblCellMar>
          <w:top w:w="113" w:type="dxa"/>
          <w:left w:w="113" w:type="dxa"/>
          <w:bottom w:w="113" w:type="dxa"/>
          <w:right w:w="113" w:type="dxa"/>
        </w:tblCellMar>
        <w:tblLook w:val="04A0" w:firstRow="1" w:lastRow="0" w:firstColumn="1" w:lastColumn="0" w:noHBand="0" w:noVBand="1"/>
      </w:tblPr>
      <w:tblGrid>
        <w:gridCol w:w="2425"/>
        <w:gridCol w:w="2442"/>
        <w:gridCol w:w="2298"/>
        <w:gridCol w:w="3499"/>
        <w:gridCol w:w="3499"/>
        <w:gridCol w:w="3499"/>
        <w:gridCol w:w="3495"/>
      </w:tblGrid>
      <w:tr w:rsidR="00E51420" w:rsidRPr="00980182" w:rsidTr="00980182">
        <w:trPr>
          <w:trHeight w:val="460"/>
        </w:trPr>
        <w:tc>
          <w:tcPr>
            <w:tcW w:w="1693" w:type="pct"/>
            <w:gridSpan w:val="3"/>
            <w:vMerge w:val="restar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rsidR="00E51420" w:rsidRPr="00980182" w:rsidRDefault="00E51420" w:rsidP="00980182">
            <w:pPr>
              <w:pStyle w:val="VCAAtablecondensed"/>
              <w:rPr>
                <w:b/>
              </w:rPr>
            </w:pPr>
            <w:r w:rsidRPr="00980182">
              <w:rPr>
                <w:b/>
              </w:rPr>
              <w:lastRenderedPageBreak/>
              <w:t xml:space="preserve">Learning continuum </w:t>
            </w:r>
          </w:p>
          <w:p w:rsidR="00E51420" w:rsidRPr="00980182" w:rsidRDefault="00E51420" w:rsidP="00980182">
            <w:pPr>
              <w:pStyle w:val="VCAAtablecondensed"/>
            </w:pPr>
            <w:r w:rsidRPr="00980182">
              <w:t>History</w:t>
            </w:r>
          </w:p>
          <w:p w:rsidR="00E51420" w:rsidRPr="00980182" w:rsidRDefault="00CD7977" w:rsidP="00980182">
            <w:pPr>
              <w:pStyle w:val="VCAAtablecondensed"/>
            </w:pPr>
            <w:r w:rsidRPr="00980182">
              <w:t xml:space="preserve">Levels 9 and </w:t>
            </w:r>
            <w:r w:rsidR="00E51420" w:rsidRPr="00980182">
              <w:t>10</w:t>
            </w:r>
          </w:p>
          <w:p w:rsidR="004D4103" w:rsidRPr="00980182" w:rsidRDefault="00980182" w:rsidP="00980182">
            <w:pPr>
              <w:pStyle w:val="VCAAtablecondensed"/>
            </w:pPr>
            <w:r w:rsidRPr="00980182">
              <w:t>Strands: Historical Knowledge and Historical Knowledge and Skills</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Phase 1</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Phase 2</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Phase 3</w:t>
            </w:r>
          </w:p>
        </w:tc>
        <w:tc>
          <w:tcPr>
            <w:tcW w:w="826"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Phase 4</w:t>
            </w:r>
          </w:p>
        </w:tc>
      </w:tr>
      <w:tr w:rsidR="00E51420" w:rsidRPr="00980182" w:rsidTr="00980182">
        <w:trPr>
          <w:trHeight w:val="562"/>
        </w:trPr>
        <w:tc>
          <w:tcPr>
            <w:tcW w:w="1693" w:type="pct"/>
            <w:gridSpan w:val="3"/>
            <w:vMerge/>
            <w:tcBorders>
              <w:top w:val="single" w:sz="12" w:space="0" w:color="FFC000"/>
              <w:left w:val="single" w:sz="12" w:space="0" w:color="FFC000"/>
              <w:bottom w:val="single" w:sz="12" w:space="0" w:color="FFC000"/>
              <w:right w:val="single" w:sz="12" w:space="0" w:color="FFC000"/>
            </w:tcBorders>
            <w:vAlign w:val="center"/>
            <w:hideMark/>
          </w:tcPr>
          <w:p w:rsidR="00E51420" w:rsidRPr="00980182" w:rsidRDefault="00E51420" w:rsidP="00980182">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586FC2">
            <w:pPr>
              <w:pStyle w:val="VCAAtablecondensed"/>
            </w:pPr>
            <w:r w:rsidRPr="00980182">
              <w:t xml:space="preserve">Students </w:t>
            </w:r>
            <w:r w:rsidR="00980182">
              <w:t>classify, identify and sequence elemen</w:t>
            </w:r>
            <w:r w:rsidR="00586FC2">
              <w:t>t</w:t>
            </w:r>
            <w:r w:rsidR="00980182">
              <w:t>s, selecting representative events and developments</w:t>
            </w:r>
            <w:r w:rsidR="00CD7977" w:rsidRPr="00980182">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 xml:space="preserve">Students </w:t>
            </w:r>
            <w:r w:rsidR="00980182">
              <w:t>identify reasons for, and relationships between, cause and effect</w:t>
            </w:r>
            <w:r w:rsidR="00CD7977" w:rsidRPr="00980182">
              <w:t>.</w:t>
            </w:r>
            <w:r w:rsidRPr="00980182" w:rsidDel="00047CD2">
              <w:t xml:space="preserve"> </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 xml:space="preserve">Students </w:t>
            </w:r>
            <w:r w:rsidR="00980182">
              <w:t>explain the impacts of cause and effect on events and developments</w:t>
            </w:r>
            <w:r w:rsidR="00CD7977" w:rsidRPr="00980182">
              <w:t>.</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Students evaluate impacts and patterns, developing criteria to do so</w:t>
            </w:r>
            <w:r w:rsidR="00CD7977" w:rsidRPr="00980182">
              <w:t>.</w:t>
            </w:r>
          </w:p>
        </w:tc>
      </w:tr>
      <w:tr w:rsidR="00E51420" w:rsidRPr="00980182" w:rsidTr="00E51420">
        <w:trPr>
          <w:trHeight w:val="53"/>
        </w:trPr>
        <w:tc>
          <w:tcPr>
            <w:tcW w:w="5000" w:type="pct"/>
            <w:gridSpan w:val="7"/>
            <w:tcBorders>
              <w:top w:val="single" w:sz="12" w:space="0" w:color="FFC000"/>
              <w:left w:val="nil"/>
              <w:bottom w:val="single" w:sz="8" w:space="0" w:color="000000"/>
              <w:right w:val="nil"/>
            </w:tcBorders>
            <w:shd w:val="clear" w:color="auto" w:fill="auto"/>
            <w:tcMar>
              <w:top w:w="15" w:type="dxa"/>
              <w:left w:w="108" w:type="dxa"/>
              <w:bottom w:w="0" w:type="dxa"/>
              <w:right w:w="108" w:type="dxa"/>
            </w:tcMar>
            <w:hideMark/>
          </w:tcPr>
          <w:p w:rsidR="00E51420" w:rsidRPr="00980182" w:rsidRDefault="00E51420" w:rsidP="00980182">
            <w:pPr>
              <w:pStyle w:val="VCAAtablecondensed"/>
            </w:pPr>
            <w:r w:rsidRPr="00980182">
              <w:t> </w:t>
            </w:r>
          </w:p>
        </w:tc>
      </w:tr>
      <w:tr w:rsidR="00E51420" w:rsidRPr="00980182" w:rsidTr="00980182">
        <w:trPr>
          <w:trHeight w:val="623"/>
        </w:trPr>
        <w:tc>
          <w:tcPr>
            <w:tcW w:w="573"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Organising element</w:t>
            </w:r>
          </w:p>
        </w:tc>
        <w:tc>
          <w:tcPr>
            <w:tcW w:w="577"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Action</w:t>
            </w:r>
          </w:p>
        </w:tc>
        <w:tc>
          <w:tcPr>
            <w:tcW w:w="543" w:type="pct"/>
            <w:tcBorders>
              <w:top w:val="single" w:sz="8" w:space="0" w:color="000000"/>
              <w:left w:val="single" w:sz="8" w:space="0" w:color="000000"/>
              <w:bottom w:val="single" w:sz="8" w:space="0" w:color="000000"/>
              <w:right w:val="single" w:sz="12" w:space="0" w:color="FFC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Insufficient evidence</w:t>
            </w:r>
          </w:p>
        </w:tc>
        <w:tc>
          <w:tcPr>
            <w:tcW w:w="3307" w:type="pct"/>
            <w:gridSpan w:val="4"/>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rsidR="00E51420" w:rsidRPr="00980182" w:rsidRDefault="00E51420" w:rsidP="00980182">
            <w:pPr>
              <w:pStyle w:val="VCAAtablecondensed"/>
              <w:rPr>
                <w:b/>
              </w:rPr>
            </w:pPr>
            <w:r w:rsidRPr="00980182">
              <w:rPr>
                <w:b/>
              </w:rPr>
              <w:t>Quality criteria</w:t>
            </w:r>
          </w:p>
        </w:tc>
      </w:tr>
      <w:tr w:rsidR="00E51420" w:rsidRPr="00980182" w:rsidTr="00980182">
        <w:trPr>
          <w:trHeight w:val="654"/>
        </w:trPr>
        <w:tc>
          <w:tcPr>
            <w:tcW w:w="573" w:type="pct"/>
            <w:vMerge w:val="restart"/>
            <w:tcBorders>
              <w:top w:val="single" w:sz="8" w:space="0" w:color="000000"/>
              <w:left w:val="single" w:sz="8" w:space="0" w:color="000000"/>
              <w:right w:val="single" w:sz="8" w:space="0" w:color="000000"/>
            </w:tcBorders>
            <w:shd w:val="clear" w:color="auto" w:fill="auto"/>
            <w:hideMark/>
          </w:tcPr>
          <w:p w:rsidR="00E51420" w:rsidRPr="00980182" w:rsidRDefault="00CD7977" w:rsidP="00980182">
            <w:pPr>
              <w:pStyle w:val="VCAAtablecondensed"/>
            </w:pPr>
            <w:r w:rsidRPr="00980182">
              <w:t>Analysing cause and effect</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rsidR="00E51420" w:rsidRPr="00980182" w:rsidRDefault="00E51420" w:rsidP="00980182">
            <w:pPr>
              <w:pStyle w:val="VCAAtablecondensed"/>
            </w:pPr>
            <w:r w:rsidRPr="00980182">
              <w:t xml:space="preserve">1 </w:t>
            </w:r>
            <w:r w:rsidR="00CD7977" w:rsidRPr="00980182">
              <w:t>Analysing cause and effect</w:t>
            </w:r>
          </w:p>
        </w:tc>
        <w:tc>
          <w:tcPr>
            <w:tcW w:w="543"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rsidR="00E51420" w:rsidRPr="00980182" w:rsidRDefault="00E51420" w:rsidP="00980182">
            <w:pPr>
              <w:pStyle w:val="VCAAtablecondensed"/>
            </w:pPr>
            <w:r w:rsidRPr="00980182">
              <w:t>1.0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 xml:space="preserve">1.1 </w:t>
            </w:r>
            <w:r w:rsidR="004D4103" w:rsidRPr="00980182">
              <w:t>Distinguish</w:t>
            </w:r>
            <w:r w:rsidRPr="00980182">
              <w:t xml:space="preserve"> cause and effect</w:t>
            </w:r>
            <w:r w:rsidR="00CD7977" w:rsidRPr="00980182">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1.2 Identify how a cause leads to an effect</w:t>
            </w:r>
            <w:r w:rsidR="00CD7977" w:rsidRPr="00980182">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1.3 Explain the impact of cause and effect</w:t>
            </w:r>
            <w:r w:rsidR="00CD7977" w:rsidRPr="00980182">
              <w:t>.</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 xml:space="preserve">1.4 Develop criteria for </w:t>
            </w:r>
            <w:r w:rsidR="00724C10">
              <w:t>evaluating</w:t>
            </w:r>
            <w:r w:rsidR="00724C10" w:rsidRPr="00980182">
              <w:t xml:space="preserve"> </w:t>
            </w:r>
            <w:r w:rsidRPr="00980182">
              <w:t>the effect of events and developments</w:t>
            </w:r>
            <w:r w:rsidR="00CD7977" w:rsidRPr="00980182">
              <w:t>.</w:t>
            </w:r>
            <w:r w:rsidRPr="00980182">
              <w:t xml:space="preserve"> </w:t>
            </w:r>
          </w:p>
        </w:tc>
      </w:tr>
      <w:tr w:rsidR="00E51420" w:rsidRPr="00980182" w:rsidTr="00980182">
        <w:trPr>
          <w:trHeight w:val="650"/>
        </w:trPr>
        <w:tc>
          <w:tcPr>
            <w:tcW w:w="573" w:type="pct"/>
            <w:vMerge/>
            <w:tcBorders>
              <w:left w:val="single" w:sz="8" w:space="0" w:color="000000"/>
              <w:bottom w:val="single" w:sz="8" w:space="0" w:color="000000"/>
              <w:right w:val="single" w:sz="8" w:space="0" w:color="000000"/>
            </w:tcBorders>
            <w:shd w:val="clear" w:color="auto" w:fill="auto"/>
          </w:tcPr>
          <w:p w:rsidR="00E51420" w:rsidRPr="00980182" w:rsidRDefault="00E51420" w:rsidP="00980182">
            <w:pPr>
              <w:pStyle w:val="VCAAtablecondensed"/>
            </w:pP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E51420" w:rsidRPr="00980182" w:rsidRDefault="00CD7977" w:rsidP="00980182">
            <w:pPr>
              <w:pStyle w:val="VCAAtablecondensed"/>
            </w:pPr>
            <w:r w:rsidRPr="00980182">
              <w:t xml:space="preserve">2 </w:t>
            </w:r>
            <w:r w:rsidR="00E51420" w:rsidRPr="00980182">
              <w:t>Using sequencing to analyse cause and effect</w:t>
            </w:r>
          </w:p>
        </w:tc>
        <w:tc>
          <w:tcPr>
            <w:tcW w:w="543"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2.0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2.1 Sequence events and developments that represent cause and effect</w:t>
            </w:r>
            <w:r w:rsidR="00CD7977" w:rsidRPr="00980182">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pPr>
            <w:r w:rsidRPr="00980182">
              <w:t>2.2 Use chronology to justify how events and development show cause and effect</w:t>
            </w:r>
            <w:r w:rsidR="00CD7977" w:rsidRPr="00980182">
              <w:t>.</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rsidR="00E51420" w:rsidRPr="00980182" w:rsidRDefault="00E51420" w:rsidP="00980182">
            <w:pPr>
              <w:pStyle w:val="VCAAtablecondensed"/>
              <w:rPr>
                <w:highlight w:val="yellow"/>
              </w:rPr>
            </w:pPr>
            <w:r w:rsidRPr="00980182">
              <w:t>2.3 Analy</w:t>
            </w:r>
            <w:r w:rsidR="00CD7977" w:rsidRPr="00980182">
              <w:t>s</w:t>
            </w:r>
            <w:r w:rsidRPr="00980182">
              <w:t>e recurring patterns of cause and effect over time</w:t>
            </w:r>
            <w:r w:rsidR="00CD7977" w:rsidRPr="00980182">
              <w:t>.</w:t>
            </w:r>
            <w:r w:rsidRPr="00980182">
              <w:t xml:space="preserve"> </w:t>
            </w:r>
          </w:p>
        </w:tc>
      </w:tr>
    </w:tbl>
    <w:p w:rsidR="00E51420" w:rsidRDefault="00E51420" w:rsidP="006557CF"/>
    <w:p w:rsidR="00E51420" w:rsidRDefault="00E51420" w:rsidP="006557CF"/>
    <w:p w:rsidR="00E51420" w:rsidRDefault="00E51420" w:rsidP="006557CF">
      <w:pPr>
        <w:sectPr w:rsidR="00E51420" w:rsidSect="00724741">
          <w:pgSz w:w="23811" w:h="16838" w:orient="landscape" w:code="8"/>
          <w:pgMar w:top="1440" w:right="1440" w:bottom="1440" w:left="1440" w:header="567" w:footer="284" w:gutter="0"/>
          <w:cols w:space="708"/>
          <w:titlePg/>
          <w:docGrid w:linePitch="360"/>
        </w:sectPr>
      </w:pPr>
    </w:p>
    <w:p w:rsidR="0087058D" w:rsidRDefault="0087058D" w:rsidP="0087058D">
      <w:pPr>
        <w:pStyle w:val="VCAAHeading1"/>
      </w:pPr>
      <w:bookmarkStart w:id="10" w:name="_Toc42631456"/>
      <w:r>
        <w:lastRenderedPageBreak/>
        <w:t>The formative assessment task</w:t>
      </w:r>
      <w:bookmarkEnd w:id="10"/>
    </w:p>
    <w:p w:rsidR="00CD7977" w:rsidRDefault="00CD7977" w:rsidP="00CD7977">
      <w:pPr>
        <w:pStyle w:val="VCAAbody"/>
      </w:pPr>
      <w:r w:rsidRPr="00CD7977">
        <w:t>The following formative assessment task was developed to elicit evidence of each student’s current learning and what they are ready to learn next.</w:t>
      </w:r>
    </w:p>
    <w:p w:rsidR="0087058D" w:rsidRPr="007329DD" w:rsidRDefault="0087058D" w:rsidP="00CD7977">
      <w:pPr>
        <w:pStyle w:val="VCAAHeading2"/>
      </w:pPr>
      <w:bookmarkStart w:id="11" w:name="_Toc42631457"/>
      <w:bookmarkStart w:id="12" w:name="_GoBack"/>
      <w:bookmarkEnd w:id="12"/>
      <w:r>
        <w:t>Description of the task (administration guidelines)</w:t>
      </w:r>
      <w:bookmarkEnd w:id="11"/>
    </w:p>
    <w:p w:rsidR="0087058D" w:rsidRDefault="00CF016D" w:rsidP="0087058D">
      <w:pPr>
        <w:rPr>
          <w:b/>
        </w:rPr>
      </w:pPr>
      <w:r>
        <w:rPr>
          <w:b/>
        </w:rPr>
        <w:pict>
          <v:rect id="_x0000_i1027" style="width:0;height:1.5pt" o:hralign="center" o:hrstd="t" o:hr="t" fillcolor="#a0a0a0" stroked="f"/>
        </w:pict>
      </w:r>
    </w:p>
    <w:p w:rsidR="0087058D" w:rsidRDefault="0087058D" w:rsidP="00FF0E61">
      <w:pPr>
        <w:pStyle w:val="VCAAbullet"/>
        <w:spacing w:before="0" w:after="0"/>
        <w:ind w:right="-187"/>
      </w:pPr>
      <w:r>
        <w:t xml:space="preserve">Students are focusing on the concept of cause and effect, specifically examining how the civil rights movement </w:t>
      </w:r>
      <w:r w:rsidR="007F15D0">
        <w:t xml:space="preserve">for African-Americans in the United States of America (US) </w:t>
      </w:r>
      <w:r>
        <w:t>affected the civil rights movement for Aboriginal and Torres Strait Islander</w:t>
      </w:r>
      <w:r w:rsidR="00743CB9">
        <w:t>s</w:t>
      </w:r>
      <w:r w:rsidR="007F15D0">
        <w:t xml:space="preserve"> in Australia</w:t>
      </w:r>
      <w:r w:rsidR="00062A67">
        <w:t xml:space="preserve"> in the 1960’s and 70’s</w:t>
      </w:r>
      <w:r w:rsidR="007F15D0">
        <w:t>.</w:t>
      </w:r>
    </w:p>
    <w:p w:rsidR="0087058D" w:rsidRPr="00D075B1" w:rsidRDefault="0087058D" w:rsidP="00FF0E61">
      <w:pPr>
        <w:pStyle w:val="VCAAbullet"/>
        <w:spacing w:before="0" w:after="0"/>
        <w:ind w:right="-187"/>
      </w:pPr>
      <w:r>
        <w:t xml:space="preserve">Students are </w:t>
      </w:r>
      <w:r w:rsidR="00743CB9">
        <w:t>given</w:t>
      </w:r>
      <w:r>
        <w:t xml:space="preserve"> examples of direct action strategies used to influence change in the US civil rights movement and the Aboriginal and Torres Strait Islander civil rights movement</w:t>
      </w:r>
      <w:r w:rsidR="007F15D0">
        <w:t>.</w:t>
      </w:r>
    </w:p>
    <w:p w:rsidR="0087058D" w:rsidRPr="00FF0E61" w:rsidRDefault="0087058D" w:rsidP="00FF0E61">
      <w:pPr>
        <w:pStyle w:val="VCAAbody"/>
        <w:spacing w:before="0" w:after="0"/>
        <w:ind w:right="-187"/>
        <w:rPr>
          <w:b/>
        </w:rPr>
      </w:pPr>
      <w:r w:rsidRPr="00FF0E61">
        <w:rPr>
          <w:b/>
        </w:rPr>
        <w:t xml:space="preserve">Prior knowledge </w:t>
      </w:r>
    </w:p>
    <w:p w:rsidR="0087058D" w:rsidRDefault="0087058D" w:rsidP="00FF0E61">
      <w:pPr>
        <w:pStyle w:val="VCAAbullet"/>
        <w:spacing w:before="0" w:after="0"/>
        <w:ind w:right="-187"/>
      </w:pPr>
      <w:r w:rsidRPr="00BD50A7">
        <w:t xml:space="preserve">Students have been explicitly taught the concepts of cause and effect. </w:t>
      </w:r>
    </w:p>
    <w:p w:rsidR="0087058D" w:rsidRDefault="0087058D" w:rsidP="00FF0E61">
      <w:pPr>
        <w:pStyle w:val="VCAAbullet"/>
        <w:spacing w:before="0" w:after="0"/>
        <w:ind w:right="-187"/>
      </w:pPr>
      <w:r>
        <w:t xml:space="preserve">Students have been explicitly taught the key strategies and subsequent events featured in the </w:t>
      </w:r>
      <w:r w:rsidR="00743CB9">
        <w:t>example</w:t>
      </w:r>
      <w:r>
        <w:t xml:space="preserve">. They have a background to the events, the reason for the event occurring and the effect of the event on the fight for civil rights </w:t>
      </w:r>
    </w:p>
    <w:p w:rsidR="0087058D" w:rsidRPr="00BD50A7" w:rsidRDefault="0087058D" w:rsidP="00FF0E61">
      <w:pPr>
        <w:pStyle w:val="VCAAbullet"/>
        <w:spacing w:before="0" w:after="0"/>
        <w:ind w:right="-187"/>
      </w:pPr>
      <w:r>
        <w:t>Students are aware that the Aboriginal and Torres Strait Islander civil rights movement was inspired by actions within the US civil rights movement</w:t>
      </w:r>
    </w:p>
    <w:p w:rsidR="0087058D" w:rsidRPr="00FF0E61" w:rsidRDefault="007F15D0" w:rsidP="00FF0E61">
      <w:pPr>
        <w:pStyle w:val="VCAAbody"/>
        <w:spacing w:before="0" w:after="0"/>
        <w:ind w:right="-187"/>
        <w:rPr>
          <w:b/>
        </w:rPr>
      </w:pPr>
      <w:r w:rsidRPr="00FF0E61">
        <w:rPr>
          <w:b/>
        </w:rPr>
        <w:t xml:space="preserve">Task </w:t>
      </w:r>
      <w:r w:rsidR="0087058D" w:rsidRPr="00FF0E61">
        <w:rPr>
          <w:b/>
        </w:rPr>
        <w:t xml:space="preserve">instructions </w:t>
      </w:r>
    </w:p>
    <w:p w:rsidR="0087058D" w:rsidRPr="000802F6" w:rsidRDefault="0087058D" w:rsidP="00FF0E61">
      <w:pPr>
        <w:pStyle w:val="VCAAbullet"/>
        <w:spacing w:before="0" w:after="0"/>
        <w:ind w:right="-187"/>
      </w:pPr>
      <w:r>
        <w:t xml:space="preserve">Students complete </w:t>
      </w:r>
      <w:r w:rsidR="00743CB9">
        <w:t xml:space="preserve">the </w:t>
      </w:r>
      <w:r>
        <w:t xml:space="preserve">task independently </w:t>
      </w:r>
    </w:p>
    <w:p w:rsidR="0087058D" w:rsidRDefault="0087058D" w:rsidP="00FF0E61">
      <w:pPr>
        <w:pStyle w:val="VCAAbullet"/>
        <w:spacing w:before="0" w:after="0"/>
        <w:ind w:right="-187"/>
      </w:pPr>
      <w:r>
        <w:t>Students are presented with the worksheet</w:t>
      </w:r>
      <w:r w:rsidR="007F15D0">
        <w:t xml:space="preserve"> (</w:t>
      </w:r>
      <w:hyperlink w:anchor="Appendix1" w:history="1">
        <w:r w:rsidR="007F15D0" w:rsidRPr="007F15D0">
          <w:rPr>
            <w:rStyle w:val="Hyperlink"/>
          </w:rPr>
          <w:t>Appendix 1</w:t>
        </w:r>
      </w:hyperlink>
      <w:r w:rsidR="007F15D0">
        <w:t>)</w:t>
      </w:r>
      <w:r>
        <w:t xml:space="preserve">. The worksheet </w:t>
      </w:r>
      <w:r w:rsidR="007F15D0">
        <w:t>is</w:t>
      </w:r>
      <w:r>
        <w:t xml:space="preserve"> completed </w:t>
      </w:r>
      <w:r w:rsidR="00743CB9">
        <w:t>in</w:t>
      </w:r>
      <w:r>
        <w:t xml:space="preserve"> hard copy. </w:t>
      </w:r>
    </w:p>
    <w:p w:rsidR="007F15D0" w:rsidRDefault="0087058D" w:rsidP="00FF0E61">
      <w:pPr>
        <w:pStyle w:val="VCAAbullet"/>
        <w:spacing w:before="0" w:after="0"/>
        <w:ind w:right="-187"/>
      </w:pPr>
      <w:r>
        <w:t xml:space="preserve">The teacher reads through the worksheet with the students, focusing on the instructions at the top of the page: </w:t>
      </w:r>
    </w:p>
    <w:p w:rsidR="0087058D" w:rsidRPr="001E5307" w:rsidRDefault="0087058D" w:rsidP="00FF0E61">
      <w:pPr>
        <w:pStyle w:val="VCAAbullet"/>
        <w:numPr>
          <w:ilvl w:val="0"/>
          <w:numId w:val="0"/>
        </w:numPr>
        <w:spacing w:before="0" w:after="0"/>
        <w:ind w:left="425" w:right="-187"/>
      </w:pPr>
      <w:r w:rsidRPr="008B3679">
        <w:rPr>
          <w:i/>
        </w:rPr>
        <w:t xml:space="preserve">Look at the images in the table below. Each image represents a strategy </w:t>
      </w:r>
      <w:r w:rsidR="00743CB9">
        <w:rPr>
          <w:i/>
        </w:rPr>
        <w:t>used</w:t>
      </w:r>
      <w:r w:rsidR="00743CB9" w:rsidRPr="008B3679">
        <w:rPr>
          <w:i/>
        </w:rPr>
        <w:t xml:space="preserve"> </w:t>
      </w:r>
      <w:r w:rsidRPr="008B3679">
        <w:rPr>
          <w:i/>
        </w:rPr>
        <w:t xml:space="preserve">by civil rights movements in the US and Australia. In the table on the right-hand side of the page, </w:t>
      </w:r>
      <w:r w:rsidR="007F15D0">
        <w:rPr>
          <w:i/>
        </w:rPr>
        <w:t xml:space="preserve">you need to </w:t>
      </w:r>
      <w:r w:rsidRPr="008B3679">
        <w:rPr>
          <w:i/>
        </w:rPr>
        <w:t xml:space="preserve">explain how the strategies </w:t>
      </w:r>
      <w:r w:rsidR="00743CB9">
        <w:rPr>
          <w:i/>
        </w:rPr>
        <w:t>used</w:t>
      </w:r>
      <w:r w:rsidR="00743CB9" w:rsidRPr="008B3679">
        <w:rPr>
          <w:i/>
        </w:rPr>
        <w:t xml:space="preserve"> </w:t>
      </w:r>
      <w:r w:rsidRPr="008B3679">
        <w:rPr>
          <w:i/>
        </w:rPr>
        <w:t xml:space="preserve">by the US civil rights movement </w:t>
      </w:r>
      <w:r>
        <w:rPr>
          <w:i/>
        </w:rPr>
        <w:t>affected</w:t>
      </w:r>
      <w:r w:rsidRPr="008B3679">
        <w:rPr>
          <w:i/>
        </w:rPr>
        <w:t xml:space="preserve"> the strategies used by Aboriginal and Torres Strait Islander Australians.</w:t>
      </w:r>
    </w:p>
    <w:p w:rsidR="007F15D0" w:rsidRPr="000802F6" w:rsidRDefault="0087058D" w:rsidP="00FF0E61">
      <w:pPr>
        <w:pStyle w:val="VCAAbullet"/>
        <w:spacing w:before="0" w:after="0"/>
        <w:ind w:right="-187"/>
      </w:pPr>
      <w:r>
        <w:t>The teacher also read</w:t>
      </w:r>
      <w:r w:rsidR="007F15D0">
        <w:t>s</w:t>
      </w:r>
      <w:r>
        <w:t xml:space="preserve"> the driving question: </w:t>
      </w:r>
      <w:r w:rsidRPr="00027819">
        <w:rPr>
          <w:i/>
        </w:rPr>
        <w:t xml:space="preserve">How did the strategies used by the US civil rights movement </w:t>
      </w:r>
      <w:r>
        <w:rPr>
          <w:i/>
        </w:rPr>
        <w:t>affect</w:t>
      </w:r>
      <w:r w:rsidRPr="00027819">
        <w:rPr>
          <w:i/>
        </w:rPr>
        <w:t xml:space="preserve"> the </w:t>
      </w:r>
      <w:r w:rsidRPr="00782DBC">
        <w:rPr>
          <w:i/>
        </w:rPr>
        <w:t>Aboriginal and Torres Strait Islander</w:t>
      </w:r>
      <w:r w:rsidRPr="00027819">
        <w:rPr>
          <w:i/>
        </w:rPr>
        <w:t xml:space="preserve"> civil rights movement?</w:t>
      </w:r>
    </w:p>
    <w:p w:rsidR="0087058D" w:rsidRDefault="0087058D" w:rsidP="00FF0E61">
      <w:pPr>
        <w:pStyle w:val="VCAAbullet"/>
        <w:spacing w:before="0" w:after="0"/>
        <w:ind w:right="-187"/>
      </w:pPr>
      <w:r>
        <w:t xml:space="preserve">Students </w:t>
      </w:r>
      <w:r w:rsidR="007F15D0">
        <w:t>have</w:t>
      </w:r>
      <w:r>
        <w:t xml:space="preserve"> 30 minutes </w:t>
      </w:r>
      <w:r w:rsidR="007F15D0">
        <w:t xml:space="preserve">to complete </w:t>
      </w:r>
      <w:r>
        <w:t xml:space="preserve">the worksheet questions and 20 minutes </w:t>
      </w:r>
      <w:r w:rsidR="007F15D0">
        <w:t xml:space="preserve">to </w:t>
      </w:r>
      <w:r>
        <w:t>complet</w:t>
      </w:r>
      <w:r w:rsidR="007F15D0">
        <w:t>e</w:t>
      </w:r>
      <w:r>
        <w:t xml:space="preserve"> the driving question </w:t>
      </w:r>
    </w:p>
    <w:p w:rsidR="0087058D" w:rsidRDefault="0087058D" w:rsidP="00FF0E61">
      <w:pPr>
        <w:pStyle w:val="VCAAbullet"/>
        <w:spacing w:before="0" w:after="0"/>
        <w:ind w:right="-187"/>
      </w:pPr>
      <w:r>
        <w:t>Students complete the task without the use of notes, textbooks</w:t>
      </w:r>
      <w:r w:rsidR="007F15D0">
        <w:t xml:space="preserve"> or other reference material.</w:t>
      </w:r>
      <w:r>
        <w:t xml:space="preserve"> </w:t>
      </w:r>
    </w:p>
    <w:p w:rsidR="0056778E" w:rsidRDefault="0056778E" w:rsidP="00FF0E61">
      <w:pPr>
        <w:pStyle w:val="VCAAbullet"/>
        <w:spacing w:before="0" w:after="0"/>
        <w:ind w:right="-187"/>
      </w:pPr>
      <w:r>
        <w:t xml:space="preserve">The completed student worksheet is collected as evidence to assess against the formative assessment rubric. </w:t>
      </w:r>
    </w:p>
    <w:p w:rsidR="0087058D" w:rsidRPr="00FF0E61" w:rsidRDefault="0087058D" w:rsidP="00FF0E61">
      <w:pPr>
        <w:pStyle w:val="VCAAbody"/>
        <w:spacing w:before="0" w:after="0"/>
        <w:ind w:right="-187"/>
        <w:rPr>
          <w:b/>
        </w:rPr>
      </w:pPr>
      <w:r w:rsidRPr="00FF0E61">
        <w:rPr>
          <w:b/>
        </w:rPr>
        <w:t xml:space="preserve">Additional information </w:t>
      </w:r>
    </w:p>
    <w:p w:rsidR="0087058D" w:rsidRDefault="0087058D" w:rsidP="00FF0E61">
      <w:pPr>
        <w:pStyle w:val="VCAAbullet"/>
        <w:spacing w:before="0" w:after="0"/>
        <w:ind w:right="-187"/>
      </w:pPr>
      <w:r>
        <w:t xml:space="preserve">The worksheet should be </w:t>
      </w:r>
      <w:r w:rsidR="00743CB9">
        <w:t>printed on</w:t>
      </w:r>
      <w:r>
        <w:t xml:space="preserve"> A3. Page one of the activity sheet should be on the left side of the A3 page and page two of the activity sheet should be on the right side of the page. </w:t>
      </w:r>
    </w:p>
    <w:p w:rsidR="00463289" w:rsidRPr="0056778E" w:rsidRDefault="0087058D" w:rsidP="00FF0E61">
      <w:pPr>
        <w:pStyle w:val="VCAAbullet"/>
        <w:spacing w:before="0" w:after="0"/>
        <w:ind w:right="-187"/>
        <w:rPr>
          <w:b/>
        </w:rPr>
      </w:pPr>
      <w:r>
        <w:t>Images are subject to copyright. Links have been provided to link you to the original source of the image</w:t>
      </w:r>
      <w:r w:rsidR="0056778E">
        <w:t>.</w:t>
      </w:r>
      <w:bookmarkStart w:id="13" w:name="TemplateOverview"/>
      <w:bookmarkEnd w:id="13"/>
      <w:r w:rsidR="0056778E">
        <w:t xml:space="preserve"> </w:t>
      </w:r>
      <w:r w:rsidR="00463289" w:rsidRPr="0056778E">
        <w:rPr>
          <w:b/>
          <w:sz w:val="40"/>
          <w:szCs w:val="40"/>
        </w:rPr>
        <w:br w:type="page"/>
      </w:r>
    </w:p>
    <w:p w:rsidR="00CD7977" w:rsidRPr="00CD7977" w:rsidRDefault="00CD7977" w:rsidP="00CD7977">
      <w:pPr>
        <w:pStyle w:val="VCAAHeading1"/>
      </w:pPr>
      <w:bookmarkStart w:id="14" w:name="Appendix1"/>
      <w:bookmarkStart w:id="15" w:name="_Toc42631458"/>
      <w:r w:rsidRPr="00CD7977">
        <w:lastRenderedPageBreak/>
        <w:t xml:space="preserve">Appendix 1: </w:t>
      </w:r>
      <w:bookmarkEnd w:id="14"/>
      <w:r w:rsidRPr="00CD7977">
        <w:t>Worksheets</w:t>
      </w:r>
      <w:bookmarkEnd w:id="15"/>
    </w:p>
    <w:p w:rsidR="00CD7977" w:rsidRPr="008A6B66" w:rsidRDefault="00174650" w:rsidP="00724C10">
      <w:pPr>
        <w:pStyle w:val="VCAAbody"/>
      </w:pPr>
      <w:r>
        <w:t>Rights and freedoms</w:t>
      </w:r>
    </w:p>
    <w:p w:rsidR="00CD7977" w:rsidRPr="009C78A9" w:rsidRDefault="00CD7977" w:rsidP="00724C10">
      <w:pPr>
        <w:pStyle w:val="VCAAbody"/>
      </w:pPr>
      <w:bookmarkStart w:id="16" w:name="_Hlk12538863"/>
      <w:r w:rsidRPr="009C78A9">
        <w:t>Look at the images</w:t>
      </w:r>
      <w:r w:rsidR="00724BB1">
        <w:t xml:space="preserve"> in the links</w:t>
      </w:r>
      <w:r w:rsidRPr="009C78A9">
        <w:t xml:space="preserve"> in the table below. Each image represents a strategy </w:t>
      </w:r>
      <w:r>
        <w:t>used</w:t>
      </w:r>
      <w:r w:rsidRPr="009C78A9">
        <w:t xml:space="preserve"> by civil rights </w:t>
      </w:r>
      <w:r>
        <w:t>groups</w:t>
      </w:r>
      <w:r w:rsidRPr="009C78A9">
        <w:t xml:space="preserve"> in the U</w:t>
      </w:r>
      <w:r w:rsidR="00724BB1">
        <w:t>nited States of America (US)</w:t>
      </w:r>
      <w:r w:rsidRPr="009C78A9">
        <w:t xml:space="preserve"> and </w:t>
      </w:r>
      <w:r w:rsidR="00062A67">
        <w:t xml:space="preserve">in </w:t>
      </w:r>
      <w:r w:rsidRPr="009C78A9">
        <w:t xml:space="preserve">Australia. In the </w:t>
      </w:r>
      <w:r>
        <w:t>table</w:t>
      </w:r>
      <w:r w:rsidRPr="009C78A9">
        <w:t>, expla</w:t>
      </w:r>
      <w:r>
        <w:t>in</w:t>
      </w:r>
      <w:r w:rsidRPr="009C78A9">
        <w:t xml:space="preserve"> how the strategies </w:t>
      </w:r>
      <w:r>
        <w:t>use</w:t>
      </w:r>
      <w:r w:rsidRPr="009C78A9">
        <w:t xml:space="preserve">d by the US civil rights movement </w:t>
      </w:r>
      <w:r>
        <w:t>affected the s</w:t>
      </w:r>
      <w:r w:rsidRPr="009C78A9">
        <w:t>trategies used by A</w:t>
      </w:r>
      <w:r>
        <w:t xml:space="preserve">boriginal and </w:t>
      </w:r>
      <w:r w:rsidRPr="009C78A9">
        <w:t>T</w:t>
      </w:r>
      <w:r>
        <w:t xml:space="preserve">orres </w:t>
      </w:r>
      <w:r w:rsidRPr="009C78A9">
        <w:t>S</w:t>
      </w:r>
      <w:r>
        <w:t xml:space="preserve">trait </w:t>
      </w:r>
      <w:r w:rsidRPr="009C78A9">
        <w:t>I</w:t>
      </w:r>
      <w:r>
        <w:t>slander</w:t>
      </w:r>
      <w:r w:rsidRPr="009C78A9">
        <w:t xml:space="preserve"> Australians. </w:t>
      </w:r>
    </w:p>
    <w:tbl>
      <w:tblPr>
        <w:tblStyle w:val="TableGrid"/>
        <w:tblW w:w="5000" w:type="pct"/>
        <w:tblLook w:val="04A0" w:firstRow="1" w:lastRow="0" w:firstColumn="1" w:lastColumn="0" w:noHBand="0" w:noVBand="1"/>
      </w:tblPr>
      <w:tblGrid>
        <w:gridCol w:w="4464"/>
        <w:gridCol w:w="4778"/>
      </w:tblGrid>
      <w:tr w:rsidR="00CD7977" w:rsidRPr="00174650" w:rsidTr="00CD7977">
        <w:trPr>
          <w:trHeight w:val="353"/>
        </w:trPr>
        <w:tc>
          <w:tcPr>
            <w:tcW w:w="2415" w:type="pct"/>
            <w:shd w:val="clear" w:color="auto" w:fill="EEECE1" w:themeFill="background2"/>
          </w:tcPr>
          <w:bookmarkEnd w:id="16"/>
          <w:p w:rsidR="00CD7977" w:rsidRPr="00174650" w:rsidRDefault="00CD7977" w:rsidP="00724BB1">
            <w:pPr>
              <w:pStyle w:val="VCAAtablecondensed"/>
            </w:pPr>
            <w:r w:rsidRPr="00174650">
              <w:t>U</w:t>
            </w:r>
            <w:r w:rsidR="00724BB1">
              <w:t>nited States of America</w:t>
            </w:r>
          </w:p>
        </w:tc>
        <w:tc>
          <w:tcPr>
            <w:tcW w:w="2585" w:type="pct"/>
            <w:shd w:val="clear" w:color="auto" w:fill="EEECE1" w:themeFill="background2"/>
          </w:tcPr>
          <w:p w:rsidR="00CD7977" w:rsidRPr="00174650" w:rsidRDefault="00CD7977" w:rsidP="00724BB1">
            <w:pPr>
              <w:pStyle w:val="VCAAtablecondensed"/>
            </w:pPr>
            <w:r w:rsidRPr="00174650">
              <w:t>A</w:t>
            </w:r>
            <w:r w:rsidR="00724BB1">
              <w:t>ustralia</w:t>
            </w:r>
          </w:p>
        </w:tc>
      </w:tr>
      <w:tr w:rsidR="00CD7977" w:rsidRPr="00174650" w:rsidTr="00CD7977">
        <w:trPr>
          <w:trHeight w:val="332"/>
        </w:trPr>
        <w:tc>
          <w:tcPr>
            <w:tcW w:w="5000" w:type="pct"/>
            <w:gridSpan w:val="2"/>
            <w:shd w:val="clear" w:color="auto" w:fill="EEECE1" w:themeFill="background2"/>
          </w:tcPr>
          <w:p w:rsidR="00CD7977" w:rsidRPr="00174650" w:rsidRDefault="00CD7977" w:rsidP="00174650">
            <w:pPr>
              <w:pStyle w:val="VCAAtablecondensed"/>
              <w:rPr>
                <w:noProof/>
              </w:rPr>
            </w:pPr>
            <w:r w:rsidRPr="00174650">
              <w:rPr>
                <w:noProof/>
              </w:rPr>
              <w:t>B</w:t>
            </w:r>
            <w:r w:rsidR="00174650" w:rsidRPr="00174650">
              <w:rPr>
                <w:noProof/>
              </w:rPr>
              <w:t>oycotts</w:t>
            </w:r>
          </w:p>
        </w:tc>
      </w:tr>
      <w:tr w:rsidR="00CD7977" w:rsidRPr="00174650" w:rsidTr="00724BB1">
        <w:trPr>
          <w:trHeight w:val="2332"/>
        </w:trPr>
        <w:tc>
          <w:tcPr>
            <w:tcW w:w="2415" w:type="pct"/>
          </w:tcPr>
          <w:p w:rsidR="00CD7977" w:rsidRPr="00724BB1" w:rsidRDefault="00CD7977" w:rsidP="00174650">
            <w:pPr>
              <w:pStyle w:val="VCAAtablecondensed"/>
              <w:rPr>
                <w:b/>
              </w:rPr>
            </w:pPr>
            <w:r w:rsidRPr="00724BB1">
              <w:rPr>
                <w:b/>
              </w:rPr>
              <w:t>Montgomery bus boycott</w:t>
            </w:r>
            <w:r w:rsidR="00724C10">
              <w:rPr>
                <w:b/>
              </w:rPr>
              <w:t xml:space="preserve"> 1955-1956</w:t>
            </w:r>
          </w:p>
          <w:p w:rsidR="00CD7977" w:rsidRPr="00724BB1" w:rsidRDefault="00CD7977" w:rsidP="00174650">
            <w:pPr>
              <w:pStyle w:val="VCAAtablecondensed"/>
            </w:pPr>
            <w:r w:rsidRPr="00724BB1">
              <w:t xml:space="preserve">Protestors ride their bicycles instead of catching the bus. Those participating in the boycott refused to use the bus service until a series of demands relating to fair treatment of black citizens were met. </w:t>
            </w:r>
          </w:p>
          <w:p w:rsidR="00174650" w:rsidRPr="00724BB1" w:rsidRDefault="00174650" w:rsidP="00174650">
            <w:pPr>
              <w:pStyle w:val="VCAAtablecondensed"/>
            </w:pPr>
            <w:r w:rsidRPr="00724BB1">
              <w:t xml:space="preserve">Image: </w:t>
            </w:r>
            <w:hyperlink r:id="rId31" w:history="1">
              <w:r w:rsidRPr="00724BB1">
                <w:rPr>
                  <w:rStyle w:val="Hyperlink"/>
                </w:rPr>
                <w:t>Montgomery bus boycott</w:t>
              </w:r>
            </w:hyperlink>
            <w:r w:rsidRPr="00724BB1">
              <w:t xml:space="preserve"> (African American Registry)</w:t>
            </w:r>
          </w:p>
        </w:tc>
        <w:tc>
          <w:tcPr>
            <w:tcW w:w="2585" w:type="pct"/>
          </w:tcPr>
          <w:p w:rsidR="00CD7977" w:rsidRPr="00724BB1" w:rsidRDefault="00CD7977" w:rsidP="00174650">
            <w:pPr>
              <w:pStyle w:val="VCAAtablecondensed"/>
              <w:rPr>
                <w:b/>
              </w:rPr>
            </w:pPr>
            <w:r w:rsidRPr="00724BB1">
              <w:rPr>
                <w:b/>
              </w:rPr>
              <w:t>Wave Hill walk off</w:t>
            </w:r>
            <w:r w:rsidR="00724C10">
              <w:rPr>
                <w:b/>
              </w:rPr>
              <w:t xml:space="preserve"> 1966</w:t>
            </w:r>
          </w:p>
          <w:p w:rsidR="00174650" w:rsidRPr="00724BB1" w:rsidRDefault="00CD7977" w:rsidP="00724C10">
            <w:pPr>
              <w:pStyle w:val="VCAAtablecondensed"/>
            </w:pPr>
            <w:r w:rsidRPr="00724BB1">
              <w:t xml:space="preserve">Vincent Lingiari led the Wave Hill walk off after the Vestey Company refused to pay Aboriginal workers the wages they were entitled to. This led to a larger campaign to return traditional lands to the Aboriginal people. </w:t>
            </w:r>
          </w:p>
          <w:p w:rsidR="00CD7977" w:rsidRPr="00724BB1" w:rsidRDefault="00174650" w:rsidP="00174650">
            <w:pPr>
              <w:pStyle w:val="VCAAtablecondensed"/>
            </w:pPr>
            <w:r w:rsidRPr="00724BB1">
              <w:t xml:space="preserve">Image: </w:t>
            </w:r>
            <w:hyperlink r:id="rId32" w:history="1">
              <w:r w:rsidRPr="00724BB1">
                <w:rPr>
                  <w:rStyle w:val="Hyperlink"/>
                </w:rPr>
                <w:t>Wave Hill walk off</w:t>
              </w:r>
            </w:hyperlink>
            <w:r w:rsidRPr="00724BB1">
              <w:t xml:space="preserve"> (</w:t>
            </w:r>
            <w:r w:rsidR="00724BB1" w:rsidRPr="00724BB1">
              <w:t>Special Broadcasting Service)</w:t>
            </w:r>
          </w:p>
        </w:tc>
      </w:tr>
      <w:tr w:rsidR="00CD7977" w:rsidRPr="00174650" w:rsidTr="00CD7977">
        <w:trPr>
          <w:trHeight w:val="353"/>
        </w:trPr>
        <w:tc>
          <w:tcPr>
            <w:tcW w:w="5000" w:type="pct"/>
            <w:gridSpan w:val="2"/>
            <w:shd w:val="clear" w:color="auto" w:fill="EEECE1" w:themeFill="background2"/>
          </w:tcPr>
          <w:p w:rsidR="00CD7977" w:rsidRPr="00724BB1" w:rsidRDefault="00174650" w:rsidP="00174650">
            <w:pPr>
              <w:pStyle w:val="VCAAtablecondensed"/>
              <w:rPr>
                <w:noProof/>
              </w:rPr>
            </w:pPr>
            <w:r w:rsidRPr="00724BB1">
              <w:rPr>
                <w:noProof/>
              </w:rPr>
              <w:t>Protests</w:t>
            </w:r>
          </w:p>
        </w:tc>
      </w:tr>
      <w:tr w:rsidR="00CD7977" w:rsidRPr="00174650" w:rsidTr="00724BB1">
        <w:trPr>
          <w:trHeight w:val="2555"/>
        </w:trPr>
        <w:tc>
          <w:tcPr>
            <w:tcW w:w="2415" w:type="pct"/>
          </w:tcPr>
          <w:p w:rsidR="00CD7977" w:rsidRPr="00724BB1" w:rsidRDefault="00CD7977" w:rsidP="00174650">
            <w:pPr>
              <w:pStyle w:val="VCAAtablecondensed"/>
              <w:rPr>
                <w:b/>
              </w:rPr>
            </w:pPr>
            <w:r w:rsidRPr="00724BB1">
              <w:rPr>
                <w:b/>
              </w:rPr>
              <w:t>March on Washington for freedom and jobs</w:t>
            </w:r>
            <w:r w:rsidR="00724C10">
              <w:rPr>
                <w:b/>
              </w:rPr>
              <w:t xml:space="preserve"> 1963</w:t>
            </w:r>
          </w:p>
          <w:p w:rsidR="00CD7977" w:rsidRPr="00724BB1" w:rsidRDefault="00CD7977" w:rsidP="00174650">
            <w:pPr>
              <w:pStyle w:val="VCAAtablecondensed"/>
            </w:pPr>
            <w:r w:rsidRPr="00724BB1">
              <w:t xml:space="preserve">Martin Luther King Jr. addresses a crowd from the steps of the Lincoln Memorial </w:t>
            </w:r>
            <w:r w:rsidR="00724BB1">
              <w:t>where he delivered his famous ‘</w:t>
            </w:r>
            <w:r w:rsidRPr="00724BB1">
              <w:t>I Have a Dream</w:t>
            </w:r>
            <w:r w:rsidR="00724BB1">
              <w:t xml:space="preserve">' </w:t>
            </w:r>
            <w:r w:rsidRPr="00724BB1">
              <w:t xml:space="preserve">speech during the Aug. 28, 1963, march on Washington, D.C. The march is one of the largest in US history and brought groups together in the fight for Civil Rights. </w:t>
            </w:r>
          </w:p>
          <w:p w:rsidR="00174650" w:rsidRPr="00724BB1" w:rsidRDefault="00174650" w:rsidP="00724BB1">
            <w:pPr>
              <w:pStyle w:val="VCAAtablecondensed"/>
            </w:pPr>
            <w:r w:rsidRPr="00724BB1">
              <w:t xml:space="preserve">Image: </w:t>
            </w:r>
            <w:hyperlink r:id="rId33" w:history="1">
              <w:r w:rsidRPr="00724BB1">
                <w:rPr>
                  <w:rStyle w:val="Hyperlink"/>
                </w:rPr>
                <w:t>March on Washington for freedom and jobs</w:t>
              </w:r>
            </w:hyperlink>
            <w:r w:rsidR="00724BB1" w:rsidRPr="00724BB1">
              <w:t xml:space="preserve"> (Wikimedia)</w:t>
            </w:r>
            <w:r w:rsidRPr="00724BB1">
              <w:t xml:space="preserve">: </w:t>
            </w:r>
          </w:p>
        </w:tc>
        <w:tc>
          <w:tcPr>
            <w:tcW w:w="2585" w:type="pct"/>
          </w:tcPr>
          <w:p w:rsidR="00CD7977" w:rsidRPr="00724BB1" w:rsidRDefault="00CD7977" w:rsidP="00174650">
            <w:pPr>
              <w:pStyle w:val="VCAAtablecondensed"/>
              <w:rPr>
                <w:b/>
              </w:rPr>
            </w:pPr>
            <w:r w:rsidRPr="00724BB1">
              <w:rPr>
                <w:b/>
              </w:rPr>
              <w:t xml:space="preserve">Tent embassy land rights protests </w:t>
            </w:r>
            <w:r w:rsidR="00724C10">
              <w:rPr>
                <w:b/>
              </w:rPr>
              <w:t>1972</w:t>
            </w:r>
          </w:p>
          <w:p w:rsidR="00CD7977" w:rsidRPr="00724BB1" w:rsidRDefault="00CD7977" w:rsidP="00174650">
            <w:pPr>
              <w:pStyle w:val="VCAAtablecondensed"/>
            </w:pPr>
            <w:r w:rsidRPr="00724BB1">
              <w:t xml:space="preserve">The tent embassy was established on the lawn in front of the Australian Parliament house to serve as a constant visual reminder of the need for acknowledgement of the Aboriginal people as the traditional owners of the land. </w:t>
            </w:r>
          </w:p>
          <w:p w:rsidR="00174650" w:rsidRPr="00724BB1" w:rsidRDefault="00174650" w:rsidP="00724BB1">
            <w:pPr>
              <w:pStyle w:val="VCAAtablecondensed"/>
            </w:pPr>
            <w:r w:rsidRPr="00724BB1">
              <w:t xml:space="preserve">Image: </w:t>
            </w:r>
            <w:hyperlink r:id="rId34" w:history="1">
              <w:r w:rsidRPr="00724BB1">
                <w:rPr>
                  <w:rStyle w:val="Hyperlink"/>
                </w:rPr>
                <w:t>Tent embassy protests</w:t>
              </w:r>
            </w:hyperlink>
            <w:r w:rsidR="00724BB1" w:rsidRPr="00724BB1">
              <w:t xml:space="preserve"> (National Museum Australia)</w:t>
            </w:r>
            <w:r w:rsidRPr="00724BB1">
              <w:t xml:space="preserve"> </w:t>
            </w:r>
          </w:p>
        </w:tc>
      </w:tr>
      <w:tr w:rsidR="00CD7977" w:rsidRPr="00174650" w:rsidTr="00CD7977">
        <w:trPr>
          <w:trHeight w:val="353"/>
        </w:trPr>
        <w:tc>
          <w:tcPr>
            <w:tcW w:w="5000" w:type="pct"/>
            <w:gridSpan w:val="2"/>
            <w:shd w:val="clear" w:color="auto" w:fill="EEECE1" w:themeFill="background2"/>
          </w:tcPr>
          <w:p w:rsidR="00CD7977" w:rsidRPr="00724BB1" w:rsidRDefault="00174650" w:rsidP="00174650">
            <w:pPr>
              <w:pStyle w:val="VCAAtablecondensed"/>
              <w:rPr>
                <w:noProof/>
              </w:rPr>
            </w:pPr>
            <w:r w:rsidRPr="00724BB1">
              <w:rPr>
                <w:noProof/>
              </w:rPr>
              <w:t>Freedom rides</w:t>
            </w:r>
          </w:p>
        </w:tc>
      </w:tr>
      <w:tr w:rsidR="00CD7977" w:rsidRPr="00174650" w:rsidTr="00724BB1">
        <w:trPr>
          <w:trHeight w:val="2272"/>
        </w:trPr>
        <w:tc>
          <w:tcPr>
            <w:tcW w:w="2415" w:type="pct"/>
          </w:tcPr>
          <w:p w:rsidR="00CD7977" w:rsidRPr="00724BB1" w:rsidRDefault="00CD7977" w:rsidP="00174650">
            <w:pPr>
              <w:pStyle w:val="VCAAtablecondensed"/>
              <w:rPr>
                <w:b/>
              </w:rPr>
            </w:pPr>
            <w:r w:rsidRPr="00724BB1">
              <w:rPr>
                <w:b/>
              </w:rPr>
              <w:t>Martin Luther King  Jr. and Ralph Abernathy - Freedom Ride</w:t>
            </w:r>
            <w:r w:rsidR="00724C10">
              <w:rPr>
                <w:b/>
              </w:rPr>
              <w:t xml:space="preserve"> 1961</w:t>
            </w:r>
          </w:p>
          <w:p w:rsidR="00CD7977" w:rsidRPr="00724BB1" w:rsidRDefault="00CD7977" w:rsidP="00174650">
            <w:pPr>
              <w:pStyle w:val="VCAAtablecondensed"/>
            </w:pPr>
            <w:r w:rsidRPr="00724BB1">
              <w:t>Group of freedoms riders travelled across America’s south on buses to test whether or not the desegregation laws were being practiced. In many cases</w:t>
            </w:r>
            <w:r w:rsidR="00724BB1">
              <w:t>.</w:t>
            </w:r>
            <w:r w:rsidRPr="00724BB1">
              <w:t xml:space="preserve"> they were met was hostility, abuse and violence. </w:t>
            </w:r>
          </w:p>
          <w:p w:rsidR="00174650" w:rsidRPr="00724BB1" w:rsidRDefault="00174650" w:rsidP="00724BB1">
            <w:pPr>
              <w:pStyle w:val="VCAAtablecondensed"/>
            </w:pPr>
            <w:r w:rsidRPr="00724BB1">
              <w:t xml:space="preserve">Image: </w:t>
            </w:r>
            <w:hyperlink r:id="rId35" w:history="1">
              <w:r w:rsidRPr="00724BB1">
                <w:rPr>
                  <w:rStyle w:val="Hyperlink"/>
                </w:rPr>
                <w:t>Freedom rides</w:t>
              </w:r>
            </w:hyperlink>
            <w:r w:rsidRPr="00724BB1">
              <w:t xml:space="preserve"> </w:t>
            </w:r>
            <w:r w:rsidR="00724BB1" w:rsidRPr="00724BB1">
              <w:t>(Operation Black Vote)</w:t>
            </w:r>
          </w:p>
        </w:tc>
        <w:tc>
          <w:tcPr>
            <w:tcW w:w="2585" w:type="pct"/>
          </w:tcPr>
          <w:p w:rsidR="00CD7977" w:rsidRPr="00724BB1" w:rsidRDefault="00CD7977" w:rsidP="00174650">
            <w:pPr>
              <w:pStyle w:val="VCAAtablecondensed"/>
              <w:rPr>
                <w:b/>
              </w:rPr>
            </w:pPr>
            <w:r w:rsidRPr="00724BB1">
              <w:rPr>
                <w:b/>
              </w:rPr>
              <w:t>Australian freedom riders</w:t>
            </w:r>
            <w:r w:rsidR="00724C10">
              <w:rPr>
                <w:b/>
              </w:rPr>
              <w:t xml:space="preserve"> 1965</w:t>
            </w:r>
          </w:p>
          <w:p w:rsidR="00174650" w:rsidRPr="00724BB1" w:rsidRDefault="00CD7977" w:rsidP="00174650">
            <w:pPr>
              <w:pStyle w:val="VCAAtablecondensed"/>
            </w:pPr>
            <w:r w:rsidRPr="00724BB1">
              <w:t xml:space="preserve">The Australian Freedom Riders set out to examine the level of segregation that was occurring in country </w:t>
            </w:r>
            <w:r w:rsidR="00724BB1" w:rsidRPr="00724BB1">
              <w:t>N</w:t>
            </w:r>
            <w:r w:rsidR="00724BB1">
              <w:t>ew South Wales</w:t>
            </w:r>
            <w:r w:rsidRPr="00724BB1">
              <w:t xml:space="preserve">. They found many instances of segregation and were often met with high level of hostility from local people. </w:t>
            </w:r>
          </w:p>
          <w:p w:rsidR="00CD7977" w:rsidRPr="00724BB1" w:rsidRDefault="00174650" w:rsidP="00724BB1">
            <w:pPr>
              <w:pStyle w:val="VCAAtablecondensed"/>
            </w:pPr>
            <w:r w:rsidRPr="00724BB1">
              <w:t xml:space="preserve">Image: </w:t>
            </w:r>
            <w:hyperlink r:id="rId36" w:history="1">
              <w:r w:rsidRPr="00724BB1">
                <w:rPr>
                  <w:rStyle w:val="Hyperlink"/>
                </w:rPr>
                <w:t>Australian freedom riders</w:t>
              </w:r>
            </w:hyperlink>
            <w:r w:rsidR="00724BB1" w:rsidRPr="00724BB1">
              <w:t xml:space="preserve"> (Special Broadcasting Service)</w:t>
            </w:r>
          </w:p>
        </w:tc>
      </w:tr>
    </w:tbl>
    <w:p w:rsidR="00724BB1" w:rsidRDefault="00724BB1" w:rsidP="00CD7977">
      <w:pPr>
        <w:rPr>
          <w:rFonts w:ascii="Century Gothic" w:hAnsi="Century Gothic"/>
          <w:sz w:val="16"/>
        </w:rPr>
      </w:pPr>
    </w:p>
    <w:p w:rsidR="00724BB1" w:rsidRDefault="00724BB1">
      <w:pPr>
        <w:rPr>
          <w:rFonts w:ascii="Century Gothic" w:hAnsi="Century Gothic"/>
          <w:sz w:val="16"/>
        </w:rPr>
      </w:pPr>
      <w:r>
        <w:rPr>
          <w:rFonts w:ascii="Century Gothic" w:hAnsi="Century Gothic"/>
          <w:sz w:val="16"/>
        </w:rPr>
        <w:br w:type="page"/>
      </w:r>
    </w:p>
    <w:tbl>
      <w:tblPr>
        <w:tblStyle w:val="TableGrid"/>
        <w:tblW w:w="5000" w:type="pct"/>
        <w:tblLook w:val="04A0" w:firstRow="1" w:lastRow="0" w:firstColumn="1" w:lastColumn="0" w:noHBand="0" w:noVBand="1"/>
      </w:tblPr>
      <w:tblGrid>
        <w:gridCol w:w="9242"/>
      </w:tblGrid>
      <w:tr w:rsidR="00CD7977" w:rsidRPr="009C78A9" w:rsidTr="00CD7977">
        <w:trPr>
          <w:trHeight w:val="646"/>
        </w:trPr>
        <w:tc>
          <w:tcPr>
            <w:tcW w:w="5000" w:type="pct"/>
            <w:shd w:val="clear" w:color="auto" w:fill="EEECE1" w:themeFill="background2"/>
          </w:tcPr>
          <w:p w:rsidR="00CD7977" w:rsidRPr="005D5C32" w:rsidRDefault="00CD7977" w:rsidP="00724BB1">
            <w:pPr>
              <w:pStyle w:val="VCAAtablecondensed"/>
            </w:pPr>
            <w:r w:rsidRPr="005D5C32">
              <w:lastRenderedPageBreak/>
              <w:t xml:space="preserve">Explain how the strategies </w:t>
            </w:r>
            <w:r>
              <w:t>used</w:t>
            </w:r>
            <w:r w:rsidRPr="005D5C32">
              <w:t xml:space="preserve"> by the </w:t>
            </w:r>
            <w:r>
              <w:t>US</w:t>
            </w:r>
            <w:r w:rsidRPr="005D5C32">
              <w:t xml:space="preserve"> civil rights movement </w:t>
            </w:r>
            <w:r>
              <w:t>affec</w:t>
            </w:r>
            <w:r w:rsidRPr="005D5C32">
              <w:t xml:space="preserve">ted the strategies used by </w:t>
            </w:r>
            <w:r>
              <w:t>the Aboriginal and Torres Strait Islander civil rights movement</w:t>
            </w:r>
            <w:r w:rsidRPr="005D5C32">
              <w:t>.</w:t>
            </w:r>
          </w:p>
        </w:tc>
      </w:tr>
      <w:tr w:rsidR="00CD7977" w:rsidRPr="009C78A9" w:rsidTr="00CD7977">
        <w:trPr>
          <w:trHeight w:val="322"/>
        </w:trPr>
        <w:tc>
          <w:tcPr>
            <w:tcW w:w="5000" w:type="pct"/>
            <w:shd w:val="clear" w:color="auto" w:fill="EEECE1" w:themeFill="background2"/>
          </w:tcPr>
          <w:p w:rsidR="00CD7977" w:rsidRPr="005D5C32" w:rsidRDefault="00CD7977" w:rsidP="00724BB1">
            <w:pPr>
              <w:pStyle w:val="VCAAtablecondensed"/>
              <w:rPr>
                <w:noProof/>
              </w:rPr>
            </w:pPr>
            <w:r w:rsidRPr="005D5C32">
              <w:rPr>
                <w:noProof/>
              </w:rPr>
              <w:t>B</w:t>
            </w:r>
            <w:r w:rsidR="00724BB1">
              <w:rPr>
                <w:noProof/>
              </w:rPr>
              <w:t>oycotts</w:t>
            </w:r>
          </w:p>
        </w:tc>
      </w:tr>
      <w:tr w:rsidR="00CD7977" w:rsidRPr="009C78A9" w:rsidTr="00CD7977">
        <w:trPr>
          <w:trHeight w:val="322"/>
        </w:trPr>
        <w:tc>
          <w:tcPr>
            <w:tcW w:w="5000" w:type="pct"/>
            <w:shd w:val="clear" w:color="auto" w:fill="auto"/>
          </w:tcPr>
          <w:p w:rsidR="00CD7977" w:rsidRPr="00724BB1" w:rsidRDefault="00CD7977" w:rsidP="00724BB1">
            <w:pPr>
              <w:pStyle w:val="VCAAtablecondensed"/>
              <w:rPr>
                <w:noProof/>
              </w:rPr>
            </w:pPr>
            <w:r w:rsidRPr="00724BB1">
              <w:t>Montgomery bus boycott and Wave Hill walk off</w:t>
            </w: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auto"/>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EEECE1" w:themeFill="background2"/>
          </w:tcPr>
          <w:p w:rsidR="00CD7977" w:rsidRPr="005D5C32" w:rsidRDefault="00724BB1" w:rsidP="00724BB1">
            <w:pPr>
              <w:pStyle w:val="VCAAtablecondensed"/>
              <w:rPr>
                <w:noProof/>
              </w:rPr>
            </w:pPr>
            <w:r>
              <w:rPr>
                <w:noProof/>
              </w:rPr>
              <w:t>Protests</w:t>
            </w: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r w:rsidRPr="005D5C32">
              <w:t xml:space="preserve"> </w:t>
            </w:r>
            <w:r w:rsidRPr="00724BB1">
              <w:t xml:space="preserve">March on Washington for freedom and jobs and </w:t>
            </w:r>
            <w:r w:rsidR="00724BB1">
              <w:t>t</w:t>
            </w:r>
            <w:r w:rsidRPr="00724BB1">
              <w:t>ent embassy land rights protests</w:t>
            </w: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EEECE1" w:themeFill="background2"/>
          </w:tcPr>
          <w:p w:rsidR="00CD7977" w:rsidRPr="005D5C32" w:rsidRDefault="00724BB1" w:rsidP="00724BB1">
            <w:pPr>
              <w:pStyle w:val="VCAAtablecondensed"/>
              <w:rPr>
                <w:noProof/>
              </w:rPr>
            </w:pPr>
            <w:r>
              <w:rPr>
                <w:noProof/>
              </w:rPr>
              <w:t>Freedom rides</w:t>
            </w:r>
          </w:p>
        </w:tc>
      </w:tr>
      <w:tr w:rsidR="00CD7977" w:rsidRPr="009C78A9" w:rsidTr="00CD7977">
        <w:trPr>
          <w:trHeight w:val="322"/>
        </w:trPr>
        <w:tc>
          <w:tcPr>
            <w:tcW w:w="5000" w:type="pct"/>
            <w:shd w:val="clear" w:color="auto" w:fill="FFFFFF" w:themeFill="background1"/>
          </w:tcPr>
          <w:p w:rsidR="00CD7977" w:rsidRPr="00724BB1" w:rsidRDefault="00CD7977" w:rsidP="00724BB1">
            <w:pPr>
              <w:pStyle w:val="VCAAtablecondensed"/>
              <w:rPr>
                <w:noProof/>
              </w:rPr>
            </w:pPr>
            <w:r w:rsidRPr="00724BB1">
              <w:t>US Freedom Rides and the Australian Freedom Rides</w:t>
            </w: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r w:rsidR="00CD7977" w:rsidRPr="009C78A9" w:rsidTr="00CD7977">
        <w:trPr>
          <w:trHeight w:val="322"/>
        </w:trPr>
        <w:tc>
          <w:tcPr>
            <w:tcW w:w="5000" w:type="pct"/>
            <w:shd w:val="clear" w:color="auto" w:fill="FFFFFF" w:themeFill="background1"/>
          </w:tcPr>
          <w:p w:rsidR="00CD7977" w:rsidRPr="005D5C32" w:rsidRDefault="00CD7977" w:rsidP="00724BB1">
            <w:pPr>
              <w:pStyle w:val="VCAAtablecondensed"/>
              <w:rPr>
                <w:noProof/>
              </w:rPr>
            </w:pPr>
          </w:p>
        </w:tc>
      </w:tr>
    </w:tbl>
    <w:p w:rsidR="00724BB1" w:rsidRDefault="00724BB1" w:rsidP="00724BB1">
      <w:pPr>
        <w:rPr>
          <w:rFonts w:ascii="Arial" w:hAnsi="Arial" w:cs="Arial"/>
          <w:b/>
          <w:color w:val="000000" w:themeColor="text1"/>
          <w:sz w:val="24"/>
          <w:szCs w:val="24"/>
        </w:rPr>
      </w:pPr>
    </w:p>
    <w:tbl>
      <w:tblPr>
        <w:tblStyle w:val="TableGrid"/>
        <w:tblpPr w:leftFromText="180" w:rightFromText="180" w:vertAnchor="page" w:horzAnchor="margin" w:tblpY="1621"/>
        <w:tblW w:w="5000" w:type="pct"/>
        <w:tblLook w:val="04A0" w:firstRow="1" w:lastRow="0" w:firstColumn="1" w:lastColumn="0" w:noHBand="0" w:noVBand="1"/>
      </w:tblPr>
      <w:tblGrid>
        <w:gridCol w:w="9242"/>
      </w:tblGrid>
      <w:tr w:rsidR="00724BB1" w:rsidTr="00724BB1">
        <w:trPr>
          <w:trHeight w:val="573"/>
        </w:trPr>
        <w:tc>
          <w:tcPr>
            <w:tcW w:w="5000" w:type="pct"/>
            <w:shd w:val="clear" w:color="auto" w:fill="EEECE1" w:themeFill="background2"/>
          </w:tcPr>
          <w:p w:rsidR="00724BB1" w:rsidRDefault="00724BB1" w:rsidP="00724BB1">
            <w:pPr>
              <w:pStyle w:val="VCAAtablecondensed"/>
            </w:pPr>
            <w:r w:rsidRPr="00724BB1">
              <w:rPr>
                <w:b/>
              </w:rPr>
              <w:t>Driving question:</w:t>
            </w:r>
            <w:r>
              <w:t xml:space="preserve"> Using three specific examples, justify why strategies used by the US civil rights movements were adopted by the civil rights movement in Australia. </w:t>
            </w: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r w:rsidR="00724BB1" w:rsidRPr="00255607" w:rsidTr="00724BB1">
        <w:trPr>
          <w:trHeight w:val="346"/>
        </w:trPr>
        <w:tc>
          <w:tcPr>
            <w:tcW w:w="5000" w:type="pct"/>
            <w:shd w:val="clear" w:color="auto" w:fill="FFFFFF" w:themeFill="background1"/>
          </w:tcPr>
          <w:p w:rsidR="00724BB1" w:rsidRPr="00255607" w:rsidRDefault="00724BB1" w:rsidP="00724BB1">
            <w:pPr>
              <w:pStyle w:val="VCAAtablecondensed"/>
            </w:pPr>
          </w:p>
        </w:tc>
      </w:tr>
    </w:tbl>
    <w:p w:rsidR="00724BB1" w:rsidRPr="00094E3B" w:rsidRDefault="00724BB1" w:rsidP="00724BB1">
      <w:pPr>
        <w:rPr>
          <w:rFonts w:ascii="Arial" w:hAnsi="Arial" w:cs="Arial"/>
          <w:b/>
          <w:color w:val="000000" w:themeColor="text1"/>
          <w:sz w:val="24"/>
          <w:szCs w:val="24"/>
        </w:rPr>
      </w:pPr>
    </w:p>
    <w:sectPr w:rsidR="00724BB1" w:rsidRPr="00094E3B" w:rsidSect="00724741">
      <w:pgSz w:w="11906" w:h="16838"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C2" w:rsidRDefault="00586FC2" w:rsidP="00304EA1">
      <w:pPr>
        <w:spacing w:after="0" w:line="240" w:lineRule="auto"/>
      </w:pPr>
      <w:r>
        <w:separator/>
      </w:r>
    </w:p>
  </w:endnote>
  <w:endnote w:type="continuationSeparator" w:id="0">
    <w:p w:rsidR="00586FC2" w:rsidRDefault="00586FC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586FC2" w:rsidP="004B3508">
    <w:pPr>
      <w:pStyle w:val="Footer"/>
      <w:tabs>
        <w:tab w:val="clear" w:pos="9026"/>
        <w:tab w:val="left" w:pos="567"/>
        <w:tab w:val="right" w:pos="11340"/>
      </w:tabs>
      <w:jc w:val="center"/>
    </w:pPr>
    <w:r>
      <w:rPr>
        <w:noProof/>
        <w:lang w:val="en-AU" w:eastAsia="en-AU"/>
      </w:rPr>
      <w:drawing>
        <wp:inline distT="0" distB="0" distL="0" distR="0">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586FC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586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Pr="00243F0D" w:rsidRDefault="00586FC2"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5C58BE">
      <w:fldChar w:fldCharType="begin"/>
    </w:r>
    <w:r w:rsidR="00062A67">
      <w:instrText xml:space="preserve"> PAGE   \* MERGEFORMAT </w:instrText>
    </w:r>
    <w:r w:rsidR="005C58BE">
      <w:fldChar w:fldCharType="separate"/>
    </w:r>
    <w:r w:rsidR="00CF016D">
      <w:rPr>
        <w:noProof/>
      </w:rPr>
      <w:t>4</w:t>
    </w:r>
    <w:r w:rsidR="005C58BE">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586FC2"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ab/>
    </w:r>
    <w:r w:rsidRPr="00160D6D">
      <w:rPr>
        <w:i/>
        <w:color w:val="808080" w:themeColor="background1" w:themeShade="80"/>
      </w:rPr>
      <w:t>Version 1 16 May 2019</w:t>
    </w:r>
    <w:r w:rsidRPr="00160D6D">
      <w:rPr>
        <w:i/>
        <w:color w:val="808080" w:themeColor="background1" w:themeShade="80"/>
      </w:rPr>
      <w:ptab w:relativeTo="margin" w:alignment="right" w:leader="none"/>
    </w:r>
    <w:r>
      <w:rPr>
        <w:noProof/>
        <w:lang w:val="en-AU" w:eastAsia="en-AU"/>
      </w:rPr>
      <w:drawing>
        <wp:inline distT="0" distB="0" distL="0" distR="0">
          <wp:extent cx="649225" cy="367734"/>
          <wp:effectExtent l="0" t="0" r="0" b="0"/>
          <wp:docPr id="2" name="Picture 2"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C2" w:rsidRDefault="00586FC2" w:rsidP="00304EA1">
      <w:pPr>
        <w:spacing w:after="0" w:line="240" w:lineRule="auto"/>
      </w:pPr>
      <w:r>
        <w:separator/>
      </w:r>
    </w:p>
  </w:footnote>
  <w:footnote w:type="continuationSeparator" w:id="0">
    <w:p w:rsidR="00586FC2" w:rsidRDefault="00586FC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CF016D" w:rsidP="004B3508">
    <w:pPr>
      <w:pStyle w:val="VCAAcaptionsandfootnotes"/>
      <w:tabs>
        <w:tab w:val="left" w:pos="3255"/>
      </w:tabs>
      <w:rPr>
        <w:color w:val="999999" w:themeColor="accent2"/>
      </w:rPr>
    </w:pPr>
    <w:sdt>
      <w:sdtPr>
        <w:rPr>
          <w:color w:val="999999" w:themeColor="accent2"/>
        </w:rPr>
        <w:alias w:val="Title"/>
        <w:tag w:val=""/>
        <w:id w:val="-661309493"/>
        <w:dataBinding w:prefixMappings="xmlns:ns0='http://purl.org/dc/elements/1.1/' xmlns:ns1='http://schemas.openxmlformats.org/package/2006/metadata/core-properties' " w:xpath="/ns1:coreProperties[1]/ns0:title[1]" w:storeItemID="{6C3C8BC8-F283-45AE-878A-BAB7291924A1}"/>
        <w:text/>
      </w:sdtPr>
      <w:sdtEndPr/>
      <w:sdtContent>
        <w:r w:rsidR="0056778E">
          <w:rPr>
            <w:color w:val="999999" w:themeColor="accent2"/>
          </w:rPr>
          <w:t>Using formative assessment rubrics in History Cause and effect Levels 9-10</w:t>
        </w:r>
      </w:sdtContent>
    </w:sdt>
    <w:r w:rsidR="00586FC2">
      <w:rPr>
        <w:color w:val="999999" w:themeColor="accent2"/>
      </w:rPr>
      <w:tab/>
    </w:r>
  </w:p>
  <w:p w:rsidR="00586FC2" w:rsidRPr="00D86DE4" w:rsidRDefault="00586FC2" w:rsidP="004B3508">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586FC2" w:rsidP="004B3508">
    <w:pPr>
      <w:pStyle w:val="Header"/>
      <w:tabs>
        <w:tab w:val="left" w:pos="567"/>
      </w:tabs>
      <w:jc w:val="center"/>
    </w:pPr>
    <w:r>
      <w:rPr>
        <w:noProof/>
        <w:lang w:val="en-AU" w:eastAsia="en-AU"/>
      </w:rPr>
      <w:drawing>
        <wp:inline distT="0" distB="0" distL="0" distR="0">
          <wp:extent cx="6839140" cy="828987"/>
          <wp:effectExtent l="0" t="0" r="0" b="9525"/>
          <wp:docPr id="15" name="Picture 15" descr="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Pr="00B87DF2" w:rsidRDefault="00586FC2" w:rsidP="004B35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Default="00586F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lang w:val="en-AU"/>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p w:rsidR="00586FC2" w:rsidRPr="00D86DE4" w:rsidRDefault="0056778E" w:rsidP="00D86DE4">
        <w:pPr>
          <w:pStyle w:val="VCAAcaptionsandfootnotes"/>
          <w:rPr>
            <w:color w:val="999999" w:themeColor="accent2"/>
          </w:rPr>
        </w:pPr>
        <w:r w:rsidRPr="0056778E">
          <w:rPr>
            <w:color w:val="999999" w:themeColor="accent2"/>
            <w:lang w:val="en-AU"/>
          </w:rPr>
          <w:t xml:space="preserve">Using formative assessment rubrics in History </w:t>
        </w:r>
        <w:r>
          <w:rPr>
            <w:color w:val="999999" w:themeColor="accent2"/>
            <w:lang w:val="en-AU"/>
          </w:rPr>
          <w:t>C</w:t>
        </w:r>
        <w:r w:rsidRPr="0056778E">
          <w:rPr>
            <w:color w:val="999999" w:themeColor="accent2"/>
            <w:lang w:val="en-AU"/>
          </w:rPr>
          <w:t>ause and effect Levels 9-10</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C2" w:rsidRPr="009370BC" w:rsidRDefault="00586FC2" w:rsidP="00970580">
    <w:pPr>
      <w:spacing w:after="0"/>
      <w:ind w:right="-142"/>
      <w:jc w:val="right"/>
    </w:pPr>
    <w:r>
      <w:rPr>
        <w:noProof/>
        <w:lang w:val="en-AU" w:eastAsia="en-AU"/>
      </w:rPr>
      <w:drawing>
        <wp:inline distT="0" distB="0" distL="0" distR="0">
          <wp:extent cx="2160000" cy="408374"/>
          <wp:effectExtent l="0" t="0" r="0" b="0"/>
          <wp:docPr id="1" name="Picture 1"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10B277E"/>
    <w:multiLevelType w:val="hybridMultilevel"/>
    <w:tmpl w:val="A4AA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DA5"/>
    <w:multiLevelType w:val="hybridMultilevel"/>
    <w:tmpl w:val="A53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66671"/>
    <w:multiLevelType w:val="hybridMultilevel"/>
    <w:tmpl w:val="7F28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85B15"/>
    <w:multiLevelType w:val="hybridMultilevel"/>
    <w:tmpl w:val="02A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1998"/>
    <w:multiLevelType w:val="hybridMultilevel"/>
    <w:tmpl w:val="1182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839E4"/>
    <w:multiLevelType w:val="hybridMultilevel"/>
    <w:tmpl w:val="365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80B7D"/>
    <w:multiLevelType w:val="multilevel"/>
    <w:tmpl w:val="DA884AEC"/>
    <w:lvl w:ilvl="0">
      <w:start w:val="1"/>
      <w:numFmt w:val="decimal"/>
      <w:lvlText w:val="%1"/>
      <w:lvlJc w:val="left"/>
      <w:pPr>
        <w:ind w:left="560" w:hanging="560"/>
      </w:pPr>
      <w:rPr>
        <w:rFonts w:hint="default"/>
        <w:b w:val="0"/>
        <w:i/>
      </w:rPr>
    </w:lvl>
    <w:lvl w:ilvl="1">
      <w:start w:val="1"/>
      <w:numFmt w:val="decimal"/>
      <w:lvlText w:val="%1.%2"/>
      <w:lvlJc w:val="left"/>
      <w:pPr>
        <w:ind w:left="560" w:hanging="5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1F74AD1"/>
    <w:multiLevelType w:val="hybridMultilevel"/>
    <w:tmpl w:val="E4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27549"/>
    <w:multiLevelType w:val="hybridMultilevel"/>
    <w:tmpl w:val="9A505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F353A5"/>
    <w:multiLevelType w:val="hybridMultilevel"/>
    <w:tmpl w:val="5D58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2097A"/>
    <w:multiLevelType w:val="hybridMultilevel"/>
    <w:tmpl w:val="61461A8C"/>
    <w:lvl w:ilvl="0" w:tplc="F650E464">
      <w:start w:val="1"/>
      <w:numFmt w:val="bullet"/>
      <w:lvlText w:val=""/>
      <w:lvlPicBulletId w:val="0"/>
      <w:lvlJc w:val="left"/>
      <w:pPr>
        <w:tabs>
          <w:tab w:val="num" w:pos="720"/>
        </w:tabs>
        <w:ind w:left="720" w:hanging="360"/>
      </w:pPr>
      <w:rPr>
        <w:rFonts w:ascii="Symbol" w:hAnsi="Symbol" w:hint="default"/>
      </w:rPr>
    </w:lvl>
    <w:lvl w:ilvl="1" w:tplc="7752E4BC" w:tentative="1">
      <w:start w:val="1"/>
      <w:numFmt w:val="bullet"/>
      <w:lvlText w:val=""/>
      <w:lvlJc w:val="left"/>
      <w:pPr>
        <w:tabs>
          <w:tab w:val="num" w:pos="1440"/>
        </w:tabs>
        <w:ind w:left="1440" w:hanging="360"/>
      </w:pPr>
      <w:rPr>
        <w:rFonts w:ascii="Symbol" w:hAnsi="Symbol" w:hint="default"/>
      </w:rPr>
    </w:lvl>
    <w:lvl w:ilvl="2" w:tplc="86248D4E" w:tentative="1">
      <w:start w:val="1"/>
      <w:numFmt w:val="bullet"/>
      <w:lvlText w:val=""/>
      <w:lvlJc w:val="left"/>
      <w:pPr>
        <w:tabs>
          <w:tab w:val="num" w:pos="2160"/>
        </w:tabs>
        <w:ind w:left="2160" w:hanging="360"/>
      </w:pPr>
      <w:rPr>
        <w:rFonts w:ascii="Symbol" w:hAnsi="Symbol" w:hint="default"/>
      </w:rPr>
    </w:lvl>
    <w:lvl w:ilvl="3" w:tplc="69FA3258" w:tentative="1">
      <w:start w:val="1"/>
      <w:numFmt w:val="bullet"/>
      <w:lvlText w:val=""/>
      <w:lvlJc w:val="left"/>
      <w:pPr>
        <w:tabs>
          <w:tab w:val="num" w:pos="2880"/>
        </w:tabs>
        <w:ind w:left="2880" w:hanging="360"/>
      </w:pPr>
      <w:rPr>
        <w:rFonts w:ascii="Symbol" w:hAnsi="Symbol" w:hint="default"/>
      </w:rPr>
    </w:lvl>
    <w:lvl w:ilvl="4" w:tplc="AAB80040" w:tentative="1">
      <w:start w:val="1"/>
      <w:numFmt w:val="bullet"/>
      <w:lvlText w:val=""/>
      <w:lvlJc w:val="left"/>
      <w:pPr>
        <w:tabs>
          <w:tab w:val="num" w:pos="3600"/>
        </w:tabs>
        <w:ind w:left="3600" w:hanging="360"/>
      </w:pPr>
      <w:rPr>
        <w:rFonts w:ascii="Symbol" w:hAnsi="Symbol" w:hint="default"/>
      </w:rPr>
    </w:lvl>
    <w:lvl w:ilvl="5" w:tplc="18747E8E" w:tentative="1">
      <w:start w:val="1"/>
      <w:numFmt w:val="bullet"/>
      <w:lvlText w:val=""/>
      <w:lvlJc w:val="left"/>
      <w:pPr>
        <w:tabs>
          <w:tab w:val="num" w:pos="4320"/>
        </w:tabs>
        <w:ind w:left="4320" w:hanging="360"/>
      </w:pPr>
      <w:rPr>
        <w:rFonts w:ascii="Symbol" w:hAnsi="Symbol" w:hint="default"/>
      </w:rPr>
    </w:lvl>
    <w:lvl w:ilvl="6" w:tplc="799E25A4" w:tentative="1">
      <w:start w:val="1"/>
      <w:numFmt w:val="bullet"/>
      <w:lvlText w:val=""/>
      <w:lvlJc w:val="left"/>
      <w:pPr>
        <w:tabs>
          <w:tab w:val="num" w:pos="5040"/>
        </w:tabs>
        <w:ind w:left="5040" w:hanging="360"/>
      </w:pPr>
      <w:rPr>
        <w:rFonts w:ascii="Symbol" w:hAnsi="Symbol" w:hint="default"/>
      </w:rPr>
    </w:lvl>
    <w:lvl w:ilvl="7" w:tplc="7BAE524A" w:tentative="1">
      <w:start w:val="1"/>
      <w:numFmt w:val="bullet"/>
      <w:lvlText w:val=""/>
      <w:lvlJc w:val="left"/>
      <w:pPr>
        <w:tabs>
          <w:tab w:val="num" w:pos="5760"/>
        </w:tabs>
        <w:ind w:left="5760" w:hanging="360"/>
      </w:pPr>
      <w:rPr>
        <w:rFonts w:ascii="Symbol" w:hAnsi="Symbol" w:hint="default"/>
      </w:rPr>
    </w:lvl>
    <w:lvl w:ilvl="8" w:tplc="382EB25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C1040B"/>
    <w:multiLevelType w:val="hybridMultilevel"/>
    <w:tmpl w:val="B818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377DF5"/>
    <w:multiLevelType w:val="hybridMultilevel"/>
    <w:tmpl w:val="F848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309016E"/>
    <w:multiLevelType w:val="hybridMultilevel"/>
    <w:tmpl w:val="0380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4565D7"/>
    <w:multiLevelType w:val="hybridMultilevel"/>
    <w:tmpl w:val="8F0AE8EE"/>
    <w:lvl w:ilvl="0" w:tplc="90AEDDC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DF7307"/>
    <w:multiLevelType w:val="hybridMultilevel"/>
    <w:tmpl w:val="54CE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7527A2"/>
    <w:multiLevelType w:val="hybridMultilevel"/>
    <w:tmpl w:val="4AB21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2133A8"/>
    <w:multiLevelType w:val="hybridMultilevel"/>
    <w:tmpl w:val="E682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103D03"/>
    <w:multiLevelType w:val="hybridMultilevel"/>
    <w:tmpl w:val="D55A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D322B"/>
    <w:multiLevelType w:val="hybridMultilevel"/>
    <w:tmpl w:val="DC68027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2" w15:restartNumberingAfterBreak="0">
    <w:nsid w:val="545B7165"/>
    <w:multiLevelType w:val="hybridMultilevel"/>
    <w:tmpl w:val="EEDC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E5802"/>
    <w:multiLevelType w:val="hybridMultilevel"/>
    <w:tmpl w:val="19D6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4339F"/>
    <w:multiLevelType w:val="hybridMultilevel"/>
    <w:tmpl w:val="4976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A512B16"/>
    <w:multiLevelType w:val="hybridMultilevel"/>
    <w:tmpl w:val="6570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0573A80"/>
    <w:multiLevelType w:val="hybridMultilevel"/>
    <w:tmpl w:val="23F4C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3C2272E4"/>
    <w:lvl w:ilvl="0" w:tplc="0218CA6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4AA0DD5"/>
    <w:multiLevelType w:val="hybridMultilevel"/>
    <w:tmpl w:val="C1B8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153957"/>
    <w:multiLevelType w:val="hybridMultilevel"/>
    <w:tmpl w:val="7D52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CA52D5"/>
    <w:multiLevelType w:val="hybridMultilevel"/>
    <w:tmpl w:val="DBF2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2E722A"/>
    <w:multiLevelType w:val="hybridMultilevel"/>
    <w:tmpl w:val="2FF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E0535D"/>
    <w:multiLevelType w:val="hybridMultilevel"/>
    <w:tmpl w:val="C248C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8E650C"/>
    <w:multiLevelType w:val="hybridMultilevel"/>
    <w:tmpl w:val="B10A6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3416A9"/>
    <w:multiLevelType w:val="hybridMultilevel"/>
    <w:tmpl w:val="03AE942E"/>
    <w:lvl w:ilvl="0" w:tplc="B3E8654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14"/>
  </w:num>
  <w:num w:numId="4">
    <w:abstractNumId w:val="6"/>
  </w:num>
  <w:num w:numId="5">
    <w:abstractNumId w:val="27"/>
  </w:num>
  <w:num w:numId="6">
    <w:abstractNumId w:val="30"/>
  </w:num>
  <w:num w:numId="7">
    <w:abstractNumId w:val="17"/>
  </w:num>
  <w:num w:numId="8">
    <w:abstractNumId w:val="5"/>
  </w:num>
  <w:num w:numId="9">
    <w:abstractNumId w:val="21"/>
  </w:num>
  <w:num w:numId="10">
    <w:abstractNumId w:val="24"/>
  </w:num>
  <w:num w:numId="11">
    <w:abstractNumId w:val="34"/>
  </w:num>
  <w:num w:numId="12">
    <w:abstractNumId w:val="31"/>
  </w:num>
  <w:num w:numId="13">
    <w:abstractNumId w:val="32"/>
  </w:num>
  <w:num w:numId="14">
    <w:abstractNumId w:val="20"/>
  </w:num>
  <w:num w:numId="15">
    <w:abstractNumId w:val="16"/>
  </w:num>
  <w:num w:numId="16">
    <w:abstractNumId w:val="10"/>
  </w:num>
  <w:num w:numId="17">
    <w:abstractNumId w:val="35"/>
  </w:num>
  <w:num w:numId="18">
    <w:abstractNumId w:val="8"/>
  </w:num>
  <w:num w:numId="19">
    <w:abstractNumId w:val="19"/>
  </w:num>
  <w:num w:numId="20">
    <w:abstractNumId w:val="9"/>
  </w:num>
  <w:num w:numId="21">
    <w:abstractNumId w:val="36"/>
  </w:num>
  <w:num w:numId="22">
    <w:abstractNumId w:val="12"/>
  </w:num>
  <w:num w:numId="23">
    <w:abstractNumId w:val="13"/>
  </w:num>
  <w:num w:numId="24">
    <w:abstractNumId w:val="2"/>
  </w:num>
  <w:num w:numId="25">
    <w:abstractNumId w:val="15"/>
  </w:num>
  <w:num w:numId="26">
    <w:abstractNumId w:val="22"/>
  </w:num>
  <w:num w:numId="27">
    <w:abstractNumId w:val="33"/>
  </w:num>
  <w:num w:numId="28">
    <w:abstractNumId w:val="23"/>
  </w:num>
  <w:num w:numId="29">
    <w:abstractNumId w:val="18"/>
  </w:num>
  <w:num w:numId="30">
    <w:abstractNumId w:val="3"/>
  </w:num>
  <w:num w:numId="31">
    <w:abstractNumId w:val="0"/>
  </w:num>
  <w:num w:numId="32">
    <w:abstractNumId w:val="1"/>
  </w:num>
  <w:num w:numId="33">
    <w:abstractNumId w:val="28"/>
  </w:num>
  <w:num w:numId="34">
    <w:abstractNumId w:val="7"/>
  </w:num>
  <w:num w:numId="35">
    <w:abstractNumId w:val="26"/>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7BCB"/>
    <w:rsid w:val="000124FA"/>
    <w:rsid w:val="0005780E"/>
    <w:rsid w:val="00062A67"/>
    <w:rsid w:val="00065CC6"/>
    <w:rsid w:val="00085753"/>
    <w:rsid w:val="00094E3B"/>
    <w:rsid w:val="000A3F92"/>
    <w:rsid w:val="000A71F7"/>
    <w:rsid w:val="000E3CFF"/>
    <w:rsid w:val="000E4C8C"/>
    <w:rsid w:val="000F09E4"/>
    <w:rsid w:val="000F16FD"/>
    <w:rsid w:val="00111C9B"/>
    <w:rsid w:val="001170F5"/>
    <w:rsid w:val="00137232"/>
    <w:rsid w:val="00147EE4"/>
    <w:rsid w:val="00160D6D"/>
    <w:rsid w:val="00174650"/>
    <w:rsid w:val="001A53D0"/>
    <w:rsid w:val="001B4FFF"/>
    <w:rsid w:val="001C49B5"/>
    <w:rsid w:val="001F20D1"/>
    <w:rsid w:val="001F2BE9"/>
    <w:rsid w:val="00201F2F"/>
    <w:rsid w:val="002279BA"/>
    <w:rsid w:val="002329F3"/>
    <w:rsid w:val="00243F0D"/>
    <w:rsid w:val="002647BB"/>
    <w:rsid w:val="002754C1"/>
    <w:rsid w:val="00276ACD"/>
    <w:rsid w:val="002841C8"/>
    <w:rsid w:val="0028516B"/>
    <w:rsid w:val="0029014A"/>
    <w:rsid w:val="002C4FB1"/>
    <w:rsid w:val="002C6F90"/>
    <w:rsid w:val="002D418D"/>
    <w:rsid w:val="002D7057"/>
    <w:rsid w:val="002E4FB5"/>
    <w:rsid w:val="00302FB8"/>
    <w:rsid w:val="00304EA1"/>
    <w:rsid w:val="00314D81"/>
    <w:rsid w:val="00314EFA"/>
    <w:rsid w:val="00322FC6"/>
    <w:rsid w:val="003334E9"/>
    <w:rsid w:val="003359A3"/>
    <w:rsid w:val="0035293F"/>
    <w:rsid w:val="00390117"/>
    <w:rsid w:val="00391986"/>
    <w:rsid w:val="003A00B4"/>
    <w:rsid w:val="003A410A"/>
    <w:rsid w:val="003D6ED2"/>
    <w:rsid w:val="0040453D"/>
    <w:rsid w:val="00406384"/>
    <w:rsid w:val="00417AA3"/>
    <w:rsid w:val="00423438"/>
    <w:rsid w:val="0042541B"/>
    <w:rsid w:val="00427CE0"/>
    <w:rsid w:val="00440B32"/>
    <w:rsid w:val="0046078D"/>
    <w:rsid w:val="00463289"/>
    <w:rsid w:val="00467219"/>
    <w:rsid w:val="004753FC"/>
    <w:rsid w:val="00480CBB"/>
    <w:rsid w:val="004A2ED8"/>
    <w:rsid w:val="004B3508"/>
    <w:rsid w:val="004B5D34"/>
    <w:rsid w:val="004B60FD"/>
    <w:rsid w:val="004D4103"/>
    <w:rsid w:val="004E254C"/>
    <w:rsid w:val="004E58A8"/>
    <w:rsid w:val="004F0E1C"/>
    <w:rsid w:val="004F32F9"/>
    <w:rsid w:val="004F5BDA"/>
    <w:rsid w:val="005033AB"/>
    <w:rsid w:val="0051631E"/>
    <w:rsid w:val="00517BEE"/>
    <w:rsid w:val="0053558B"/>
    <w:rsid w:val="00537A1F"/>
    <w:rsid w:val="00550EE9"/>
    <w:rsid w:val="00566029"/>
    <w:rsid w:val="00566A38"/>
    <w:rsid w:val="0056778E"/>
    <w:rsid w:val="005801C1"/>
    <w:rsid w:val="00580583"/>
    <w:rsid w:val="0058672F"/>
    <w:rsid w:val="00586FC2"/>
    <w:rsid w:val="005923CB"/>
    <w:rsid w:val="005B0C16"/>
    <w:rsid w:val="005B391B"/>
    <w:rsid w:val="005C37A1"/>
    <w:rsid w:val="005C58BE"/>
    <w:rsid w:val="005D38E5"/>
    <w:rsid w:val="005D3D78"/>
    <w:rsid w:val="005D7492"/>
    <w:rsid w:val="005E2EF0"/>
    <w:rsid w:val="005F11B9"/>
    <w:rsid w:val="005F1D67"/>
    <w:rsid w:val="00600392"/>
    <w:rsid w:val="00645CC0"/>
    <w:rsid w:val="006557CF"/>
    <w:rsid w:val="00664624"/>
    <w:rsid w:val="00664EB2"/>
    <w:rsid w:val="00682E74"/>
    <w:rsid w:val="0068471E"/>
    <w:rsid w:val="00684F98"/>
    <w:rsid w:val="00686D05"/>
    <w:rsid w:val="00693FFD"/>
    <w:rsid w:val="006A4213"/>
    <w:rsid w:val="006D2159"/>
    <w:rsid w:val="006F787C"/>
    <w:rsid w:val="00700D89"/>
    <w:rsid w:val="00702636"/>
    <w:rsid w:val="007036CD"/>
    <w:rsid w:val="00724507"/>
    <w:rsid w:val="00724741"/>
    <w:rsid w:val="00724BB1"/>
    <w:rsid w:val="00724C10"/>
    <w:rsid w:val="007329DD"/>
    <w:rsid w:val="00743CB9"/>
    <w:rsid w:val="0074680A"/>
    <w:rsid w:val="00767FD0"/>
    <w:rsid w:val="00773E6C"/>
    <w:rsid w:val="00776F9E"/>
    <w:rsid w:val="00781FB1"/>
    <w:rsid w:val="00784803"/>
    <w:rsid w:val="007A7F8B"/>
    <w:rsid w:val="007B1B57"/>
    <w:rsid w:val="007B4844"/>
    <w:rsid w:val="007B54DF"/>
    <w:rsid w:val="007D513F"/>
    <w:rsid w:val="007E4B52"/>
    <w:rsid w:val="007F15D0"/>
    <w:rsid w:val="007F5A3B"/>
    <w:rsid w:val="00810BE0"/>
    <w:rsid w:val="00813C37"/>
    <w:rsid w:val="008154B5"/>
    <w:rsid w:val="00823962"/>
    <w:rsid w:val="008255CF"/>
    <w:rsid w:val="00842E83"/>
    <w:rsid w:val="00852719"/>
    <w:rsid w:val="00860115"/>
    <w:rsid w:val="0087058D"/>
    <w:rsid w:val="0087256F"/>
    <w:rsid w:val="00876F9C"/>
    <w:rsid w:val="0088783C"/>
    <w:rsid w:val="00891525"/>
    <w:rsid w:val="00897518"/>
    <w:rsid w:val="008A50EB"/>
    <w:rsid w:val="008C745E"/>
    <w:rsid w:val="008D0006"/>
    <w:rsid w:val="009370BC"/>
    <w:rsid w:val="00940483"/>
    <w:rsid w:val="00970580"/>
    <w:rsid w:val="00980182"/>
    <w:rsid w:val="0098245E"/>
    <w:rsid w:val="0098739B"/>
    <w:rsid w:val="009A2E37"/>
    <w:rsid w:val="009B61E5"/>
    <w:rsid w:val="009D1E89"/>
    <w:rsid w:val="009D539C"/>
    <w:rsid w:val="00A17661"/>
    <w:rsid w:val="00A24B2D"/>
    <w:rsid w:val="00A32D10"/>
    <w:rsid w:val="00A40966"/>
    <w:rsid w:val="00A44BF3"/>
    <w:rsid w:val="00A450D7"/>
    <w:rsid w:val="00A50A62"/>
    <w:rsid w:val="00A66FDC"/>
    <w:rsid w:val="00A921E0"/>
    <w:rsid w:val="00AA0095"/>
    <w:rsid w:val="00AB12BF"/>
    <w:rsid w:val="00AC21D1"/>
    <w:rsid w:val="00AD4298"/>
    <w:rsid w:val="00AD46DF"/>
    <w:rsid w:val="00AE5526"/>
    <w:rsid w:val="00AE684B"/>
    <w:rsid w:val="00AF051B"/>
    <w:rsid w:val="00B01578"/>
    <w:rsid w:val="00B0738F"/>
    <w:rsid w:val="00B26601"/>
    <w:rsid w:val="00B41951"/>
    <w:rsid w:val="00B53229"/>
    <w:rsid w:val="00B62480"/>
    <w:rsid w:val="00B6691D"/>
    <w:rsid w:val="00B81B70"/>
    <w:rsid w:val="00B97979"/>
    <w:rsid w:val="00BA2783"/>
    <w:rsid w:val="00BD0724"/>
    <w:rsid w:val="00BD2B91"/>
    <w:rsid w:val="00BE5521"/>
    <w:rsid w:val="00C07CC6"/>
    <w:rsid w:val="00C511F1"/>
    <w:rsid w:val="00C53263"/>
    <w:rsid w:val="00C70FF8"/>
    <w:rsid w:val="00C75F1D"/>
    <w:rsid w:val="00C768CE"/>
    <w:rsid w:val="00CB639C"/>
    <w:rsid w:val="00CB68E8"/>
    <w:rsid w:val="00CD5679"/>
    <w:rsid w:val="00CD7977"/>
    <w:rsid w:val="00CE1BC0"/>
    <w:rsid w:val="00CF016D"/>
    <w:rsid w:val="00D04F01"/>
    <w:rsid w:val="00D338E4"/>
    <w:rsid w:val="00D51947"/>
    <w:rsid w:val="00D532F0"/>
    <w:rsid w:val="00D55914"/>
    <w:rsid w:val="00D7283E"/>
    <w:rsid w:val="00D77413"/>
    <w:rsid w:val="00D82759"/>
    <w:rsid w:val="00D863F3"/>
    <w:rsid w:val="00D86DE4"/>
    <w:rsid w:val="00DA5741"/>
    <w:rsid w:val="00DD780E"/>
    <w:rsid w:val="00DF53E3"/>
    <w:rsid w:val="00E138A5"/>
    <w:rsid w:val="00E23F1D"/>
    <w:rsid w:val="00E30928"/>
    <w:rsid w:val="00E30B88"/>
    <w:rsid w:val="00E35CB8"/>
    <w:rsid w:val="00E36361"/>
    <w:rsid w:val="00E51420"/>
    <w:rsid w:val="00E55AE9"/>
    <w:rsid w:val="00E625AC"/>
    <w:rsid w:val="00E83006"/>
    <w:rsid w:val="00EA71BE"/>
    <w:rsid w:val="00EB0C84"/>
    <w:rsid w:val="00EB7958"/>
    <w:rsid w:val="00ED4002"/>
    <w:rsid w:val="00EF7D02"/>
    <w:rsid w:val="00F37F0A"/>
    <w:rsid w:val="00F40D53"/>
    <w:rsid w:val="00F4525C"/>
    <w:rsid w:val="00F50D86"/>
    <w:rsid w:val="00F95467"/>
    <w:rsid w:val="00F97BCC"/>
    <w:rsid w:val="00FA09EE"/>
    <w:rsid w:val="00FA6A3C"/>
    <w:rsid w:val="00FC3007"/>
    <w:rsid w:val="00FC3068"/>
    <w:rsid w:val="00FE5540"/>
    <w:rsid w:val="00FE5563"/>
    <w:rsid w:val="00FF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661B"/>
  <w15:docId w15:val="{E2DD9733-0F0C-49B8-9EEE-7D23D35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DD780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EB7958"/>
    <w:pPr>
      <w:tabs>
        <w:tab w:val="right" w:leader="dot" w:pos="9629"/>
      </w:tabs>
      <w:spacing w:after="100"/>
    </w:pPr>
    <w:rPr>
      <w:b/>
      <w:noProof/>
      <w:lang w:val="en-AU"/>
    </w:rPr>
  </w:style>
  <w:style w:type="paragraph" w:styleId="TOC2">
    <w:name w:val="toc 2"/>
    <w:basedOn w:val="Normal"/>
    <w:next w:val="Normal"/>
    <w:autoRedefine/>
    <w:uiPriority w:val="39"/>
    <w:unhideWhenUsed/>
    <w:rsid w:val="00EB7958"/>
    <w:pPr>
      <w:spacing w:after="100"/>
      <w:ind w:left="220"/>
    </w:pPr>
  </w:style>
  <w:style w:type="paragraph" w:styleId="TOC3">
    <w:name w:val="toc 3"/>
    <w:basedOn w:val="Normal"/>
    <w:next w:val="Normal"/>
    <w:autoRedefine/>
    <w:uiPriority w:val="39"/>
    <w:unhideWhenUsed/>
    <w:rsid w:val="00EB7958"/>
    <w:pPr>
      <w:spacing w:after="100"/>
      <w:ind w:left="440"/>
    </w:pPr>
  </w:style>
  <w:style w:type="paragraph" w:styleId="TOC4">
    <w:name w:val="toc 4"/>
    <w:basedOn w:val="Normal"/>
    <w:next w:val="Normal"/>
    <w:autoRedefine/>
    <w:uiPriority w:val="39"/>
    <w:unhideWhenUsed/>
    <w:rsid w:val="00EB7958"/>
    <w:pPr>
      <w:spacing w:after="100"/>
      <w:ind w:left="660"/>
    </w:pPr>
  </w:style>
  <w:style w:type="paragraph" w:customStyle="1" w:styleId="VCAADocumentsubtitleB">
    <w:name w:val="VCAA Document subtitle B"/>
    <w:basedOn w:val="VCAADocumentsubtitle"/>
    <w:qFormat/>
    <w:rsid w:val="00940483"/>
    <w:rPr>
      <w:sz w:val="44"/>
      <w:szCs w:val="44"/>
    </w:rPr>
  </w:style>
  <w:style w:type="character" w:customStyle="1" w:styleId="UnresolvedMention1">
    <w:name w:val="Unresolved Mention1"/>
    <w:basedOn w:val="DefaultParagraphFont"/>
    <w:uiPriority w:val="99"/>
    <w:semiHidden/>
    <w:unhideWhenUsed/>
    <w:rsid w:val="004E58A8"/>
    <w:rPr>
      <w:color w:val="808080"/>
      <w:shd w:val="clear" w:color="auto" w:fill="E6E6E6"/>
    </w:rPr>
  </w:style>
  <w:style w:type="character" w:styleId="FollowedHyperlink">
    <w:name w:val="FollowedHyperlink"/>
    <w:basedOn w:val="DefaultParagraphFont"/>
    <w:uiPriority w:val="99"/>
    <w:semiHidden/>
    <w:unhideWhenUsed/>
    <w:rsid w:val="0098018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openxmlformats.org/officeDocument/2006/relationships/hyperlink" Target="https://www.nma.gov.au/defining-moments/resources/aboriginal-tent-embass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eader" Target="header4.xml"/><Relationship Id="rId33" Type="http://schemas.openxmlformats.org/officeDocument/2006/relationships/hyperlink" Target="https://commons.wikimedia.org/wiki/File:USMC-09611.jp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HHC127" TargetMode="External"/><Relationship Id="rId32" Type="http://schemas.openxmlformats.org/officeDocument/2006/relationships/hyperlink" Target="https://www.sbs.com.au/nitv/article/2016/08/19/wave-hill-walk-historian-says-gurindji-defiance-remains-inspiratio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victoriancurriculum.vcaa.vic.edu.au/Curriculum/ContentDescription/VCHHK153" TargetMode="External"/><Relationship Id="rId28" Type="http://schemas.openxmlformats.org/officeDocument/2006/relationships/footer" Target="footer4.xml"/><Relationship Id="rId36" Type="http://schemas.openxmlformats.org/officeDocument/2006/relationships/hyperlink" Target="https://www.sbs.com.au/nitv/nitv-news/article/2015/02/18/explainer-what-was-australias-freedom-ride"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aaregistry.org/story/the-montgomery-bus-boycott-begi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www.obv.org.uk/news-blogs/freedom-riders-usa-civil-rights-victo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55BFE910-73C7-4DD7-8471-EC1D85E3EB38}"/>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507EF452-1F8C-4ECC-9C34-32EC9185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Using formative assessment rubrics in History Cause and effect Levels 9-10</vt:lpstr>
    </vt:vector>
  </TitlesOfParts>
  <Company>Victorian Curriculum and Assessment Authority</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History Cause and effect Levels 9-10</dc:title>
  <dc:creator>Heeren, Thomas T</dc:creator>
  <cp:lastModifiedBy>Fisher, Peter P</cp:lastModifiedBy>
  <cp:revision>2</cp:revision>
  <cp:lastPrinted>2019-10-04T07:17:00Z</cp:lastPrinted>
  <dcterms:created xsi:type="dcterms:W3CDTF">2020-09-08T23:01:00Z</dcterms:created>
  <dcterms:modified xsi:type="dcterms:W3CDTF">2020-09-08T23:01:00Z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