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0" w:rsidRDefault="00A91220" w:rsidP="00DB76CF">
      <w:pPr>
        <w:pStyle w:val="Heading1"/>
        <w:ind w:left="426"/>
      </w:pPr>
      <w:r>
        <w:t xml:space="preserve">Mathematics Curriculum Area Plan </w:t>
      </w:r>
      <w:bookmarkStart w:id="0" w:name="_GoBack"/>
      <w:bookmarkEnd w:id="0"/>
    </w:p>
    <w:p w:rsidR="003428B7" w:rsidRDefault="00A91220" w:rsidP="00DB76CF">
      <w:pPr>
        <w:pStyle w:val="Heading2"/>
        <w:spacing w:before="0" w:line="240" w:lineRule="auto"/>
        <w:ind w:left="426"/>
      </w:pPr>
      <w:r>
        <w:t>Number and Algebra</w:t>
      </w:r>
    </w:p>
    <w:p w:rsidR="00A91220" w:rsidRPr="00A91220" w:rsidRDefault="00A91220" w:rsidP="00DB76CF">
      <w:pPr>
        <w:pStyle w:val="Heading3"/>
        <w:spacing w:before="0" w:after="240" w:line="240" w:lineRule="auto"/>
        <w:ind w:left="426"/>
      </w:pPr>
      <w:r>
        <w:t>Sample Program – years 7 to 10</w:t>
      </w:r>
    </w:p>
    <w:tbl>
      <w:tblPr>
        <w:tblStyle w:val="TableGrid"/>
        <w:tblW w:w="106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0"/>
        <w:gridCol w:w="992"/>
        <w:gridCol w:w="71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0496C" w:rsidRPr="00A91220" w:rsidTr="00A91220">
        <w:trPr>
          <w:trHeight w:val="154"/>
        </w:trPr>
        <w:tc>
          <w:tcPr>
            <w:tcW w:w="420" w:type="dxa"/>
            <w:tcBorders>
              <w:top w:val="nil"/>
              <w:left w:val="nil"/>
              <w:bottom w:val="single" w:sz="12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496C" w:rsidRPr="00A91220" w:rsidRDefault="0060496C" w:rsidP="00E474D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Approx</w:t>
            </w:r>
            <w:r w:rsidR="00E474D0">
              <w:rPr>
                <w:rFonts w:ascii="Arial Narrow" w:hAnsi="Arial Narrow"/>
                <w:b/>
                <w:sz w:val="16"/>
                <w:szCs w:val="14"/>
              </w:rPr>
              <w:t>.</w:t>
            </w:r>
            <w:r w:rsidRPr="00A91220">
              <w:rPr>
                <w:rFonts w:ascii="Arial Narrow" w:hAnsi="Arial Narrow"/>
                <w:b/>
                <w:sz w:val="16"/>
                <w:szCs w:val="14"/>
              </w:rPr>
              <w:t xml:space="preserve"> hours of teaching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27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60496C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39</w:t>
            </w:r>
          </w:p>
        </w:tc>
      </w:tr>
      <w:tr w:rsidR="0060496C" w:rsidRPr="00A91220" w:rsidTr="00A91220">
        <w:trPr>
          <w:trHeight w:val="31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0496C" w:rsidRPr="00A91220" w:rsidRDefault="0060496C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 xml:space="preserve">Year 7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9E2043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Semester 1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 w:cs="Arial"/>
                <w:b/>
                <w:sz w:val="16"/>
                <w:szCs w:val="14"/>
              </w:rPr>
              <w:t>Whole numbers, factors and multiples  7.1.2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Number puzzles and patterns - 7.1.5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Integers, fractions and number lines - 7.1.6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56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 w:cs="Arial"/>
                <w:sz w:val="16"/>
                <w:szCs w:val="14"/>
              </w:rPr>
              <w:t>Sub-strand: Number and place value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Sub-strands: Real numbers; Number and place 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98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96C" w:rsidRPr="00A91220" w:rsidRDefault="0060496C" w:rsidP="00D65547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496C" w:rsidRPr="00A91220" w:rsidRDefault="0060496C" w:rsidP="009E2043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Semester 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Fractions - 7.2.1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Patterns, rules and equations - 7.2.2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9E2043">
            <w:pPr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 xml:space="preserve">Decimals, percentages and simple ratios </w:t>
            </w:r>
          </w:p>
          <w:p w:rsidR="0060496C" w:rsidRPr="00A91220" w:rsidRDefault="0060496C" w:rsidP="009E2043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7.2.4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Coordinates, graphs and transformations  7.2.5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Time and money - 7.2.6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283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Real numbers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Real numbers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Money and financial mathematics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307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12" w:space="0" w:color="auto"/>
            </w:tcBorders>
            <w:shd w:val="clear" w:color="auto" w:fill="CCCCCC" w:themeFill="accent4" w:themeFillTint="33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CCCCCC" w:themeFill="accent4" w:themeFillTint="33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  <w:shd w:val="clear" w:color="auto" w:fill="CCCCCC" w:themeFill="accent4" w:themeFillTint="33"/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i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i/>
                <w:sz w:val="16"/>
                <w:szCs w:val="14"/>
              </w:rPr>
              <w:t>(See measurement and geometry)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i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i/>
                <w:sz w:val="16"/>
                <w:szCs w:val="14"/>
              </w:rPr>
              <w:t>(see measurement and geometry)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309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0496C" w:rsidRPr="00A91220" w:rsidRDefault="0060496C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 w:cs="Arial"/>
                <w:b/>
                <w:sz w:val="16"/>
                <w:szCs w:val="14"/>
              </w:rPr>
              <w:t xml:space="preserve">Year 8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96C" w:rsidRPr="00A91220" w:rsidRDefault="0060496C" w:rsidP="00980505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 w:cs="Arial"/>
                <w:b/>
                <w:sz w:val="16"/>
                <w:szCs w:val="14"/>
              </w:rPr>
              <w:t>Semester 1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Positive and negative integers - 8.1.1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Maps, networks and coordinates - 8.1.2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Money and Percentages 8.1.6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Algebra Expressions - 8.1.7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56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Number and place value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Linear and non-linear relationships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Money and financial mathematics; Real numbers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309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96C" w:rsidRPr="00A91220" w:rsidRDefault="0060496C" w:rsidP="00D65547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496C" w:rsidRPr="00A91220" w:rsidRDefault="0060496C" w:rsidP="004208FC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Semester 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Linear functions and graphs - 8.2.1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4208FC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Real numbers and indices</w:t>
            </w:r>
            <w:r w:rsidRPr="00A91220">
              <w:rPr>
                <w:rFonts w:ascii="Arial Narrow" w:hAnsi="Arial Narrow"/>
                <w:sz w:val="16"/>
                <w:szCs w:val="14"/>
              </w:rPr>
              <w:t xml:space="preserve"> </w:t>
            </w:r>
            <w:r w:rsidRPr="00A91220">
              <w:rPr>
                <w:rFonts w:ascii="Arial Narrow" w:hAnsi="Arial Narrow"/>
                <w:b/>
                <w:sz w:val="16"/>
                <w:szCs w:val="14"/>
              </w:rPr>
              <w:t>- 8.2.2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Linear equations - 8.2.4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Ratios and rates - 8.2.7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567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algebra; Linear and non-linear relationships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Real numbers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Real numbers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31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0496C" w:rsidRPr="00A91220" w:rsidRDefault="0060496C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 xml:space="preserve">Year 9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96C" w:rsidRPr="00A91220" w:rsidRDefault="0060496C" w:rsidP="003F1E55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Semester 1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Number and financial mathematics - 9.1.1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Algebra techniques - 9.1.3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Linear relations and coordinate geometry - 9.1.4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Rate, ratio and proportion</w:t>
            </w:r>
          </w:p>
          <w:p w:rsidR="0060496C" w:rsidRPr="00A91220" w:rsidRDefault="0060496C" w:rsidP="00A91220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9.1.5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56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Real numbers; Money and financial mathematics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309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496C" w:rsidRPr="00A91220" w:rsidRDefault="0060496C" w:rsidP="00D65547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496C" w:rsidRPr="00A91220" w:rsidRDefault="0060496C" w:rsidP="000F27E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Semester 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Linear equations - 9.2.2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Indices and scientific notation - 9.2.3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Further algebra - 9.2.6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Non-linear relations - 9.2.7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567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Linear and non-linear relationships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Real numbers; Patterns and algebra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47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0496C" w:rsidRPr="00A91220" w:rsidRDefault="0060496C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 w:cs="Arial"/>
                <w:b/>
                <w:sz w:val="16"/>
                <w:szCs w:val="14"/>
              </w:rPr>
              <w:t xml:space="preserve">Year 10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96C" w:rsidRPr="00A91220" w:rsidRDefault="0060496C" w:rsidP="004208FC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 w:cs="Arial"/>
                <w:b/>
                <w:sz w:val="16"/>
                <w:szCs w:val="14"/>
              </w:rPr>
              <w:t>Semester 1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Linear relationships - 10.1.2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Number and financial applications  - 10.1.4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Coordinates geometry and simultaneous equations 10.1.5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Algebra techniques - 10.1.6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56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Linear and non-linear relationships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Real numbers; Money and financial mathematics; Patterns and algebra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Patterns and algebra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309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96C" w:rsidRPr="00A91220" w:rsidRDefault="0060496C" w:rsidP="00D65547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496C" w:rsidRPr="00A91220" w:rsidRDefault="0060496C" w:rsidP="004208FC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 w:cs="Arial"/>
                <w:b/>
                <w:sz w:val="16"/>
                <w:szCs w:val="14"/>
              </w:rPr>
              <w:t>Semester 2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Quadratic functions - 10.2.1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Relations and their graphs - 10.2.6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567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496C" w:rsidRPr="00A91220" w:rsidRDefault="0060496C" w:rsidP="001F053A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Linear and non-linear relationships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60496C" w:rsidRPr="00A91220" w:rsidRDefault="0060496C" w:rsidP="00A91220">
            <w:pPr>
              <w:rPr>
                <w:rFonts w:ascii="Arial Narrow" w:hAnsi="Arial Narrow"/>
                <w:sz w:val="16"/>
                <w:szCs w:val="14"/>
              </w:rPr>
            </w:pPr>
            <w:r w:rsidRPr="00A91220">
              <w:rPr>
                <w:rFonts w:ascii="Arial Narrow" w:hAnsi="Arial Narrow"/>
                <w:sz w:val="16"/>
                <w:szCs w:val="14"/>
              </w:rPr>
              <w:t>Sub-strand: Linear and non-linear relationships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wave" w:sz="6" w:space="0" w:color="auto"/>
            </w:tcBorders>
            <w:vAlign w:val="center"/>
          </w:tcPr>
          <w:p w:rsidR="0060496C" w:rsidRPr="00A91220" w:rsidRDefault="0060496C" w:rsidP="00EE45B1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</w:tr>
      <w:tr w:rsidR="0060496C" w:rsidRPr="00A91220" w:rsidTr="00A91220">
        <w:trPr>
          <w:trHeight w:val="154"/>
        </w:trPr>
        <w:tc>
          <w:tcPr>
            <w:tcW w:w="420" w:type="dxa"/>
            <w:tcBorders>
              <w:top w:val="single" w:sz="12" w:space="0" w:color="auto"/>
              <w:left w:val="nil"/>
              <w:bottom w:val="nil"/>
            </w:tcBorders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496C" w:rsidRPr="00A91220" w:rsidRDefault="0060496C" w:rsidP="008B4396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Approx</w:t>
            </w:r>
            <w:r w:rsidR="008B4396">
              <w:rPr>
                <w:rFonts w:ascii="Arial Narrow" w:hAnsi="Arial Narrow"/>
                <w:b/>
                <w:sz w:val="16"/>
                <w:szCs w:val="14"/>
              </w:rPr>
              <w:t>.</w:t>
            </w:r>
            <w:r w:rsidRPr="00A91220">
              <w:rPr>
                <w:rFonts w:ascii="Arial Narrow" w:hAnsi="Arial Narrow"/>
                <w:b/>
                <w:sz w:val="16"/>
                <w:szCs w:val="14"/>
              </w:rPr>
              <w:t xml:space="preserve"> hours of teaching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27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496C" w:rsidRPr="00A91220" w:rsidRDefault="0060496C" w:rsidP="00A91220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39</w:t>
            </w:r>
          </w:p>
        </w:tc>
      </w:tr>
      <w:tr w:rsidR="001842B2" w:rsidRPr="00A91220" w:rsidTr="00A91220">
        <w:trPr>
          <w:trHeight w:val="397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2B2" w:rsidRPr="00A91220" w:rsidRDefault="001842B2" w:rsidP="00DE13A6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91220">
              <w:rPr>
                <w:rFonts w:ascii="Arial Narrow" w:hAnsi="Arial Narrow"/>
                <w:b/>
                <w:sz w:val="16"/>
                <w:szCs w:val="18"/>
              </w:rPr>
              <w:t>Key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1842B2" w:rsidRPr="00A91220" w:rsidRDefault="001842B2" w:rsidP="000D5254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91220">
              <w:rPr>
                <w:rFonts w:ascii="Arial Narrow" w:hAnsi="Arial Narrow"/>
                <w:b/>
                <w:sz w:val="16"/>
                <w:szCs w:val="18"/>
              </w:rPr>
              <w:t xml:space="preserve">Number and Algebra </w:t>
            </w:r>
            <w:r w:rsidR="000D5254">
              <w:rPr>
                <w:rFonts w:ascii="Arial Narrow" w:hAnsi="Arial Narrow"/>
                <w:b/>
                <w:sz w:val="16"/>
                <w:szCs w:val="18"/>
              </w:rPr>
              <w:t>sub-s</w:t>
            </w:r>
            <w:r w:rsidRPr="00A91220">
              <w:rPr>
                <w:rFonts w:ascii="Arial Narrow" w:hAnsi="Arial Narrow"/>
                <w:b/>
                <w:sz w:val="16"/>
                <w:szCs w:val="18"/>
              </w:rPr>
              <w:t>trand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2B2" w:rsidRPr="00A91220" w:rsidRDefault="001842B2" w:rsidP="00A91220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B2" w:rsidRPr="00A91220" w:rsidRDefault="001842B2" w:rsidP="001842B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91220">
              <w:rPr>
                <w:rFonts w:ascii="Arial Narrow" w:hAnsi="Arial Narrow"/>
                <w:b/>
                <w:sz w:val="16"/>
                <w:szCs w:val="18"/>
              </w:rPr>
              <w:t>Topic, level, semester and sequence</w:t>
            </w:r>
          </w:p>
        </w:tc>
      </w:tr>
    </w:tbl>
    <w:p w:rsidR="004B587E" w:rsidRDefault="004B587E" w:rsidP="00A91220"/>
    <w:sectPr w:rsidR="004B587E" w:rsidSect="008B4396">
      <w:headerReference w:type="default" r:id="rId7"/>
      <w:footerReference w:type="default" r:id="rId8"/>
      <w:pgSz w:w="11907" w:h="16839" w:code="9"/>
      <w:pgMar w:top="297" w:right="851" w:bottom="1440" w:left="284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20" w:rsidRDefault="00A91220" w:rsidP="005E74BF">
      <w:pPr>
        <w:spacing w:after="0" w:line="240" w:lineRule="auto"/>
      </w:pPr>
      <w:r>
        <w:separator/>
      </w:r>
    </w:p>
  </w:endnote>
  <w:endnote w:type="continuationSeparator" w:id="0">
    <w:p w:rsidR="00A91220" w:rsidRDefault="00A91220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F" w:rsidRDefault="00A91220" w:rsidP="00A91220">
    <w:pPr>
      <w:pStyle w:val="Footer"/>
      <w:tabs>
        <w:tab w:val="center" w:pos="5386"/>
        <w:tab w:val="right" w:pos="10772"/>
      </w:tabs>
      <w:jc w:val="center"/>
    </w:pPr>
    <w:r>
      <w:rPr>
        <w:noProof/>
        <w:lang w:eastAsia="en-AU"/>
      </w:rPr>
      <w:drawing>
        <wp:inline distT="0" distB="0" distL="0" distR="0" wp14:anchorId="3F49FA62" wp14:editId="141745F0">
          <wp:extent cx="6120765" cy="1396223"/>
          <wp:effectExtent l="0" t="0" r="0" b="0"/>
          <wp:docPr id="1" name="Picture 1" descr="Logo and registered trademark of the Victorian Curriculum and Assessment Authority and State Government of Victoria insignia&#10;&#10;Decorative stripe bar, part of the Victorian Curriculum and Assessment Authority's corporate brand assets" title="VCAA and 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96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220" w:rsidRDefault="00A91220" w:rsidP="00DB76CF">
    <w:pPr>
      <w:pStyle w:val="Footer"/>
      <w:tabs>
        <w:tab w:val="center" w:pos="5386"/>
        <w:tab w:val="right" w:pos="10772"/>
      </w:tabs>
    </w:pPr>
    <w:r w:rsidRPr="003417E0">
      <w:t>©</w:t>
    </w:r>
    <w:r>
      <w:rPr>
        <w:color w:val="0096DF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20" w:rsidRDefault="00A91220" w:rsidP="005E74BF">
      <w:pPr>
        <w:spacing w:after="0" w:line="240" w:lineRule="auto"/>
      </w:pPr>
      <w:r>
        <w:separator/>
      </w:r>
    </w:p>
  </w:footnote>
  <w:footnote w:type="continuationSeparator" w:id="0">
    <w:p w:rsidR="00A91220" w:rsidRDefault="00A91220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96" w:rsidRDefault="008B4396" w:rsidP="008B4396">
    <w:pPr>
      <w:spacing w:after="0"/>
      <w:jc w:val="right"/>
    </w:pPr>
    <w:r>
      <w:t xml:space="preserve">Mathematics </w:t>
    </w:r>
    <w:r>
      <w:t>Curriculum Area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16F0D"/>
    <w:rsid w:val="00065332"/>
    <w:rsid w:val="000D5254"/>
    <w:rsid w:val="000F27EA"/>
    <w:rsid w:val="000F39C4"/>
    <w:rsid w:val="001842B2"/>
    <w:rsid w:val="001D6B95"/>
    <w:rsid w:val="001E29B6"/>
    <w:rsid w:val="001F053A"/>
    <w:rsid w:val="00310330"/>
    <w:rsid w:val="00310795"/>
    <w:rsid w:val="00326D60"/>
    <w:rsid w:val="003428B7"/>
    <w:rsid w:val="003636DB"/>
    <w:rsid w:val="00386349"/>
    <w:rsid w:val="003F1E55"/>
    <w:rsid w:val="004208FC"/>
    <w:rsid w:val="004718F6"/>
    <w:rsid w:val="00487484"/>
    <w:rsid w:val="004B587E"/>
    <w:rsid w:val="0052501C"/>
    <w:rsid w:val="005E3407"/>
    <w:rsid w:val="005E74BF"/>
    <w:rsid w:val="0060496C"/>
    <w:rsid w:val="006507F0"/>
    <w:rsid w:val="006E753A"/>
    <w:rsid w:val="00743EBD"/>
    <w:rsid w:val="007E1BC9"/>
    <w:rsid w:val="008B4396"/>
    <w:rsid w:val="008C5FFC"/>
    <w:rsid w:val="008D0A43"/>
    <w:rsid w:val="008E44E5"/>
    <w:rsid w:val="00980505"/>
    <w:rsid w:val="009E2043"/>
    <w:rsid w:val="00A91220"/>
    <w:rsid w:val="00AF6EF8"/>
    <w:rsid w:val="00B83535"/>
    <w:rsid w:val="00B926E3"/>
    <w:rsid w:val="00C16D11"/>
    <w:rsid w:val="00D406B4"/>
    <w:rsid w:val="00D65547"/>
    <w:rsid w:val="00D67B37"/>
    <w:rsid w:val="00D70C7C"/>
    <w:rsid w:val="00DB76CF"/>
    <w:rsid w:val="00DE13A6"/>
    <w:rsid w:val="00E474D0"/>
    <w:rsid w:val="00E6543F"/>
    <w:rsid w:val="00EA50E7"/>
    <w:rsid w:val="00ED4C5F"/>
    <w:rsid w:val="00EE45B1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20"/>
  </w:style>
  <w:style w:type="paragraph" w:styleId="Heading1">
    <w:name w:val="heading 1"/>
    <w:basedOn w:val="Normal"/>
    <w:next w:val="Normal"/>
    <w:link w:val="Heading1Char"/>
    <w:uiPriority w:val="9"/>
    <w:qFormat/>
    <w:rsid w:val="00A91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D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2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2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2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2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2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2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customStyle="1" w:styleId="Heading1Char">
    <w:name w:val="Heading 1 Char"/>
    <w:basedOn w:val="DefaultParagraphFont"/>
    <w:link w:val="Heading1"/>
    <w:uiPriority w:val="9"/>
    <w:rsid w:val="00A91220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220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220"/>
    <w:rPr>
      <w:rFonts w:asciiTheme="majorHAnsi" w:eastAsiaTheme="majorEastAsia" w:hAnsiTheme="majorHAnsi" w:cstheme="majorBidi"/>
      <w:b/>
      <w:bCs/>
      <w:color w:val="0096D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220"/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220"/>
    <w:rPr>
      <w:rFonts w:asciiTheme="majorHAnsi" w:eastAsiaTheme="majorEastAsia" w:hAnsiTheme="majorHAnsi" w:cstheme="majorBidi"/>
      <w:color w:val="004A6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220"/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2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220"/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2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220"/>
    <w:pPr>
      <w:spacing w:line="240" w:lineRule="auto"/>
    </w:pPr>
    <w:rPr>
      <w:b/>
      <w:bCs/>
      <w:color w:val="0096D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220"/>
    <w:pPr>
      <w:pBdr>
        <w:bottom w:val="single" w:sz="8" w:space="4" w:color="0096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122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220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220"/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1220"/>
    <w:rPr>
      <w:b/>
      <w:bCs/>
    </w:rPr>
  </w:style>
  <w:style w:type="character" w:styleId="Emphasis">
    <w:name w:val="Emphasis"/>
    <w:basedOn w:val="DefaultParagraphFont"/>
    <w:uiPriority w:val="20"/>
    <w:qFormat/>
    <w:rsid w:val="00A91220"/>
    <w:rPr>
      <w:i/>
      <w:iCs/>
    </w:rPr>
  </w:style>
  <w:style w:type="paragraph" w:styleId="NoSpacing">
    <w:name w:val="No Spacing"/>
    <w:uiPriority w:val="1"/>
    <w:qFormat/>
    <w:rsid w:val="00A912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2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12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122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220"/>
    <w:pPr>
      <w:pBdr>
        <w:bottom w:val="single" w:sz="4" w:space="4" w:color="0096DF" w:themeColor="accent1"/>
      </w:pBdr>
      <w:spacing w:before="200" w:after="280"/>
      <w:ind w:left="936" w:right="936"/>
    </w:pPr>
    <w:rPr>
      <w:b/>
      <w:bCs/>
      <w:i/>
      <w:iCs/>
      <w:color w:val="0096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220"/>
    <w:rPr>
      <w:b/>
      <w:bCs/>
      <w:i/>
      <w:iCs/>
      <w:color w:val="0096DF" w:themeColor="accent1"/>
    </w:rPr>
  </w:style>
  <w:style w:type="character" w:styleId="SubtleEmphasis">
    <w:name w:val="Subtle Emphasis"/>
    <w:basedOn w:val="DefaultParagraphFont"/>
    <w:uiPriority w:val="19"/>
    <w:qFormat/>
    <w:rsid w:val="00A9122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1220"/>
    <w:rPr>
      <w:b/>
      <w:bCs/>
      <w:i/>
      <w:iCs/>
      <w:color w:val="0096DF" w:themeColor="accent1"/>
    </w:rPr>
  </w:style>
  <w:style w:type="character" w:styleId="SubtleReference">
    <w:name w:val="Subtle Reference"/>
    <w:basedOn w:val="DefaultParagraphFont"/>
    <w:uiPriority w:val="31"/>
    <w:qFormat/>
    <w:rsid w:val="00A91220"/>
    <w:rPr>
      <w:smallCaps/>
      <w:color w:val="0096D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1220"/>
    <w:rPr>
      <w:b/>
      <w:bCs/>
      <w:smallCaps/>
      <w:color w:val="0096D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122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22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1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20"/>
  </w:style>
  <w:style w:type="paragraph" w:styleId="Heading1">
    <w:name w:val="heading 1"/>
    <w:basedOn w:val="Normal"/>
    <w:next w:val="Normal"/>
    <w:link w:val="Heading1Char"/>
    <w:uiPriority w:val="9"/>
    <w:qFormat/>
    <w:rsid w:val="00A91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D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2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2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2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2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2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2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customStyle="1" w:styleId="Heading1Char">
    <w:name w:val="Heading 1 Char"/>
    <w:basedOn w:val="DefaultParagraphFont"/>
    <w:link w:val="Heading1"/>
    <w:uiPriority w:val="9"/>
    <w:rsid w:val="00A91220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220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220"/>
    <w:rPr>
      <w:rFonts w:asciiTheme="majorHAnsi" w:eastAsiaTheme="majorEastAsia" w:hAnsiTheme="majorHAnsi" w:cstheme="majorBidi"/>
      <w:b/>
      <w:bCs/>
      <w:color w:val="0096D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220"/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220"/>
    <w:rPr>
      <w:rFonts w:asciiTheme="majorHAnsi" w:eastAsiaTheme="majorEastAsia" w:hAnsiTheme="majorHAnsi" w:cstheme="majorBidi"/>
      <w:color w:val="004A6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220"/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2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220"/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2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220"/>
    <w:pPr>
      <w:spacing w:line="240" w:lineRule="auto"/>
    </w:pPr>
    <w:rPr>
      <w:b/>
      <w:bCs/>
      <w:color w:val="0096D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220"/>
    <w:pPr>
      <w:pBdr>
        <w:bottom w:val="single" w:sz="8" w:space="4" w:color="0096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122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220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220"/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1220"/>
    <w:rPr>
      <w:b/>
      <w:bCs/>
    </w:rPr>
  </w:style>
  <w:style w:type="character" w:styleId="Emphasis">
    <w:name w:val="Emphasis"/>
    <w:basedOn w:val="DefaultParagraphFont"/>
    <w:uiPriority w:val="20"/>
    <w:qFormat/>
    <w:rsid w:val="00A91220"/>
    <w:rPr>
      <w:i/>
      <w:iCs/>
    </w:rPr>
  </w:style>
  <w:style w:type="paragraph" w:styleId="NoSpacing">
    <w:name w:val="No Spacing"/>
    <w:uiPriority w:val="1"/>
    <w:qFormat/>
    <w:rsid w:val="00A912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2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12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122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220"/>
    <w:pPr>
      <w:pBdr>
        <w:bottom w:val="single" w:sz="4" w:space="4" w:color="0096DF" w:themeColor="accent1"/>
      </w:pBdr>
      <w:spacing w:before="200" w:after="280"/>
      <w:ind w:left="936" w:right="936"/>
    </w:pPr>
    <w:rPr>
      <w:b/>
      <w:bCs/>
      <w:i/>
      <w:iCs/>
      <w:color w:val="0096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220"/>
    <w:rPr>
      <w:b/>
      <w:bCs/>
      <w:i/>
      <w:iCs/>
      <w:color w:val="0096DF" w:themeColor="accent1"/>
    </w:rPr>
  </w:style>
  <w:style w:type="character" w:styleId="SubtleEmphasis">
    <w:name w:val="Subtle Emphasis"/>
    <w:basedOn w:val="DefaultParagraphFont"/>
    <w:uiPriority w:val="19"/>
    <w:qFormat/>
    <w:rsid w:val="00A9122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1220"/>
    <w:rPr>
      <w:b/>
      <w:bCs/>
      <w:i/>
      <w:iCs/>
      <w:color w:val="0096DF" w:themeColor="accent1"/>
    </w:rPr>
  </w:style>
  <w:style w:type="character" w:styleId="SubtleReference">
    <w:name w:val="Subtle Reference"/>
    <w:basedOn w:val="DefaultParagraphFont"/>
    <w:uiPriority w:val="31"/>
    <w:qFormat/>
    <w:rsid w:val="00A91220"/>
    <w:rPr>
      <w:smallCaps/>
      <w:color w:val="0096D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1220"/>
    <w:rPr>
      <w:b/>
      <w:bCs/>
      <w:smallCaps/>
      <w:color w:val="0096D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122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22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1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62CBD063-CB9D-410B-929D-AADD365C6F9E}"/>
</file>

<file path=customXml/itemProps2.xml><?xml version="1.0" encoding="utf-8"?>
<ds:datastoreItem xmlns:ds="http://schemas.openxmlformats.org/officeDocument/2006/customXml" ds:itemID="{5D1A6D28-1F66-41C7-A6FA-480D4EAB0966}"/>
</file>

<file path=customXml/itemProps3.xml><?xml version="1.0" encoding="utf-8"?>
<ds:datastoreItem xmlns:ds="http://schemas.openxmlformats.org/officeDocument/2006/customXml" ds:itemID="{38E26A9E-F80F-470E-9802-95973F97F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9</cp:revision>
  <cp:lastPrinted>2015-06-19T02:38:00Z</cp:lastPrinted>
  <dcterms:created xsi:type="dcterms:W3CDTF">2015-06-22T05:26:00Z</dcterms:created>
  <dcterms:modified xsi:type="dcterms:W3CDTF">2017-08-03T07:03:00Z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