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2592" w14:textId="4F121AE3" w:rsidR="00F4525C" w:rsidRPr="00F56CF7" w:rsidRDefault="00024018" w:rsidP="008A66EE">
      <w:pPr>
        <w:pStyle w:val="VCAADocumenttitle"/>
      </w:pPr>
      <w:r w:rsidRPr="00F56CF7">
        <w:t>202</w:t>
      </w:r>
      <w:r w:rsidR="00D80F02" w:rsidRPr="00F56CF7">
        <w:t>4</w:t>
      </w:r>
      <w:r w:rsidRPr="00F56CF7">
        <w:t xml:space="preserve"> </w:t>
      </w:r>
      <w:r w:rsidR="00A64FD7" w:rsidRPr="00F56CF7">
        <w:t>VCE Extended Investigation</w:t>
      </w:r>
      <w:r w:rsidRPr="00F56CF7">
        <w:t xml:space="preserve"> </w:t>
      </w:r>
      <w:r w:rsidR="00400537" w:rsidRPr="00F56CF7">
        <w:t xml:space="preserve">written </w:t>
      </w:r>
      <w:r w:rsidR="000B5554" w:rsidRPr="00F56CF7">
        <w:t>external assessment</w:t>
      </w:r>
      <w:r w:rsidR="00302C06" w:rsidRPr="00F56CF7">
        <w:t xml:space="preserve"> </w:t>
      </w:r>
      <w:r w:rsidRPr="00F56CF7">
        <w:t>report</w:t>
      </w:r>
    </w:p>
    <w:p w14:paraId="5D388ABD" w14:textId="77777777" w:rsidR="006663C6" w:rsidRPr="00F56CF7" w:rsidRDefault="00024018" w:rsidP="00053578">
      <w:pPr>
        <w:pStyle w:val="VCAAHeading1"/>
        <w:jc w:val="both"/>
      </w:pPr>
      <w:bookmarkStart w:id="0" w:name="TemplateOverview"/>
      <w:bookmarkEnd w:id="0"/>
      <w:r w:rsidRPr="00F56CF7">
        <w:t>General comments</w:t>
      </w:r>
    </w:p>
    <w:p w14:paraId="72E38CEC" w14:textId="16EE2263" w:rsidR="00AC7513" w:rsidRPr="00B038C5" w:rsidRDefault="00A41215" w:rsidP="00B038C5">
      <w:pPr>
        <w:pStyle w:val="VCAAbody"/>
      </w:pPr>
      <w:r w:rsidRPr="00B038C5">
        <w:t xml:space="preserve">This document </w:t>
      </w:r>
      <w:proofErr w:type="spellStart"/>
      <w:r w:rsidR="00963FD1">
        <w:t>summarises</w:t>
      </w:r>
      <w:proofErr w:type="spellEnd"/>
      <w:r w:rsidRPr="00B038C5">
        <w:t xml:space="preserve"> the assessment process and insights into patterns seen in student work from 2024. Each student’s report </w:t>
      </w:r>
      <w:r w:rsidR="00B16687">
        <w:t>was</w:t>
      </w:r>
      <w:r w:rsidRPr="00B038C5">
        <w:t xml:space="preserve"> distinct, with unique requirements according to their chosen research methods, allowing for diverse approaches to meeting each assessment criterion. The examples shared here illustrate only some of the ways students c</w:t>
      </w:r>
      <w:r w:rsidR="00B16687">
        <w:t>ould</w:t>
      </w:r>
      <w:r w:rsidRPr="00B038C5">
        <w:t xml:space="preserve"> demonstrate their knowledge and skills at different levels, but they are by no means exhaustive. It is crucial to understand that the primary focus in evaluating a report is on how effectively a student has crafted a clear, critically evaluated and logically structured investigation. Students should avoid relying solely on the examples in this document or imitating approaches from other reports. What is suitable or effective in one report may not logically support the aims of another and will not guarantee a similar result. Each student</w:t>
      </w:r>
      <w:r w:rsidR="00963FD1">
        <w:t>’</w:t>
      </w:r>
      <w:r w:rsidRPr="00B038C5">
        <w:t>s decisions around methodology, structure, participants, literature and findings are individual to their investigation. Students who achieve</w:t>
      </w:r>
      <w:r w:rsidR="00B16687">
        <w:t>d</w:t>
      </w:r>
      <w:r w:rsidRPr="00B038C5">
        <w:t xml:space="preserve"> higher marks generally offer</w:t>
      </w:r>
      <w:r w:rsidR="00B16687">
        <w:t>ed</w:t>
      </w:r>
      <w:r w:rsidRPr="00B038C5">
        <w:t xml:space="preserve"> well-considered explanations and justifications for these choices as they dr</w:t>
      </w:r>
      <w:r w:rsidR="00F25FEF">
        <w:t>e</w:t>
      </w:r>
      <w:r w:rsidRPr="00B038C5">
        <w:t>w conclusions about their main research question.</w:t>
      </w:r>
    </w:p>
    <w:p w14:paraId="2891DCA1" w14:textId="31BB8D57" w:rsidR="00A41215" w:rsidRPr="00B038C5" w:rsidRDefault="00B16687" w:rsidP="00B038C5">
      <w:pPr>
        <w:pStyle w:val="VCAAbody"/>
      </w:pPr>
      <w:r>
        <w:t>T</w:t>
      </w:r>
      <w:r w:rsidR="00A41215" w:rsidRPr="00B038C5">
        <w:t xml:space="preserve">here </w:t>
      </w:r>
      <w:r>
        <w:t>were some</w:t>
      </w:r>
      <w:r w:rsidR="00A41215" w:rsidRPr="00B038C5">
        <w:t xml:space="preserve"> students who present</w:t>
      </w:r>
      <w:r>
        <w:t>ed</w:t>
      </w:r>
      <w:r w:rsidR="00A41215" w:rsidRPr="00B038C5">
        <w:t xml:space="preserve"> research questions with multiple parts or, occasionally, two separate questions. A well-defined and appropriately scoped research question is fundamental to success in the VCE Extended Investigation and supports the student’s ability to produce a focused, detailed and logically structured report. Research questions that are </w:t>
      </w:r>
      <w:r w:rsidR="00D21B1A">
        <w:t>too</w:t>
      </w:r>
      <w:r w:rsidR="00D21B1A" w:rsidRPr="00B038C5">
        <w:t xml:space="preserve"> </w:t>
      </w:r>
      <w:r w:rsidR="00A41215" w:rsidRPr="00B038C5">
        <w:t xml:space="preserve">complex or have </w:t>
      </w:r>
      <w:r w:rsidR="00D21B1A">
        <w:t>more than a single focus</w:t>
      </w:r>
      <w:r w:rsidR="00A41215" w:rsidRPr="00B038C5">
        <w:t xml:space="preserve"> can </w:t>
      </w:r>
      <w:r w:rsidR="00D21B1A">
        <w:t>compromise</w:t>
      </w:r>
      <w:r w:rsidR="00A41215" w:rsidRPr="00B038C5">
        <w:t xml:space="preserve"> clarity, depth and analytical thoroughness. To ensure manageability, students should frame their question in a way that is both concise and well-focused, limiting variables and points of analysis to a scope that can be effectively investigated over the year. Reinforcing the centrality of the question and </w:t>
      </w:r>
      <w:r w:rsidR="005F2874">
        <w:t>concentrat</w:t>
      </w:r>
      <w:r w:rsidR="005F2874" w:rsidRPr="00B038C5">
        <w:t xml:space="preserve">ing </w:t>
      </w:r>
      <w:r w:rsidR="00A41215" w:rsidRPr="00B038C5">
        <w:t>on the scope and clarity of this is an essential, ongoing focus across the st</w:t>
      </w:r>
      <w:r w:rsidR="000E335A">
        <w:t>udy</w:t>
      </w:r>
      <w:r w:rsidR="00A41215" w:rsidRPr="00B038C5">
        <w:t>.</w:t>
      </w:r>
    </w:p>
    <w:p w14:paraId="3E527D1D" w14:textId="7FEE65F7" w:rsidR="00A41215" w:rsidRPr="00B038C5" w:rsidRDefault="004C5134" w:rsidP="00B038C5">
      <w:pPr>
        <w:pStyle w:val="VCAAbody"/>
      </w:pPr>
      <w:r>
        <w:t>S</w:t>
      </w:r>
      <w:r w:rsidR="00D21B1A">
        <w:t xml:space="preserve">ome </w:t>
      </w:r>
      <w:r w:rsidR="00535417">
        <w:t>reports</w:t>
      </w:r>
      <w:r w:rsidR="00073E45">
        <w:t xml:space="preserve"> did not have</w:t>
      </w:r>
      <w:r w:rsidR="00A41215" w:rsidRPr="00B038C5">
        <w:t xml:space="preserve"> accurately attribut</w:t>
      </w:r>
      <w:r w:rsidR="00D21B1A">
        <w:t>e</w:t>
      </w:r>
      <w:r w:rsidR="00073E45">
        <w:t>d</w:t>
      </w:r>
      <w:r w:rsidR="00A41215" w:rsidRPr="00B038C5">
        <w:t xml:space="preserve"> quotations </w:t>
      </w:r>
      <w:r w:rsidR="00073E45">
        <w:t>or a</w:t>
      </w:r>
      <w:r w:rsidR="00A41215" w:rsidRPr="00B038C5">
        <w:t xml:space="preserve"> consistently appl</w:t>
      </w:r>
      <w:r w:rsidR="00073E45">
        <w:t>ied</w:t>
      </w:r>
      <w:r w:rsidR="00A41215" w:rsidRPr="00B038C5">
        <w:t xml:space="preserve"> referencing system. Accurate referencing and clear identification of direct quotes are essential elements of academic writing, underpinning both the integrity and credibility of a student’s work. Proper citation allows students to acknowledge the original authors of ideas and findings, demonstrating respect for intellectual property and adherence to scholarly standards. Identifying direct quotes explicitly distinguish</w:t>
      </w:r>
      <w:r w:rsidR="00D21B1A">
        <w:t>es</w:t>
      </w:r>
      <w:r w:rsidR="00A41215" w:rsidRPr="00B038C5">
        <w:t xml:space="preserve"> a student’s own voice from the perspectives or evidence drawn from other sources, supporting a clear and transparent narrative. Additionally, careful referencing enhances the readability and reliability of a report, enabling readers to trace sources and evaluate the evidence presented. </w:t>
      </w:r>
      <w:r w:rsidR="00535417">
        <w:t>Reports</w:t>
      </w:r>
      <w:r w:rsidR="00073E45">
        <w:t xml:space="preserve"> containing</w:t>
      </w:r>
      <w:r w:rsidR="00A41215" w:rsidRPr="00B038C5">
        <w:t xml:space="preserve"> diligent citation practices not only </w:t>
      </w:r>
      <w:r w:rsidR="00073E45">
        <w:t>displayed a high</w:t>
      </w:r>
      <w:r w:rsidR="00A41215" w:rsidRPr="00B038C5">
        <w:t xml:space="preserve"> academic quality of work but also avoid</w:t>
      </w:r>
      <w:r w:rsidR="00B16687">
        <w:t>ed</w:t>
      </w:r>
      <w:r w:rsidR="00A41215" w:rsidRPr="00B038C5">
        <w:t xml:space="preserve"> potential issues related to plagiarism, thereby upholding the ethical standards expected in research. It </w:t>
      </w:r>
      <w:r w:rsidR="00B16687">
        <w:t>was</w:t>
      </w:r>
      <w:r w:rsidR="00A41215" w:rsidRPr="00B038C5">
        <w:t xml:space="preserve"> essential that students </w:t>
      </w:r>
      <w:r w:rsidR="00B16687">
        <w:t>we</w:t>
      </w:r>
      <w:r w:rsidR="00A41215" w:rsidRPr="00B038C5">
        <w:t xml:space="preserve">re </w:t>
      </w:r>
      <w:r w:rsidR="00073E45">
        <w:t>thorough</w:t>
      </w:r>
      <w:r w:rsidR="00073E45" w:rsidRPr="00B038C5">
        <w:t xml:space="preserve"> </w:t>
      </w:r>
      <w:r w:rsidR="00A41215" w:rsidRPr="00B038C5">
        <w:t>in this process</w:t>
      </w:r>
      <w:r w:rsidR="00CB7793">
        <w:t>,</w:t>
      </w:r>
      <w:r w:rsidR="00A41215" w:rsidRPr="00B038C5">
        <w:t xml:space="preserve"> reflect</w:t>
      </w:r>
      <w:r w:rsidR="00B16687">
        <w:t>ed</w:t>
      </w:r>
      <w:r w:rsidR="00A41215" w:rsidRPr="00B038C5">
        <w:t xml:space="preserve"> carefully on how they used existing research, and recognise</w:t>
      </w:r>
      <w:r w:rsidR="00B16687">
        <w:t>d</w:t>
      </w:r>
      <w:r w:rsidR="00A41215" w:rsidRPr="00B038C5">
        <w:t xml:space="preserve"> the contributions of others in their work.</w:t>
      </w:r>
    </w:p>
    <w:p w14:paraId="52A232DA" w14:textId="77777777" w:rsidR="001D1327" w:rsidRDefault="001D1327">
      <w:pPr>
        <w:spacing w:after="200" w:line="276" w:lineRule="auto"/>
        <w:rPr>
          <w:rFonts w:ascii="Arial" w:hAnsi="Arial" w:cs="Arial"/>
          <w:color w:val="000000" w:themeColor="text1"/>
          <w:sz w:val="20"/>
          <w:szCs w:val="22"/>
          <w:lang w:val="en-US" w:eastAsia="en-US"/>
        </w:rPr>
      </w:pPr>
      <w:r>
        <w:br w:type="page"/>
      </w:r>
    </w:p>
    <w:p w14:paraId="27225D7D" w14:textId="016D2146" w:rsidR="00A41215" w:rsidRPr="00B038C5" w:rsidRDefault="00A41215" w:rsidP="00B038C5">
      <w:pPr>
        <w:pStyle w:val="VCAAbody"/>
      </w:pPr>
      <w:r w:rsidRPr="00B038C5">
        <w:lastRenderedPageBreak/>
        <w:t xml:space="preserve">Of </w:t>
      </w:r>
      <w:proofErr w:type="gramStart"/>
      <w:r w:rsidRPr="00B038C5">
        <w:t>particular note</w:t>
      </w:r>
      <w:proofErr w:type="gramEnd"/>
      <w:r w:rsidRPr="00B038C5">
        <w:t xml:space="preserve"> this year were issues in the clarity and depth of data analysis and findings. Effective data analysis requires students to develop their own representations of data such as graphs or charts, which allow them to visually interpret and communicate patterns within their findings. </w:t>
      </w:r>
      <w:r w:rsidR="00CB7793">
        <w:t>S</w:t>
      </w:r>
      <w:r w:rsidRPr="00B038C5">
        <w:t>tudents gain a deeper understanding of their data</w:t>
      </w:r>
      <w:r w:rsidR="00CB7793">
        <w:t xml:space="preserve"> when they create </w:t>
      </w:r>
      <w:proofErr w:type="spellStart"/>
      <w:proofErr w:type="gramStart"/>
      <w:r w:rsidR="00CB7793">
        <w:t>visualisations</w:t>
      </w:r>
      <w:proofErr w:type="spellEnd"/>
      <w:proofErr w:type="gramEnd"/>
      <w:r w:rsidRPr="00B038C5">
        <w:t xml:space="preserve"> and </w:t>
      </w:r>
      <w:r w:rsidR="00CB7793">
        <w:t>it helps them to</w:t>
      </w:r>
      <w:r w:rsidR="00CB7793" w:rsidRPr="00B038C5">
        <w:t xml:space="preserve"> </w:t>
      </w:r>
      <w:r w:rsidRPr="00B038C5">
        <w:t>convey complex relationships and trends in a clear and accessible manner. Importantly, data analysis in academic work goes beyond answering individual questions in isolation; it requires a comprehensive synthesis that integrates all relevant findings to address the research question holistically. This approach demonstrates the student’s ability to see beyond surface-level</w:t>
      </w:r>
      <w:r w:rsidRPr="00F56CF7">
        <w:rPr>
          <w:lang w:val="en-GB"/>
        </w:rPr>
        <w:t xml:space="preserve"> </w:t>
      </w:r>
      <w:r w:rsidRPr="00B038C5">
        <w:t>responses, constructing a cohesive narrative that considers the broader implications of their data. Students who move</w:t>
      </w:r>
      <w:r w:rsidR="00B16687">
        <w:t>d</w:t>
      </w:r>
      <w:r w:rsidRPr="00B038C5">
        <w:t xml:space="preserve"> beyond a question-by-question summary and engage</w:t>
      </w:r>
      <w:r w:rsidR="00B16687">
        <w:t>d</w:t>
      </w:r>
      <w:r w:rsidRPr="00B038C5">
        <w:t xml:space="preserve"> in </w:t>
      </w:r>
      <w:proofErr w:type="spellStart"/>
      <w:r w:rsidRPr="00B038C5">
        <w:t>synthesising</w:t>
      </w:r>
      <w:proofErr w:type="spellEnd"/>
      <w:r w:rsidRPr="00B038C5">
        <w:t xml:space="preserve"> their findings demonstrate</w:t>
      </w:r>
      <w:r w:rsidR="00B16687">
        <w:t>d</w:t>
      </w:r>
      <w:r w:rsidRPr="00B038C5">
        <w:t xml:space="preserve"> higher-order analytical skills and provide</w:t>
      </w:r>
      <w:r w:rsidR="00B16687">
        <w:t>d</w:t>
      </w:r>
      <w:r w:rsidRPr="00B038C5">
        <w:t xml:space="preserve"> a more insightful, meaningful discussion of their research outcomes.</w:t>
      </w:r>
    </w:p>
    <w:p w14:paraId="4C8789F4" w14:textId="77777777" w:rsidR="00B62480" w:rsidRPr="00F56CF7" w:rsidRDefault="00024018" w:rsidP="00053578">
      <w:pPr>
        <w:pStyle w:val="VCAAHeading1"/>
        <w:jc w:val="both"/>
      </w:pPr>
      <w:r w:rsidRPr="00F56CF7">
        <w:t>Specific information</w:t>
      </w:r>
    </w:p>
    <w:p w14:paraId="59086E9A" w14:textId="38794A01" w:rsidR="001F1CFA" w:rsidRPr="002E0C7E" w:rsidRDefault="001F1CFA" w:rsidP="002E0C7E">
      <w:pPr>
        <w:pStyle w:val="VCAAbody"/>
      </w:pPr>
      <w:r w:rsidRPr="002E0C7E">
        <w:t>The statistics in this report may be subject to rounding</w:t>
      </w:r>
      <w:r w:rsidR="002E0C7E">
        <w:t>,</w:t>
      </w:r>
      <w:r w:rsidRPr="002E0C7E">
        <w:t xml:space="preserve"> resulting in a total more or less than 100 per cent. </w:t>
      </w:r>
    </w:p>
    <w:p w14:paraId="4C1D5AB0" w14:textId="47F4C767" w:rsidR="00A64FD7" w:rsidRPr="002E0C7E" w:rsidRDefault="00A64FD7" w:rsidP="002E0C7E">
      <w:pPr>
        <w:pStyle w:val="VCAAbody"/>
      </w:pPr>
      <w:r w:rsidRPr="002E0C7E">
        <w:t>Each written report is assessed individually against the criteria.</w:t>
      </w:r>
      <w:r w:rsidR="00AF719E" w:rsidRPr="002E0C7E">
        <w:t xml:space="preserve"> </w:t>
      </w:r>
      <w:r w:rsidRPr="002E0C7E">
        <w:t>Comments regarding achievement levels as outlined below are for illustrative purposes only and do not constitute all aspects of a student’s work that may contribute to achievement.</w:t>
      </w:r>
    </w:p>
    <w:p w14:paraId="62B69C6D" w14:textId="53D61619" w:rsidR="00A64FD7" w:rsidRPr="00F56CF7" w:rsidRDefault="00A64FD7" w:rsidP="00053578">
      <w:pPr>
        <w:pStyle w:val="VCAAHeading2"/>
        <w:jc w:val="both"/>
      </w:pPr>
      <w:r w:rsidRPr="00F56CF7">
        <w:t>High</w:t>
      </w:r>
      <w:r w:rsidR="00332BCB" w:rsidRPr="00F56CF7">
        <w:t>–</w:t>
      </w:r>
      <w:r w:rsidR="00CA4393" w:rsidRPr="00F56CF7">
        <w:t xml:space="preserve">Very </w:t>
      </w:r>
      <w:r w:rsidRPr="00F56CF7">
        <w:t>High</w:t>
      </w:r>
    </w:p>
    <w:p w14:paraId="3D96F263" w14:textId="21ADAB04" w:rsidR="00A41215" w:rsidRPr="00B038C5" w:rsidRDefault="00A41215" w:rsidP="00B038C5">
      <w:pPr>
        <w:pStyle w:val="VCAAbody"/>
      </w:pPr>
      <w:r w:rsidRPr="00B038C5">
        <w:t xml:space="preserve">Students at the highest level of achievement displayed advanced critical thinking and deep comprehension, bringing together every aspect of their investigation to demonstrate a detailed mastery of their research area. These </w:t>
      </w:r>
      <w:r w:rsidR="00535417">
        <w:t>investigations contained</w:t>
      </w:r>
      <w:r w:rsidRPr="00B038C5">
        <w:t xml:space="preserve"> purposeful choices about how each component related to the main research question, which contributed notable depth and complexity to the work.</w:t>
      </w:r>
    </w:p>
    <w:p w14:paraId="62DD9BAD" w14:textId="3BC0329B" w:rsidR="00A41215" w:rsidRPr="00B038C5" w:rsidRDefault="00535417" w:rsidP="00B038C5">
      <w:pPr>
        <w:pStyle w:val="VCAAbody"/>
      </w:pPr>
      <w:r>
        <w:t>High-scoring reports</w:t>
      </w:r>
      <w:r w:rsidR="00A41215" w:rsidRPr="00B038C5">
        <w:t xml:space="preserve"> engaged extensively with authoritative academic literature, applying critical analysis and synthesis of this material throughout. At this level, each section of the report was consistently connected to relevant literature, drawing on a broad spectrum of existing research to support the arguments. This engagement was evident across the entire report, including in their discussion of methodology and analysis of results.</w:t>
      </w:r>
    </w:p>
    <w:p w14:paraId="6AAA2246" w14:textId="528951E2" w:rsidR="00A41215" w:rsidRPr="00B038C5" w:rsidRDefault="00A41215" w:rsidP="00B038C5">
      <w:pPr>
        <w:pStyle w:val="VCAAbody"/>
      </w:pPr>
      <w:r w:rsidRPr="00B038C5">
        <w:t xml:space="preserve">The method and data analysis in these reports were critically presented and closely aligned with the study's main purpose. </w:t>
      </w:r>
      <w:r w:rsidR="00F000F1">
        <w:t>Higher-scoring</w:t>
      </w:r>
      <w:r w:rsidRPr="00B038C5">
        <w:t xml:space="preserve"> choices regarding method and findings were thoughtful, reflecting a critical examination of factors such as methodological suitability, data-collection tools, participant selection and ethical considerations. When multiple data tools were used, students explained the relationship between different data forms and reflected carefully on their methodological decisions. They made informed choices about data presentation, supported by clear discussions of trends and important findings, often </w:t>
      </w:r>
      <w:proofErr w:type="spellStart"/>
      <w:r w:rsidRPr="00B038C5">
        <w:t>synthesising</w:t>
      </w:r>
      <w:proofErr w:type="spellEnd"/>
      <w:r w:rsidRPr="00B038C5">
        <w:t xml:space="preserve"> and </w:t>
      </w:r>
      <w:proofErr w:type="spellStart"/>
      <w:r w:rsidRPr="00B038C5">
        <w:t>organising</w:t>
      </w:r>
      <w:proofErr w:type="spellEnd"/>
      <w:r w:rsidRPr="00B038C5">
        <w:t xml:space="preserve"> data by themes to create a unified view of their research.</w:t>
      </w:r>
    </w:p>
    <w:p w14:paraId="05373717" w14:textId="7BA74A6C" w:rsidR="00A41215" w:rsidRPr="00B038C5" w:rsidRDefault="00A41215" w:rsidP="00B038C5">
      <w:pPr>
        <w:pStyle w:val="VCAAbody"/>
      </w:pPr>
      <w:r w:rsidRPr="00B038C5">
        <w:t xml:space="preserve">Students at this level demonstrated awareness of existing theories and ideas in their field, acknowledged any limitations in their findings, and considered the broader implications and interpretations of their research. The writing style and fluency </w:t>
      </w:r>
      <w:r w:rsidR="000E335A">
        <w:t>w</w:t>
      </w:r>
      <w:r w:rsidR="00535417">
        <w:t>as</w:t>
      </w:r>
      <w:r w:rsidR="000E335A">
        <w:t xml:space="preserve"> </w:t>
      </w:r>
      <w:r w:rsidRPr="00B038C5">
        <w:t>high</w:t>
      </w:r>
      <w:r w:rsidR="000E335A">
        <w:t>ly</w:t>
      </w:r>
      <w:r w:rsidRPr="00B038C5">
        <w:t xml:space="preserve"> polish</w:t>
      </w:r>
      <w:r w:rsidR="000E335A">
        <w:t>ed</w:t>
      </w:r>
      <w:r w:rsidRPr="00B038C5">
        <w:t>, reflecting numerous stages of drafting and editing that resulted in a carefully constructed final report</w:t>
      </w:r>
      <w:r w:rsidR="00535417">
        <w:t>. This was</w:t>
      </w:r>
      <w:r w:rsidRPr="00B038C5">
        <w:t xml:space="preserve"> indicative of the consistent effort invested over the course of the year.</w:t>
      </w:r>
    </w:p>
    <w:p w14:paraId="294E3848" w14:textId="77777777" w:rsidR="001D1327" w:rsidRDefault="001D1327" w:rsidP="004E360E">
      <w:pPr>
        <w:pStyle w:val="VCAAbody"/>
      </w:pPr>
      <w:r>
        <w:br w:type="page"/>
      </w:r>
    </w:p>
    <w:p w14:paraId="23E77C20" w14:textId="3385A66B" w:rsidR="00A64FD7" w:rsidRPr="00F56CF7" w:rsidRDefault="00A64FD7" w:rsidP="00053578">
      <w:pPr>
        <w:pStyle w:val="VCAAHeading2"/>
        <w:jc w:val="both"/>
      </w:pPr>
      <w:r w:rsidRPr="00F56CF7">
        <w:lastRenderedPageBreak/>
        <w:t>Medium</w:t>
      </w:r>
    </w:p>
    <w:p w14:paraId="2F30C3C9" w14:textId="290BF167" w:rsidR="00F56CF7" w:rsidRPr="00B038C5" w:rsidRDefault="00F56CF7" w:rsidP="00B038C5">
      <w:pPr>
        <w:pStyle w:val="VCAAbody"/>
      </w:pPr>
      <w:r w:rsidRPr="00B038C5">
        <w:t xml:space="preserve">At this level, students presented investigations with logical coherence, but there were several areas where greater depth and critical insight were required. This </w:t>
      </w:r>
      <w:r w:rsidR="00F13456">
        <w:t xml:space="preserve">was </w:t>
      </w:r>
      <w:r w:rsidRPr="00B038C5">
        <w:t xml:space="preserve">often </w:t>
      </w:r>
      <w:r w:rsidR="00F13456">
        <w:t>the result of</w:t>
      </w:r>
      <w:r w:rsidRPr="00B038C5">
        <w:t xml:space="preserve"> a central research question being overly expansive or containing too many variables, which limited the scope for a more focused and detailed exploration. In other cases, the chosen methods were not well</w:t>
      </w:r>
      <w:r w:rsidR="00F13456">
        <w:t xml:space="preserve"> </w:t>
      </w:r>
      <w:r w:rsidRPr="00B038C5">
        <w:t>suited to fully exploring the research question, preventing students from gaining a thorough understanding of their subject matter.</w:t>
      </w:r>
    </w:p>
    <w:p w14:paraId="7CD3CBA9" w14:textId="42CCC8B4" w:rsidR="00F56CF7" w:rsidRPr="00B038C5" w:rsidRDefault="00F56CF7" w:rsidP="00B038C5">
      <w:pPr>
        <w:pStyle w:val="VCAAbody"/>
      </w:pPr>
      <w:r w:rsidRPr="00B038C5">
        <w:t>The</w:t>
      </w:r>
      <w:r w:rsidR="00F13456">
        <w:t>se</w:t>
      </w:r>
      <w:r w:rsidRPr="00B038C5">
        <w:t xml:space="preserve"> reports typically featured </w:t>
      </w:r>
      <w:proofErr w:type="spellStart"/>
      <w:r w:rsidRPr="00B038C5">
        <w:t>generalised</w:t>
      </w:r>
      <w:proofErr w:type="spellEnd"/>
      <w:r w:rsidRPr="00B038C5">
        <w:t xml:space="preserve"> discussions of ideas, rather than engaging critically with the concepts in depth. For example, some </w:t>
      </w:r>
      <w:r w:rsidR="00535417">
        <w:t>reports</w:t>
      </w:r>
      <w:r w:rsidR="00535417" w:rsidRPr="00B038C5">
        <w:t xml:space="preserve"> </w:t>
      </w:r>
      <w:r w:rsidRPr="00B038C5">
        <w:t>offered brief overviews of key concepts instead of providing a detailed analysis of their complexities. Critical thinking was not applied consistently throughout the report, and the links between the research question and the ideas presented were sometimes underdeveloped or lacking</w:t>
      </w:r>
      <w:r w:rsidRPr="00F56CF7">
        <w:rPr>
          <w:lang w:val="en-AU"/>
        </w:rPr>
        <w:t xml:space="preserve"> </w:t>
      </w:r>
      <w:r w:rsidRPr="00B038C5">
        <w:t>in detail. Additionally, the range of sources consulted was often narrower, although predominantly academic</w:t>
      </w:r>
      <w:r w:rsidR="004415E7">
        <w:t>.</w:t>
      </w:r>
      <w:r w:rsidRPr="00B038C5">
        <w:t xml:space="preserve"> </w:t>
      </w:r>
      <w:r w:rsidR="004415E7">
        <w:t>A</w:t>
      </w:r>
      <w:r w:rsidRPr="00B038C5">
        <w:t>lternatively, they may have relied more heavily on non-academic sources such as news articles or websites. As a result, the reports lacked the necessary specificity and depth required to achieve higher marks.</w:t>
      </w:r>
    </w:p>
    <w:p w14:paraId="643903D6" w14:textId="39569A61" w:rsidR="00F56CF7" w:rsidRPr="00B038C5" w:rsidRDefault="00F56CF7" w:rsidP="00B038C5">
      <w:pPr>
        <w:pStyle w:val="VCAAbody"/>
      </w:pPr>
      <w:r w:rsidRPr="00B038C5">
        <w:t xml:space="preserve">These </w:t>
      </w:r>
      <w:r w:rsidR="004415E7">
        <w:t>reports</w:t>
      </w:r>
      <w:r w:rsidR="004415E7" w:rsidRPr="00B038C5">
        <w:t xml:space="preserve"> </w:t>
      </w:r>
      <w:r w:rsidRPr="00B038C5">
        <w:t xml:space="preserve">tended to focus on summarising rather than critically engaging with the material, which was particularly noticeable in sections </w:t>
      </w:r>
      <w:r w:rsidR="00F13456">
        <w:t>such as</w:t>
      </w:r>
      <w:r w:rsidR="00F13456" w:rsidRPr="00B038C5">
        <w:t xml:space="preserve"> </w:t>
      </w:r>
      <w:r w:rsidRPr="00B038C5">
        <w:t xml:space="preserve">the explanation of </w:t>
      </w:r>
      <w:r w:rsidR="004415E7">
        <w:t>the</w:t>
      </w:r>
      <w:r w:rsidR="004415E7" w:rsidRPr="00B038C5">
        <w:t xml:space="preserve"> </w:t>
      </w:r>
      <w:r w:rsidRPr="00B038C5">
        <w:t xml:space="preserve">chosen methodology. This approach led to reports that read more like descriptions of procedures rather than critical evaluations of the students’ choices and their relevance to the research question. At this level, students should be encouraged to balance their explanations of methodological choices with a more critical analysis, ensuring that these decisions are clearly justified in relation to the research question. In some cases, students did not sufficiently demonstrate how different data collection methods complemented one another. For </w:t>
      </w:r>
      <w:r w:rsidR="00F13456">
        <w:t>example</w:t>
      </w:r>
      <w:r w:rsidRPr="00B038C5">
        <w:t>, those who employed both surveys and interviews may not have fully explored how these methods worked together to address the central research question.</w:t>
      </w:r>
    </w:p>
    <w:p w14:paraId="7A5502E1" w14:textId="19A6C79B" w:rsidR="00F56CF7" w:rsidRPr="00B038C5" w:rsidRDefault="00F13456" w:rsidP="00B038C5">
      <w:pPr>
        <w:pStyle w:val="VCAAbody"/>
      </w:pPr>
      <w:proofErr w:type="gramStart"/>
      <w:r>
        <w:t>With regard</w:t>
      </w:r>
      <w:r w:rsidR="00F56CF7" w:rsidRPr="00B038C5">
        <w:t xml:space="preserve"> to</w:t>
      </w:r>
      <w:proofErr w:type="gramEnd"/>
      <w:r w:rsidR="00F56CF7" w:rsidRPr="00B038C5">
        <w:t xml:space="preserve"> discussing findings, </w:t>
      </w:r>
      <w:r w:rsidR="005F61C2">
        <w:t xml:space="preserve">some </w:t>
      </w:r>
      <w:r w:rsidR="00F56CF7" w:rsidRPr="00B038C5">
        <w:t xml:space="preserve">students made an initial attempt at </w:t>
      </w:r>
      <w:proofErr w:type="spellStart"/>
      <w:r w:rsidR="00F56CF7" w:rsidRPr="00B038C5">
        <w:t>synthesising</w:t>
      </w:r>
      <w:proofErr w:type="spellEnd"/>
      <w:r w:rsidR="00F56CF7" w:rsidRPr="00B038C5">
        <w:t xml:space="preserve"> their data but did not carry this through to a deeper analysis. Many students presented data without providing sufficient explanation or interpretation. Data representations, such as tables and graphs, were either barely explained or lacked accompanying analysis, leaving their significance unclear.</w:t>
      </w:r>
    </w:p>
    <w:p w14:paraId="2A5C5F49" w14:textId="57624437" w:rsidR="00F56CF7" w:rsidRPr="00B038C5" w:rsidRDefault="00F56CF7" w:rsidP="00B038C5">
      <w:pPr>
        <w:pStyle w:val="VCAAbody"/>
      </w:pPr>
      <w:r w:rsidRPr="00B038C5">
        <w:t>Most reports were well</w:t>
      </w:r>
      <w:r w:rsidR="00F25FEF">
        <w:t xml:space="preserve"> </w:t>
      </w:r>
      <w:r w:rsidRPr="00B038C5">
        <w:t xml:space="preserve">organised and adhered to academic conventions. </w:t>
      </w:r>
      <w:r w:rsidR="0040497F">
        <w:t>S</w:t>
      </w:r>
      <w:r w:rsidRPr="00B038C5">
        <w:t xml:space="preserve">tudents would benefit from greater attention to proofreading and ensuring linguistic accuracy, as some reports contained grammatical errors that hindered clarity. </w:t>
      </w:r>
      <w:r w:rsidR="00B16687">
        <w:t>T</w:t>
      </w:r>
      <w:r w:rsidRPr="00B038C5">
        <w:t>he connections between ideas within sections were sometimes weak, and some parts of the report lacked cohesion.</w:t>
      </w:r>
    </w:p>
    <w:p w14:paraId="3A5A5E83" w14:textId="6FDFDF00" w:rsidR="00F56CF7" w:rsidRPr="00B038C5" w:rsidRDefault="00F56CF7" w:rsidP="00B038C5">
      <w:pPr>
        <w:pStyle w:val="VCAAbody"/>
      </w:pPr>
      <w:r w:rsidRPr="00B038C5">
        <w:t>Some students merged their introduction with the literature review, which affected the assessment of Criteria</w:t>
      </w:r>
      <w:r w:rsidR="00F25FEF">
        <w:t> </w:t>
      </w:r>
      <w:r w:rsidRPr="00B038C5">
        <w:t xml:space="preserve">1 and 2. </w:t>
      </w:r>
      <w:r w:rsidR="0040497F">
        <w:t>Students should</w:t>
      </w:r>
      <w:r w:rsidRPr="00B038C5">
        <w:t xml:space="preserve"> </w:t>
      </w:r>
      <w:proofErr w:type="spellStart"/>
      <w:r w:rsidRPr="00B038C5">
        <w:t>recognise</w:t>
      </w:r>
      <w:proofErr w:type="spellEnd"/>
      <w:r w:rsidRPr="00B038C5">
        <w:t xml:space="preserve"> that the introduction and literature review </w:t>
      </w:r>
      <w:r w:rsidR="0040497F">
        <w:t>have</w:t>
      </w:r>
      <w:r w:rsidR="0040497F" w:rsidRPr="00B038C5">
        <w:t xml:space="preserve"> </w:t>
      </w:r>
      <w:r w:rsidRPr="00B038C5">
        <w:t>distinct functions within the report and should be treated as separate sections. Both are needed to provide a comprehensive understanding of the key ideas related to the investigation. A more condensed or combined literature review can significant</w:t>
      </w:r>
      <w:r w:rsidR="0040497F">
        <w:t>ly affect</w:t>
      </w:r>
      <w:r w:rsidRPr="00B038C5">
        <w:t xml:space="preserve"> the assessment of a student’s ability to </w:t>
      </w:r>
      <w:proofErr w:type="spellStart"/>
      <w:r w:rsidRPr="00B038C5">
        <w:t>synthesise</w:t>
      </w:r>
      <w:proofErr w:type="spellEnd"/>
      <w:r w:rsidRPr="00B038C5">
        <w:t xml:space="preserve"> and integrate relevant research.</w:t>
      </w:r>
    </w:p>
    <w:p w14:paraId="036E9314" w14:textId="23D62562" w:rsidR="00A64FD7" w:rsidRPr="00F56CF7" w:rsidRDefault="00A64FD7" w:rsidP="00053578">
      <w:pPr>
        <w:pStyle w:val="VCAAHeading2"/>
        <w:jc w:val="both"/>
      </w:pPr>
      <w:r w:rsidRPr="00F56CF7">
        <w:t>Low</w:t>
      </w:r>
      <w:r w:rsidR="00CB3EFB" w:rsidRPr="00F56CF7">
        <w:t>–</w:t>
      </w:r>
      <w:r w:rsidRPr="00F56CF7">
        <w:t>Very Lo</w:t>
      </w:r>
      <w:r w:rsidR="00CB3EFB" w:rsidRPr="00F56CF7">
        <w:t>w</w:t>
      </w:r>
    </w:p>
    <w:p w14:paraId="2D9425E3" w14:textId="096032E9" w:rsidR="00F56CF7" w:rsidRPr="00B038C5" w:rsidRDefault="009F7ABD" w:rsidP="00B038C5">
      <w:pPr>
        <w:pStyle w:val="VCAAbody"/>
      </w:pPr>
      <w:r>
        <w:t>S</w:t>
      </w:r>
      <w:r w:rsidR="00F56CF7" w:rsidRPr="00B038C5">
        <w:t>tudent</w:t>
      </w:r>
      <w:r>
        <w:t xml:space="preserve"> </w:t>
      </w:r>
      <w:r w:rsidR="005F61C2">
        <w:t>reports</w:t>
      </w:r>
      <w:r w:rsidR="005F61C2" w:rsidRPr="00B038C5">
        <w:t xml:space="preserve"> </w:t>
      </w:r>
      <w:r w:rsidR="00F56CF7" w:rsidRPr="00B038C5">
        <w:t xml:space="preserve">at this level showed limited critical engagement and often suffered from problems with clarity, logical flow and overall cohesion. These reports tended to be descriptive rather than analytical, frequently omitted key sections, or displayed serious issues in the execution of the investigation. While students made some attempt to explain their work, the reports were consistently hindered by errors in structure, expression and depth. Engagement with academic literature was often minimal, focusing on only a handful of sources, and there was </w:t>
      </w:r>
      <w:r w:rsidR="00374B3E">
        <w:t xml:space="preserve">too much </w:t>
      </w:r>
      <w:r w:rsidR="00F56CF7" w:rsidRPr="00B038C5">
        <w:t xml:space="preserve">reliance on non-academic materials such as websites, blogs and media articles. </w:t>
      </w:r>
      <w:r w:rsidR="00374B3E">
        <w:t>R</w:t>
      </w:r>
      <w:r w:rsidR="00F56CF7" w:rsidRPr="00B038C5">
        <w:t>eferencing errors were</w:t>
      </w:r>
      <w:r w:rsidR="00374B3E">
        <w:t xml:space="preserve"> also</w:t>
      </w:r>
      <w:r w:rsidR="00F56CF7" w:rsidRPr="00B038C5">
        <w:t xml:space="preserve"> widespread throughout these reports.</w:t>
      </w:r>
    </w:p>
    <w:p w14:paraId="277E47E3" w14:textId="4A8DDA54" w:rsidR="00F56CF7" w:rsidRPr="00B038C5" w:rsidRDefault="00F56CF7" w:rsidP="00B038C5">
      <w:pPr>
        <w:pStyle w:val="VCAAbody"/>
      </w:pPr>
      <w:r w:rsidRPr="00B038C5">
        <w:lastRenderedPageBreak/>
        <w:t xml:space="preserve">In some cases, </w:t>
      </w:r>
      <w:r w:rsidR="005F61C2">
        <w:t>reports were incomplete</w:t>
      </w:r>
      <w:r w:rsidRPr="00B038C5">
        <w:t xml:space="preserve">, leaving entire sections missing. Where data was </w:t>
      </w:r>
      <w:proofErr w:type="gramStart"/>
      <w:r w:rsidRPr="00B038C5">
        <w:t>presented</w:t>
      </w:r>
      <w:proofErr w:type="gramEnd"/>
      <w:r w:rsidRPr="00B038C5">
        <w:t xml:space="preserve"> it was often unrefined, consisting of raw data without sufficient analysis or presented in a disorganised manner that did not relate to the central research question. Consequently, the findings and conclusions lacked clarity, depth and meaningful connection to the research question. It was also evident that some students ran out of time towards the end of their investigations, compromising the overall quality of their work. </w:t>
      </w:r>
      <w:r w:rsidR="003B0823">
        <w:t>Students need to</w:t>
      </w:r>
      <w:r w:rsidRPr="00B038C5">
        <w:t xml:space="preserve"> allocate sufficient time to analyse and organise their data carefully, ensuring they can draw logical conclusions. Thoughtful consideration of how best to present the data, which findings are most crucial and how they contribute to the investigation should be central to the process. </w:t>
      </w:r>
      <w:r w:rsidR="003B0823">
        <w:t>Students should consider t</w:t>
      </w:r>
      <w:r w:rsidRPr="00B038C5">
        <w:t xml:space="preserve">hese aspects early </w:t>
      </w:r>
      <w:r w:rsidR="003B0823">
        <w:t>in the process</w:t>
      </w:r>
      <w:r w:rsidRPr="00B038C5">
        <w:t xml:space="preserve"> and revisit</w:t>
      </w:r>
      <w:r w:rsidR="003B0823">
        <w:t xml:space="preserve"> them</w:t>
      </w:r>
      <w:r w:rsidRPr="00B038C5">
        <w:t xml:space="preserve"> throughout the investigation, with the understanding that multiple revisions and drafts may be needed, particularly when dealing with multiple data sets.</w:t>
      </w:r>
    </w:p>
    <w:p w14:paraId="2FD7ACAA" w14:textId="581D82EA" w:rsidR="00AC7513" w:rsidRPr="00B038C5" w:rsidRDefault="00F56CF7" w:rsidP="00B038C5">
      <w:pPr>
        <w:pStyle w:val="VCAAbody"/>
      </w:pPr>
      <w:r w:rsidRPr="00B038C5">
        <w:t xml:space="preserve">Another recurring issue in these reports was the lack of clarity and adherence to academic conventions. </w:t>
      </w:r>
      <w:r w:rsidR="00DE482B">
        <w:t>L</w:t>
      </w:r>
      <w:r w:rsidRPr="00B038C5">
        <w:t xml:space="preserve">ower-scoring </w:t>
      </w:r>
      <w:r w:rsidR="00DE482B">
        <w:t xml:space="preserve">reports </w:t>
      </w:r>
      <w:r w:rsidRPr="00B038C5">
        <w:t xml:space="preserve">often demonstrated inconsistent tone and voice, with numerous spelling and grammar mistakes that hindered comprehension. </w:t>
      </w:r>
      <w:r w:rsidR="005F2874">
        <w:t>In some cases, t</w:t>
      </w:r>
      <w:r w:rsidRPr="00B038C5">
        <w:t xml:space="preserve">he flow of ideas was disjointed, making the report difficult to follow. </w:t>
      </w:r>
      <w:r w:rsidR="006D163C">
        <w:t>There were also p</w:t>
      </w:r>
      <w:r w:rsidRPr="00B038C5">
        <w:t>roblems with academic conventions</w:t>
      </w:r>
      <w:r w:rsidR="006D163C">
        <w:t>,</w:t>
      </w:r>
      <w:r w:rsidRPr="00B038C5">
        <w:t xml:space="preserve"> limited or inconsistent referencing practices, and a lack of clear organisation in terms of subheadings and section structure.</w:t>
      </w:r>
    </w:p>
    <w:p w14:paraId="5775ABBF" w14:textId="5FC4E1A0" w:rsidR="00F56CF7" w:rsidRDefault="00A64FD7" w:rsidP="00053578">
      <w:pPr>
        <w:pStyle w:val="VCAAHeading2"/>
        <w:keepNext/>
        <w:keepLines/>
        <w:jc w:val="both"/>
      </w:pPr>
      <w:r w:rsidRPr="00F56CF7">
        <w:t xml:space="preserve">Advice to </w:t>
      </w:r>
      <w:r w:rsidR="00D75872" w:rsidRPr="00F56CF7">
        <w:t>s</w:t>
      </w:r>
      <w:r w:rsidRPr="00F56CF7">
        <w:t>tudents</w:t>
      </w:r>
      <w:r w:rsidR="00D75872" w:rsidRPr="00F56CF7">
        <w:t xml:space="preserve"> and t</w:t>
      </w:r>
      <w:r w:rsidRPr="00F56CF7">
        <w:t>eachers</w:t>
      </w:r>
    </w:p>
    <w:p w14:paraId="5CE61F40" w14:textId="7F343A6C" w:rsidR="00F56CF7" w:rsidRPr="00B038C5" w:rsidRDefault="004C5134" w:rsidP="00B038C5">
      <w:pPr>
        <w:pStyle w:val="VCAAbody"/>
      </w:pPr>
      <w:r>
        <w:t>S</w:t>
      </w:r>
      <w:r w:rsidR="00F56CF7" w:rsidRPr="00B038C5">
        <w:t>tudents demonstrated a strong ability to design methods for data collection that were both well</w:t>
      </w:r>
      <w:r w:rsidR="00F25FEF">
        <w:t xml:space="preserve"> </w:t>
      </w:r>
      <w:r w:rsidR="00F56CF7" w:rsidRPr="00B038C5">
        <w:t xml:space="preserve">developed and appropriate for addressing their research questions. The methods chosen were carefully considered, with students providing clear justifications for their selection, ensuring the collection of relevant and reliable data. As students progressed, their writing became increasingly sophisticated, marked </w:t>
      </w:r>
      <w:proofErr w:type="gramStart"/>
      <w:r w:rsidR="00F56CF7" w:rsidRPr="00B038C5">
        <w:t>by the use of</w:t>
      </w:r>
      <w:proofErr w:type="gramEnd"/>
      <w:r w:rsidR="00F56CF7" w:rsidRPr="00B038C5">
        <w:t xml:space="preserve"> more nuanced language and a more formal academic tone. This growth in writing reflected an expanding depth of understanding and a more refined approach to research design. There was a clear trend towards a deeper integration of complex ideas as students continued to develop their research design, considering various elements such as data collection tools, ethical considerations and the integration of academic literature to build a more comprehensive and rigorous investigation.</w:t>
      </w:r>
    </w:p>
    <w:p w14:paraId="172F19D8" w14:textId="4FA597AC" w:rsidR="00F56CF7" w:rsidRPr="00B038C5" w:rsidRDefault="00F56CF7" w:rsidP="00B038C5">
      <w:pPr>
        <w:pStyle w:val="VCAAbody"/>
      </w:pPr>
      <w:r w:rsidRPr="00B038C5">
        <w:t xml:space="preserve">Some students used tables to represent data to avoid exceeding the word count. While tables can be an effective tool for presenting data concisely, they should not be relied on as a substitute for detailed written analysis. In some cases, tables were used to </w:t>
      </w:r>
      <w:proofErr w:type="spellStart"/>
      <w:r w:rsidRPr="00B038C5">
        <w:t>summarise</w:t>
      </w:r>
      <w:proofErr w:type="spellEnd"/>
      <w:r w:rsidRPr="00B038C5">
        <w:t xml:space="preserve"> findings without adequate explanation or interpretation in the report’s narrative. This approach often </w:t>
      </w:r>
      <w:r w:rsidR="00100928">
        <w:t>lacked</w:t>
      </w:r>
      <w:r w:rsidRPr="00B038C5">
        <w:t xml:space="preserve"> depth </w:t>
      </w:r>
      <w:r w:rsidR="00100928">
        <w:t>of</w:t>
      </w:r>
      <w:r w:rsidRPr="00B038C5">
        <w:t xml:space="preserve"> analysis, </w:t>
      </w:r>
      <w:r w:rsidR="00100928">
        <w:t>missing</w:t>
      </w:r>
      <w:r w:rsidR="00100928" w:rsidRPr="00B038C5">
        <w:t xml:space="preserve"> </w:t>
      </w:r>
      <w:r w:rsidRPr="00B038C5">
        <w:t>key trends and insights. Students should be mindful that the word count includes the explanation of findings, and data representations must be accompanied by thoughtful discussion to ensure clarity and a comprehensive understanding of the research.</w:t>
      </w:r>
    </w:p>
    <w:p w14:paraId="04FF2D18" w14:textId="11B24543" w:rsidR="00F56CF7" w:rsidRPr="00B038C5" w:rsidRDefault="00F56CF7" w:rsidP="00B038C5">
      <w:pPr>
        <w:pStyle w:val="VCAAbody"/>
      </w:pPr>
      <w:r w:rsidRPr="00CD48F5">
        <w:t>There was a noticeable need for greater depth in critical engagement with the literature</w:t>
      </w:r>
      <w:r w:rsidRPr="00B038C5">
        <w:t xml:space="preserve">, particularly in the discussion of the findings. While many students referenced academic sources, the analysis and synthesis of these sources were sometimes superficial. Students often summarised existing research without sufficiently critiquing </w:t>
      </w:r>
      <w:r w:rsidR="00F25FEF">
        <w:t xml:space="preserve">it </w:t>
      </w:r>
      <w:r w:rsidRPr="00B038C5">
        <w:t>or connecting it to their own findings. In the discussion section, the lack of integration between the literature and the data collected weakened the overall argument. It is essential for students to engage more critically with literature throughout their investigation and particularly when discussing their results, ensuring that their findings are supported, challenged or refined by existing research.</w:t>
      </w:r>
    </w:p>
    <w:p w14:paraId="4C7198FB" w14:textId="65638B7C" w:rsidR="00F56CF7" w:rsidRPr="00B038C5" w:rsidRDefault="00F56CF7" w:rsidP="00B038C5">
      <w:pPr>
        <w:pStyle w:val="VCAAbody"/>
      </w:pPr>
      <w:r w:rsidRPr="00B038C5">
        <w:t>In terms of data analysis, students would benefit from giving more consideration to how different data sets work together to provide a holistic understanding of their research question. While surveys were a common tool, higher-</w:t>
      </w:r>
      <w:r w:rsidR="003279D8">
        <w:t>scoring</w:t>
      </w:r>
      <w:r w:rsidR="003279D8" w:rsidRPr="00B038C5">
        <w:t xml:space="preserve"> </w:t>
      </w:r>
      <w:r w:rsidR="003279D8">
        <w:t>reports</w:t>
      </w:r>
      <w:r w:rsidR="003279D8" w:rsidRPr="00B038C5">
        <w:t xml:space="preserve"> </w:t>
      </w:r>
      <w:r w:rsidR="003279D8">
        <w:t>displayed</w:t>
      </w:r>
      <w:r w:rsidRPr="00B038C5">
        <w:t xml:space="preserve"> a multifaceted method that integrate</w:t>
      </w:r>
      <w:r w:rsidR="003279D8">
        <w:t>d</w:t>
      </w:r>
      <w:r w:rsidRPr="00B038C5">
        <w:t xml:space="preserve"> various types of data collection. </w:t>
      </w:r>
      <w:r w:rsidR="00CD48F5">
        <w:t>S</w:t>
      </w:r>
      <w:r w:rsidR="00CD48F5" w:rsidRPr="00B038C5">
        <w:t xml:space="preserve">tudents </w:t>
      </w:r>
      <w:r w:rsidR="00CD48F5">
        <w:t>can</w:t>
      </w:r>
      <w:r w:rsidR="00CD48F5" w:rsidRPr="00B038C5">
        <w:t xml:space="preserve"> triangulate their findings </w:t>
      </w:r>
      <w:r w:rsidR="00CD48F5">
        <w:t>by using</w:t>
      </w:r>
      <w:r w:rsidRPr="00B038C5">
        <w:t xml:space="preserve"> interviews, observations and other qualitative or quantitative data alongside surveys, </w:t>
      </w:r>
      <w:r w:rsidR="00CD48F5">
        <w:t>which provides</w:t>
      </w:r>
      <w:r w:rsidR="00CD48F5" w:rsidRPr="00B038C5">
        <w:t xml:space="preserve"> </w:t>
      </w:r>
      <w:r w:rsidRPr="00B038C5">
        <w:t>a more nuanced and reliable interpretation of their research question. This approach enables students to explore the connections between different data sets and reflect critically on how they complement or contrast with each other, leading to a more robust and comprehensive analysis.</w:t>
      </w:r>
    </w:p>
    <w:p w14:paraId="3997330B" w14:textId="1E61114B" w:rsidR="00A64FD7" w:rsidRPr="00F56CF7" w:rsidRDefault="00A64FD7" w:rsidP="00053578">
      <w:pPr>
        <w:pStyle w:val="VCAAHeading2"/>
        <w:jc w:val="both"/>
      </w:pPr>
      <w:r w:rsidRPr="00F56CF7">
        <w:lastRenderedPageBreak/>
        <w:t xml:space="preserve">Assessment </w:t>
      </w:r>
      <w:r w:rsidR="00C33A33" w:rsidRPr="00F56CF7">
        <w:t>c</w:t>
      </w:r>
      <w:r w:rsidRPr="00F56CF7">
        <w:t>riteria</w:t>
      </w:r>
    </w:p>
    <w:p w14:paraId="2E142E6D" w14:textId="77777777" w:rsidR="003A156E" w:rsidRPr="00B038C5" w:rsidRDefault="003A156E" w:rsidP="00B038C5">
      <w:pPr>
        <w:pStyle w:val="VCAAbody"/>
      </w:pPr>
      <w:r w:rsidRPr="00B038C5">
        <w:t>The following are general comments regarding achievement in each criterion. They should not be seen as an exhaustive list of features, as each report is unique and decisions regarding both the writing and marking of the report are based on the research question and conduct of the investigation.</w:t>
      </w:r>
    </w:p>
    <w:p w14:paraId="311D144F" w14:textId="67C484B8" w:rsidR="00A64FD7" w:rsidRPr="00F56CF7" w:rsidRDefault="003A7700" w:rsidP="00B80834">
      <w:pPr>
        <w:pStyle w:val="VCAAHeading3"/>
      </w:pPr>
      <w:r w:rsidRPr="00F56CF7">
        <w:t xml:space="preserve">Criterion </w:t>
      </w:r>
      <w:r w:rsidR="00A64FD7" w:rsidRPr="00F56CF7">
        <w:t xml:space="preserve">1 </w:t>
      </w:r>
      <w:r w:rsidR="0041444B" w:rsidRPr="00F56CF7">
        <w:t>–</w:t>
      </w:r>
      <w:r w:rsidR="00A64FD7" w:rsidRPr="00F56CF7">
        <w:t xml:space="preserve"> Knowledge and </w:t>
      </w:r>
      <w:r w:rsidRPr="00F56CF7">
        <w:t>u</w:t>
      </w:r>
      <w:r w:rsidR="00A64FD7" w:rsidRPr="00F56CF7">
        <w:t xml:space="preserve">nderstanding of the </w:t>
      </w:r>
      <w:r w:rsidRPr="00F56CF7">
        <w:t>r</w:t>
      </w:r>
      <w:r w:rsidR="00A64FD7" w:rsidRPr="00F56CF7">
        <w:t xml:space="preserve">esearch </w:t>
      </w:r>
      <w:r w:rsidRPr="00F56CF7">
        <w:t>a</w:t>
      </w:r>
      <w:r w:rsidR="00A64FD7" w:rsidRPr="00F56CF7">
        <w:t>rea</w:t>
      </w:r>
    </w:p>
    <w:tbl>
      <w:tblPr>
        <w:tblStyle w:val="VCAATableClosed"/>
        <w:tblW w:w="0" w:type="auto"/>
        <w:tblInd w:w="-5" w:type="dxa"/>
        <w:tblLayout w:type="fixed"/>
        <w:tblLook w:val="04A0" w:firstRow="1" w:lastRow="0" w:firstColumn="1" w:lastColumn="0" w:noHBand="0" w:noVBand="1"/>
      </w:tblPr>
      <w:tblGrid>
        <w:gridCol w:w="694"/>
        <w:gridCol w:w="506"/>
        <w:gridCol w:w="501"/>
        <w:gridCol w:w="509"/>
        <w:gridCol w:w="505"/>
        <w:gridCol w:w="545"/>
        <w:gridCol w:w="567"/>
        <w:gridCol w:w="567"/>
        <w:gridCol w:w="567"/>
        <w:gridCol w:w="567"/>
        <w:gridCol w:w="567"/>
        <w:gridCol w:w="567"/>
        <w:gridCol w:w="993"/>
      </w:tblGrid>
      <w:tr w:rsidR="007E4214" w:rsidRPr="00141A4D" w14:paraId="37E27DC4" w14:textId="77777777" w:rsidTr="00194444">
        <w:trPr>
          <w:cnfStyle w:val="100000000000" w:firstRow="1" w:lastRow="0" w:firstColumn="0" w:lastColumn="0" w:oddVBand="0" w:evenVBand="0" w:oddHBand="0" w:evenHBand="0" w:firstRowFirstColumn="0" w:firstRowLastColumn="0" w:lastRowFirstColumn="0" w:lastRowLastColumn="0"/>
        </w:trPr>
        <w:tc>
          <w:tcPr>
            <w:tcW w:w="694" w:type="dxa"/>
          </w:tcPr>
          <w:p w14:paraId="3CAF3AA0" w14:textId="77777777" w:rsidR="007E4214" w:rsidRPr="00141A4D" w:rsidRDefault="007E4214" w:rsidP="00194444">
            <w:pPr>
              <w:pStyle w:val="VCAAtablecondensedheading"/>
              <w:rPr>
                <w:lang w:val="en-AU"/>
              </w:rPr>
            </w:pPr>
            <w:r w:rsidRPr="00141A4D">
              <w:rPr>
                <w:lang w:val="en-AU"/>
              </w:rPr>
              <w:t>Mark</w:t>
            </w:r>
          </w:p>
        </w:tc>
        <w:tc>
          <w:tcPr>
            <w:tcW w:w="506" w:type="dxa"/>
          </w:tcPr>
          <w:p w14:paraId="2968DFF9" w14:textId="77777777" w:rsidR="007E4214" w:rsidRPr="00141A4D" w:rsidRDefault="007E4214" w:rsidP="00194444">
            <w:pPr>
              <w:pStyle w:val="VCAAtablecondensedheading"/>
              <w:rPr>
                <w:lang w:val="en-AU"/>
              </w:rPr>
            </w:pPr>
            <w:r w:rsidRPr="00141A4D">
              <w:rPr>
                <w:lang w:val="en-AU"/>
              </w:rPr>
              <w:t>0</w:t>
            </w:r>
          </w:p>
        </w:tc>
        <w:tc>
          <w:tcPr>
            <w:tcW w:w="501" w:type="dxa"/>
          </w:tcPr>
          <w:p w14:paraId="376510C0" w14:textId="77777777" w:rsidR="007E4214" w:rsidRPr="00141A4D" w:rsidRDefault="007E4214" w:rsidP="00194444">
            <w:pPr>
              <w:pStyle w:val="VCAAtablecondensedheading"/>
              <w:rPr>
                <w:lang w:val="en-AU"/>
              </w:rPr>
            </w:pPr>
            <w:r w:rsidRPr="00141A4D">
              <w:rPr>
                <w:lang w:val="en-AU"/>
              </w:rPr>
              <w:t>1</w:t>
            </w:r>
          </w:p>
        </w:tc>
        <w:tc>
          <w:tcPr>
            <w:tcW w:w="509" w:type="dxa"/>
          </w:tcPr>
          <w:p w14:paraId="3B405F8E" w14:textId="77777777" w:rsidR="007E4214" w:rsidRPr="00141A4D" w:rsidRDefault="007E4214" w:rsidP="00194444">
            <w:pPr>
              <w:pStyle w:val="VCAAtablecondensedheading"/>
              <w:rPr>
                <w:lang w:val="en-AU"/>
              </w:rPr>
            </w:pPr>
            <w:r w:rsidRPr="00141A4D">
              <w:rPr>
                <w:lang w:val="en-AU"/>
              </w:rPr>
              <w:t>2</w:t>
            </w:r>
          </w:p>
        </w:tc>
        <w:tc>
          <w:tcPr>
            <w:tcW w:w="505" w:type="dxa"/>
          </w:tcPr>
          <w:p w14:paraId="2F9EA134" w14:textId="77777777" w:rsidR="007E4214" w:rsidRPr="00141A4D" w:rsidRDefault="007E4214" w:rsidP="00194444">
            <w:pPr>
              <w:pStyle w:val="VCAAtablecondensedheading"/>
              <w:rPr>
                <w:lang w:val="en-AU"/>
              </w:rPr>
            </w:pPr>
            <w:r w:rsidRPr="00141A4D">
              <w:rPr>
                <w:lang w:val="en-AU"/>
              </w:rPr>
              <w:t>3</w:t>
            </w:r>
          </w:p>
        </w:tc>
        <w:tc>
          <w:tcPr>
            <w:tcW w:w="545" w:type="dxa"/>
          </w:tcPr>
          <w:p w14:paraId="739B20D4" w14:textId="77777777" w:rsidR="007E4214" w:rsidRPr="00141A4D" w:rsidRDefault="007E4214" w:rsidP="00194444">
            <w:pPr>
              <w:pStyle w:val="VCAAtablecondensedheading"/>
              <w:rPr>
                <w:lang w:val="en-AU"/>
              </w:rPr>
            </w:pPr>
            <w:r w:rsidRPr="00141A4D">
              <w:rPr>
                <w:lang w:val="en-AU"/>
              </w:rPr>
              <w:t>4</w:t>
            </w:r>
          </w:p>
        </w:tc>
        <w:tc>
          <w:tcPr>
            <w:tcW w:w="567" w:type="dxa"/>
          </w:tcPr>
          <w:p w14:paraId="21475629" w14:textId="77777777" w:rsidR="007E4214" w:rsidRPr="00141A4D" w:rsidRDefault="007E4214" w:rsidP="00194444">
            <w:pPr>
              <w:pStyle w:val="VCAAtablecondensedheading"/>
              <w:rPr>
                <w:lang w:val="en-AU"/>
              </w:rPr>
            </w:pPr>
            <w:r>
              <w:rPr>
                <w:lang w:val="en-AU"/>
              </w:rPr>
              <w:t>5</w:t>
            </w:r>
          </w:p>
        </w:tc>
        <w:tc>
          <w:tcPr>
            <w:tcW w:w="567" w:type="dxa"/>
          </w:tcPr>
          <w:p w14:paraId="48C12129" w14:textId="77777777" w:rsidR="007E4214" w:rsidRPr="00141A4D" w:rsidRDefault="007E4214" w:rsidP="00194444">
            <w:pPr>
              <w:pStyle w:val="VCAAtablecondensedheading"/>
              <w:rPr>
                <w:lang w:val="en-AU"/>
              </w:rPr>
            </w:pPr>
            <w:r>
              <w:rPr>
                <w:lang w:val="en-AU"/>
              </w:rPr>
              <w:t>6</w:t>
            </w:r>
          </w:p>
        </w:tc>
        <w:tc>
          <w:tcPr>
            <w:tcW w:w="567" w:type="dxa"/>
          </w:tcPr>
          <w:p w14:paraId="3421F990" w14:textId="77777777" w:rsidR="007E4214" w:rsidRPr="00141A4D" w:rsidRDefault="007E4214" w:rsidP="00194444">
            <w:pPr>
              <w:pStyle w:val="VCAAtablecondensedheading"/>
              <w:rPr>
                <w:lang w:val="en-AU"/>
              </w:rPr>
            </w:pPr>
            <w:r>
              <w:rPr>
                <w:lang w:val="en-AU"/>
              </w:rPr>
              <w:t>7</w:t>
            </w:r>
          </w:p>
        </w:tc>
        <w:tc>
          <w:tcPr>
            <w:tcW w:w="567" w:type="dxa"/>
          </w:tcPr>
          <w:p w14:paraId="166FD0B9" w14:textId="77777777" w:rsidR="007E4214" w:rsidRPr="00141A4D" w:rsidRDefault="007E4214" w:rsidP="00194444">
            <w:pPr>
              <w:pStyle w:val="VCAAtablecondensedheading"/>
              <w:rPr>
                <w:lang w:val="en-AU"/>
              </w:rPr>
            </w:pPr>
            <w:r>
              <w:rPr>
                <w:lang w:val="en-AU"/>
              </w:rPr>
              <w:t>8</w:t>
            </w:r>
          </w:p>
        </w:tc>
        <w:tc>
          <w:tcPr>
            <w:tcW w:w="567" w:type="dxa"/>
          </w:tcPr>
          <w:p w14:paraId="5AA700A7" w14:textId="77777777" w:rsidR="007E4214" w:rsidRPr="00141A4D" w:rsidRDefault="007E4214" w:rsidP="00194444">
            <w:pPr>
              <w:pStyle w:val="VCAAtablecondensedheading"/>
              <w:rPr>
                <w:lang w:val="en-AU"/>
              </w:rPr>
            </w:pPr>
            <w:r>
              <w:rPr>
                <w:lang w:val="en-AU"/>
              </w:rPr>
              <w:t>9</w:t>
            </w:r>
          </w:p>
        </w:tc>
        <w:tc>
          <w:tcPr>
            <w:tcW w:w="567" w:type="dxa"/>
          </w:tcPr>
          <w:p w14:paraId="53D0F064" w14:textId="77777777" w:rsidR="007E4214" w:rsidRPr="00141A4D" w:rsidRDefault="007E4214" w:rsidP="00194444">
            <w:pPr>
              <w:pStyle w:val="VCAAtablecondensedheading"/>
              <w:rPr>
                <w:lang w:val="en-AU"/>
              </w:rPr>
            </w:pPr>
            <w:r>
              <w:rPr>
                <w:lang w:val="en-AU"/>
              </w:rPr>
              <w:t>10</w:t>
            </w:r>
          </w:p>
        </w:tc>
        <w:tc>
          <w:tcPr>
            <w:tcW w:w="993" w:type="dxa"/>
          </w:tcPr>
          <w:p w14:paraId="11A3117C" w14:textId="77777777" w:rsidR="007E4214" w:rsidRPr="00141A4D" w:rsidRDefault="007E4214" w:rsidP="00194444">
            <w:pPr>
              <w:pStyle w:val="VCAAtablecondensedheading"/>
              <w:rPr>
                <w:lang w:val="en-AU"/>
              </w:rPr>
            </w:pPr>
            <w:r w:rsidRPr="00141A4D">
              <w:rPr>
                <w:lang w:val="en-AU"/>
              </w:rPr>
              <w:t>Average</w:t>
            </w:r>
          </w:p>
        </w:tc>
      </w:tr>
      <w:tr w:rsidR="007E4214" w:rsidRPr="00141A4D" w14:paraId="4DF64CD9" w14:textId="77777777" w:rsidTr="00194444">
        <w:tc>
          <w:tcPr>
            <w:tcW w:w="694" w:type="dxa"/>
          </w:tcPr>
          <w:p w14:paraId="06FF9921" w14:textId="77777777" w:rsidR="007E4214" w:rsidRPr="00141A4D" w:rsidRDefault="007E4214" w:rsidP="00194444">
            <w:pPr>
              <w:pStyle w:val="VCAAtablecondensed"/>
              <w:rPr>
                <w:lang w:val="en-AU"/>
              </w:rPr>
            </w:pPr>
            <w:r w:rsidRPr="00141A4D">
              <w:rPr>
                <w:lang w:val="en-AU"/>
              </w:rPr>
              <w:t>%</w:t>
            </w:r>
          </w:p>
        </w:tc>
        <w:tc>
          <w:tcPr>
            <w:tcW w:w="506" w:type="dxa"/>
          </w:tcPr>
          <w:p w14:paraId="16A24110" w14:textId="77777777" w:rsidR="007E4214" w:rsidRPr="00141A4D" w:rsidRDefault="007E4214" w:rsidP="00194444">
            <w:pPr>
              <w:pStyle w:val="VCAAtablecondensed"/>
              <w:rPr>
                <w:lang w:val="en-AU"/>
              </w:rPr>
            </w:pPr>
            <w:r>
              <w:rPr>
                <w:lang w:val="en-AU"/>
              </w:rPr>
              <w:t>0</w:t>
            </w:r>
          </w:p>
        </w:tc>
        <w:tc>
          <w:tcPr>
            <w:tcW w:w="501" w:type="dxa"/>
          </w:tcPr>
          <w:p w14:paraId="69A6AD85" w14:textId="77777777" w:rsidR="007E4214" w:rsidRPr="00141A4D" w:rsidRDefault="007E4214" w:rsidP="00194444">
            <w:pPr>
              <w:pStyle w:val="VCAAtablecondensed"/>
              <w:rPr>
                <w:lang w:val="en-AU"/>
              </w:rPr>
            </w:pPr>
            <w:r>
              <w:rPr>
                <w:lang w:val="en-AU"/>
              </w:rPr>
              <w:t>0</w:t>
            </w:r>
          </w:p>
        </w:tc>
        <w:tc>
          <w:tcPr>
            <w:tcW w:w="509" w:type="dxa"/>
          </w:tcPr>
          <w:p w14:paraId="3A5BB5B0" w14:textId="2881E872" w:rsidR="007E4214" w:rsidRPr="00141A4D" w:rsidRDefault="007E4214" w:rsidP="00194444">
            <w:pPr>
              <w:pStyle w:val="VCAAtablecondensed"/>
              <w:rPr>
                <w:lang w:val="en-AU"/>
              </w:rPr>
            </w:pPr>
            <w:r>
              <w:rPr>
                <w:lang w:val="en-AU"/>
              </w:rPr>
              <w:t>0</w:t>
            </w:r>
          </w:p>
        </w:tc>
        <w:tc>
          <w:tcPr>
            <w:tcW w:w="505" w:type="dxa"/>
          </w:tcPr>
          <w:p w14:paraId="6B55E9C4" w14:textId="77777777" w:rsidR="007E4214" w:rsidRPr="00141A4D" w:rsidRDefault="007E4214" w:rsidP="00194444">
            <w:pPr>
              <w:pStyle w:val="VCAAtablecondensed"/>
              <w:rPr>
                <w:lang w:val="en-AU"/>
              </w:rPr>
            </w:pPr>
            <w:r>
              <w:rPr>
                <w:lang w:val="en-AU"/>
              </w:rPr>
              <w:t>2</w:t>
            </w:r>
          </w:p>
        </w:tc>
        <w:tc>
          <w:tcPr>
            <w:tcW w:w="545" w:type="dxa"/>
          </w:tcPr>
          <w:p w14:paraId="59F5F352" w14:textId="4EF6F7BF" w:rsidR="007E4214" w:rsidRPr="00141A4D" w:rsidRDefault="007E4214" w:rsidP="00194444">
            <w:pPr>
              <w:pStyle w:val="VCAAtablecondensed"/>
              <w:rPr>
                <w:lang w:val="en-AU"/>
              </w:rPr>
            </w:pPr>
            <w:r>
              <w:rPr>
                <w:lang w:val="en-AU"/>
              </w:rPr>
              <w:t>4</w:t>
            </w:r>
          </w:p>
        </w:tc>
        <w:tc>
          <w:tcPr>
            <w:tcW w:w="567" w:type="dxa"/>
          </w:tcPr>
          <w:p w14:paraId="4B847904" w14:textId="65132DB8" w:rsidR="007E4214" w:rsidRDefault="007E4214" w:rsidP="00194444">
            <w:pPr>
              <w:pStyle w:val="VCAAtablecondensed"/>
              <w:rPr>
                <w:lang w:val="en-AU"/>
              </w:rPr>
            </w:pPr>
            <w:r>
              <w:rPr>
                <w:lang w:val="en-AU"/>
              </w:rPr>
              <w:t>8</w:t>
            </w:r>
          </w:p>
        </w:tc>
        <w:tc>
          <w:tcPr>
            <w:tcW w:w="567" w:type="dxa"/>
          </w:tcPr>
          <w:p w14:paraId="34235B55" w14:textId="703EEDB4" w:rsidR="007E4214" w:rsidRDefault="007E4214" w:rsidP="00194444">
            <w:pPr>
              <w:pStyle w:val="VCAAtablecondensed"/>
              <w:rPr>
                <w:lang w:val="en-AU"/>
              </w:rPr>
            </w:pPr>
            <w:r>
              <w:rPr>
                <w:lang w:val="en-AU"/>
              </w:rPr>
              <w:t>16</w:t>
            </w:r>
          </w:p>
        </w:tc>
        <w:tc>
          <w:tcPr>
            <w:tcW w:w="567" w:type="dxa"/>
          </w:tcPr>
          <w:p w14:paraId="4B738D4A" w14:textId="09CEFEEA" w:rsidR="007E4214" w:rsidRDefault="007E4214" w:rsidP="00194444">
            <w:pPr>
              <w:pStyle w:val="VCAAtablecondensed"/>
              <w:rPr>
                <w:lang w:val="en-AU"/>
              </w:rPr>
            </w:pPr>
            <w:r>
              <w:rPr>
                <w:lang w:val="en-AU"/>
              </w:rPr>
              <w:t>24</w:t>
            </w:r>
          </w:p>
        </w:tc>
        <w:tc>
          <w:tcPr>
            <w:tcW w:w="567" w:type="dxa"/>
          </w:tcPr>
          <w:p w14:paraId="2B003FAD" w14:textId="6E5C297F" w:rsidR="007E4214" w:rsidRDefault="007E4214" w:rsidP="00194444">
            <w:pPr>
              <w:pStyle w:val="VCAAtablecondensed"/>
              <w:rPr>
                <w:lang w:val="en-AU"/>
              </w:rPr>
            </w:pPr>
            <w:r>
              <w:rPr>
                <w:lang w:val="en-AU"/>
              </w:rPr>
              <w:t>24</w:t>
            </w:r>
          </w:p>
        </w:tc>
        <w:tc>
          <w:tcPr>
            <w:tcW w:w="567" w:type="dxa"/>
          </w:tcPr>
          <w:p w14:paraId="4397A9FD" w14:textId="4391FE8E" w:rsidR="007E4214" w:rsidRDefault="007E4214" w:rsidP="00194444">
            <w:pPr>
              <w:pStyle w:val="VCAAtablecondensed"/>
              <w:rPr>
                <w:lang w:val="en-AU"/>
              </w:rPr>
            </w:pPr>
            <w:r>
              <w:rPr>
                <w:lang w:val="en-AU"/>
              </w:rPr>
              <w:t>16</w:t>
            </w:r>
          </w:p>
        </w:tc>
        <w:tc>
          <w:tcPr>
            <w:tcW w:w="567" w:type="dxa"/>
          </w:tcPr>
          <w:p w14:paraId="2C611618" w14:textId="16A710D8" w:rsidR="007E4214" w:rsidRDefault="007E4214" w:rsidP="00194444">
            <w:pPr>
              <w:pStyle w:val="VCAAtablecondensed"/>
              <w:rPr>
                <w:lang w:val="en-AU"/>
              </w:rPr>
            </w:pPr>
            <w:r>
              <w:rPr>
                <w:lang w:val="en-AU"/>
              </w:rPr>
              <w:t>6</w:t>
            </w:r>
          </w:p>
        </w:tc>
        <w:tc>
          <w:tcPr>
            <w:tcW w:w="993" w:type="dxa"/>
          </w:tcPr>
          <w:p w14:paraId="23995FA0" w14:textId="290AF8F5" w:rsidR="007E4214" w:rsidRPr="00141A4D" w:rsidRDefault="007E4214" w:rsidP="00194444">
            <w:pPr>
              <w:pStyle w:val="VCAAtablecondensed"/>
              <w:rPr>
                <w:lang w:val="en-AU"/>
              </w:rPr>
            </w:pPr>
            <w:r>
              <w:rPr>
                <w:lang w:val="en-AU"/>
              </w:rPr>
              <w:t>7.2</w:t>
            </w:r>
          </w:p>
        </w:tc>
      </w:tr>
    </w:tbl>
    <w:p w14:paraId="7FD0F64F" w14:textId="2AFA89F5" w:rsidR="00F53D91" w:rsidRDefault="00053578" w:rsidP="00B038C5">
      <w:pPr>
        <w:pStyle w:val="VCAAbody"/>
      </w:pPr>
      <w:r w:rsidRPr="00053578">
        <w:t xml:space="preserve">Students were expected to thoroughly engage with all essential concepts related to their research question, with a particular focus on depth and breadth of understanding. </w:t>
      </w:r>
      <w:r w:rsidR="00BE4C6D">
        <w:t>Students</w:t>
      </w:r>
      <w:r w:rsidR="00BE4C6D" w:rsidRPr="00053578">
        <w:t xml:space="preserve"> </w:t>
      </w:r>
      <w:r w:rsidRPr="00053578">
        <w:t xml:space="preserve">whose </w:t>
      </w:r>
      <w:r w:rsidR="00A87EAF">
        <w:t xml:space="preserve">research </w:t>
      </w:r>
      <w:r w:rsidRPr="00053578">
        <w:t xml:space="preserve">questions involved multiple elements or numerous variables often struggled to demonstrate a comprehensive grasp of their topic, as the scope of material they sought to cover became overwhelming. Furthermore, students who merged their literature review with the introduction, or omitted it altogether, typically found it difficult to showcase a detailed understanding of the area under investigation. A clear and well-structured literature review is critical </w:t>
      </w:r>
      <w:r w:rsidR="00A87EAF">
        <w:t>to ground</w:t>
      </w:r>
      <w:r w:rsidRPr="00053578">
        <w:t xml:space="preserve"> the research in existing scholarship, offer context, and fram</w:t>
      </w:r>
      <w:r w:rsidR="00A87EAF">
        <w:t>e</w:t>
      </w:r>
      <w:r w:rsidRPr="00053578">
        <w:t xml:space="preserve"> the investigation within the broader academic landscape. The absence of this section often results in gaps in the analysis and limits critical engage</w:t>
      </w:r>
      <w:r w:rsidR="00A87EAF">
        <w:t>ment</w:t>
      </w:r>
      <w:r w:rsidRPr="00053578">
        <w:t xml:space="preserve"> with relevant studies. </w:t>
      </w:r>
    </w:p>
    <w:p w14:paraId="6BEAD3B9" w14:textId="7BEA8CE9" w:rsidR="00053578" w:rsidRDefault="00A87EAF" w:rsidP="00B038C5">
      <w:pPr>
        <w:pStyle w:val="VCAAbody"/>
      </w:pPr>
      <w:r>
        <w:t>S</w:t>
      </w:r>
      <w:r w:rsidR="00053578" w:rsidRPr="00053578">
        <w:t xml:space="preserve">tudents should </w:t>
      </w:r>
      <w:r>
        <w:t xml:space="preserve">also </w:t>
      </w:r>
      <w:proofErr w:type="spellStart"/>
      <w:r w:rsidR="00053578" w:rsidRPr="00053578">
        <w:t>recognise</w:t>
      </w:r>
      <w:proofErr w:type="spellEnd"/>
      <w:r w:rsidR="00053578" w:rsidRPr="00053578">
        <w:t xml:space="preserve"> that it is rare for a topic to lack sufficient research. Claims of limited research availability usually indicate </w:t>
      </w:r>
      <w:r>
        <w:t>that the student needs to look more broadly and critically across their field</w:t>
      </w:r>
      <w:r w:rsidR="00053578" w:rsidRPr="00053578">
        <w:t>. To demonstrate high-level understanding, students must consistently address the core concepts of their research</w:t>
      </w:r>
      <w:r w:rsidR="00F13484">
        <w:t xml:space="preserve"> and engage</w:t>
      </w:r>
      <w:r w:rsidR="00053578" w:rsidRPr="00053578">
        <w:t xml:space="preserve"> deeply with a wide range of academic sources. Superficial discussions </w:t>
      </w:r>
      <w:r w:rsidR="00F13484">
        <w:t>are not enough</w:t>
      </w:r>
      <w:r w:rsidR="00053578" w:rsidRPr="00053578">
        <w:t xml:space="preserve">; depth is </w:t>
      </w:r>
      <w:r w:rsidR="00F13484">
        <w:t>necessary</w:t>
      </w:r>
      <w:r w:rsidR="00F13484" w:rsidRPr="00053578">
        <w:t xml:space="preserve"> </w:t>
      </w:r>
      <w:r w:rsidR="00F13484">
        <w:t>to achieve</w:t>
      </w:r>
      <w:r w:rsidR="00053578" w:rsidRPr="00053578">
        <w:t xml:space="preserve"> a fully developed understanding of the topic.</w:t>
      </w:r>
    </w:p>
    <w:p w14:paraId="360D972C" w14:textId="22F6B6F8" w:rsidR="003A156E" w:rsidRPr="003A156E" w:rsidRDefault="003A156E" w:rsidP="00B038C5">
      <w:pPr>
        <w:pStyle w:val="VCAAbody"/>
        <w:rPr>
          <w:lang w:val="en-AU"/>
        </w:rPr>
      </w:pPr>
      <w:r w:rsidRPr="003A156E">
        <w:rPr>
          <w:lang w:val="en-AU"/>
        </w:rPr>
        <w:t>Accuracy and consistency in referencing are essential. Some students underperformed in this area due to errors</w:t>
      </w:r>
      <w:r w:rsidR="00E803EF">
        <w:rPr>
          <w:lang w:val="en-AU"/>
        </w:rPr>
        <w:t xml:space="preserve"> in</w:t>
      </w:r>
      <w:r w:rsidRPr="003A156E">
        <w:rPr>
          <w:lang w:val="en-AU"/>
        </w:rPr>
        <w:t xml:space="preserve"> </w:t>
      </w:r>
      <w:r w:rsidR="00BA661B">
        <w:rPr>
          <w:lang w:val="en-AU"/>
        </w:rPr>
        <w:t>source citation</w:t>
      </w:r>
      <w:r w:rsidRPr="003A156E">
        <w:rPr>
          <w:lang w:val="en-AU"/>
        </w:rPr>
        <w:t xml:space="preserve">. Proper referencing of all </w:t>
      </w:r>
      <w:r w:rsidR="00E803EF">
        <w:rPr>
          <w:lang w:val="en-AU"/>
        </w:rPr>
        <w:t>academic reading and source</w:t>
      </w:r>
      <w:r w:rsidR="00E803EF" w:rsidRPr="003A156E">
        <w:rPr>
          <w:lang w:val="en-AU"/>
        </w:rPr>
        <w:t>s</w:t>
      </w:r>
      <w:r w:rsidRPr="003A156E">
        <w:rPr>
          <w:lang w:val="en-AU"/>
        </w:rPr>
        <w:t xml:space="preserve"> used is vital, as it reflects a comprehensive and rigorous engagement with the existing scholarly work in the field.</w:t>
      </w:r>
    </w:p>
    <w:p w14:paraId="2F271E3C" w14:textId="33F8C647" w:rsidR="00A64FD7" w:rsidRPr="00F56CF7" w:rsidRDefault="0031159E" w:rsidP="00B80834">
      <w:pPr>
        <w:pStyle w:val="VCAAHeading3"/>
      </w:pPr>
      <w:r w:rsidRPr="00F56CF7">
        <w:t xml:space="preserve">Criterion </w:t>
      </w:r>
      <w:r w:rsidR="00A64FD7" w:rsidRPr="00F56CF7">
        <w:t xml:space="preserve">2 </w:t>
      </w:r>
      <w:r w:rsidR="0041444B" w:rsidRPr="00F56CF7">
        <w:t>–</w:t>
      </w:r>
      <w:r w:rsidR="00A64FD7" w:rsidRPr="00F56CF7">
        <w:t xml:space="preserve"> Analysis and </w:t>
      </w:r>
      <w:r w:rsidRPr="00F56CF7">
        <w:t>e</w:t>
      </w:r>
      <w:r w:rsidR="00A64FD7" w:rsidRPr="00F56CF7">
        <w:t xml:space="preserve">valuation of </w:t>
      </w:r>
      <w:r w:rsidRPr="00F56CF7">
        <w:t>a</w:t>
      </w:r>
      <w:r w:rsidR="00A64FD7" w:rsidRPr="00F56CF7">
        <w:t xml:space="preserve">rgument and </w:t>
      </w:r>
      <w:r w:rsidRPr="00F56CF7">
        <w:t>e</w:t>
      </w:r>
      <w:r w:rsidR="00A64FD7" w:rsidRPr="00F56CF7">
        <w:t>vidence</w:t>
      </w:r>
    </w:p>
    <w:tbl>
      <w:tblPr>
        <w:tblStyle w:val="VCAATableClosed"/>
        <w:tblW w:w="0" w:type="auto"/>
        <w:tblInd w:w="-5" w:type="dxa"/>
        <w:tblLayout w:type="fixed"/>
        <w:tblLook w:val="04A0" w:firstRow="1" w:lastRow="0" w:firstColumn="1" w:lastColumn="0" w:noHBand="0" w:noVBand="1"/>
      </w:tblPr>
      <w:tblGrid>
        <w:gridCol w:w="694"/>
        <w:gridCol w:w="506"/>
        <w:gridCol w:w="501"/>
        <w:gridCol w:w="509"/>
        <w:gridCol w:w="505"/>
        <w:gridCol w:w="545"/>
        <w:gridCol w:w="567"/>
        <w:gridCol w:w="567"/>
        <w:gridCol w:w="567"/>
        <w:gridCol w:w="567"/>
        <w:gridCol w:w="567"/>
        <w:gridCol w:w="567"/>
        <w:gridCol w:w="993"/>
      </w:tblGrid>
      <w:tr w:rsidR="00F81C13" w:rsidRPr="00141A4D" w14:paraId="281CDD01" w14:textId="77777777" w:rsidTr="00A3448B">
        <w:trPr>
          <w:cnfStyle w:val="100000000000" w:firstRow="1" w:lastRow="0" w:firstColumn="0" w:lastColumn="0" w:oddVBand="0" w:evenVBand="0" w:oddHBand="0" w:evenHBand="0" w:firstRowFirstColumn="0" w:firstRowLastColumn="0" w:lastRowFirstColumn="0" w:lastRowLastColumn="0"/>
        </w:trPr>
        <w:tc>
          <w:tcPr>
            <w:tcW w:w="694" w:type="dxa"/>
          </w:tcPr>
          <w:p w14:paraId="1F6A58AC" w14:textId="77777777" w:rsidR="00F81C13" w:rsidRPr="00141A4D" w:rsidRDefault="00F81C13" w:rsidP="00A3448B">
            <w:pPr>
              <w:pStyle w:val="VCAAtablecondensedheading"/>
              <w:rPr>
                <w:lang w:val="en-AU"/>
              </w:rPr>
            </w:pPr>
            <w:r w:rsidRPr="00141A4D">
              <w:rPr>
                <w:lang w:val="en-AU"/>
              </w:rPr>
              <w:t>Mark</w:t>
            </w:r>
          </w:p>
        </w:tc>
        <w:tc>
          <w:tcPr>
            <w:tcW w:w="506" w:type="dxa"/>
          </w:tcPr>
          <w:p w14:paraId="4DD885BE" w14:textId="77777777" w:rsidR="00F81C13" w:rsidRPr="00141A4D" w:rsidRDefault="00F81C13" w:rsidP="00A3448B">
            <w:pPr>
              <w:pStyle w:val="VCAAtablecondensedheading"/>
              <w:rPr>
                <w:lang w:val="en-AU"/>
              </w:rPr>
            </w:pPr>
            <w:r w:rsidRPr="00141A4D">
              <w:rPr>
                <w:lang w:val="en-AU"/>
              </w:rPr>
              <w:t>0</w:t>
            </w:r>
          </w:p>
        </w:tc>
        <w:tc>
          <w:tcPr>
            <w:tcW w:w="501" w:type="dxa"/>
          </w:tcPr>
          <w:p w14:paraId="068F99E7" w14:textId="77777777" w:rsidR="00F81C13" w:rsidRPr="00141A4D" w:rsidRDefault="00F81C13" w:rsidP="00A3448B">
            <w:pPr>
              <w:pStyle w:val="VCAAtablecondensedheading"/>
              <w:rPr>
                <w:lang w:val="en-AU"/>
              </w:rPr>
            </w:pPr>
            <w:r w:rsidRPr="00141A4D">
              <w:rPr>
                <w:lang w:val="en-AU"/>
              </w:rPr>
              <w:t>1</w:t>
            </w:r>
          </w:p>
        </w:tc>
        <w:tc>
          <w:tcPr>
            <w:tcW w:w="509" w:type="dxa"/>
          </w:tcPr>
          <w:p w14:paraId="4E0FD828" w14:textId="77777777" w:rsidR="00F81C13" w:rsidRPr="00141A4D" w:rsidRDefault="00F81C13" w:rsidP="00A3448B">
            <w:pPr>
              <w:pStyle w:val="VCAAtablecondensedheading"/>
              <w:rPr>
                <w:lang w:val="en-AU"/>
              </w:rPr>
            </w:pPr>
            <w:r w:rsidRPr="00141A4D">
              <w:rPr>
                <w:lang w:val="en-AU"/>
              </w:rPr>
              <w:t>2</w:t>
            </w:r>
          </w:p>
        </w:tc>
        <w:tc>
          <w:tcPr>
            <w:tcW w:w="505" w:type="dxa"/>
          </w:tcPr>
          <w:p w14:paraId="50E45AEF" w14:textId="77777777" w:rsidR="00F81C13" w:rsidRPr="00141A4D" w:rsidRDefault="00F81C13" w:rsidP="00A3448B">
            <w:pPr>
              <w:pStyle w:val="VCAAtablecondensedheading"/>
              <w:rPr>
                <w:lang w:val="en-AU"/>
              </w:rPr>
            </w:pPr>
            <w:r w:rsidRPr="00141A4D">
              <w:rPr>
                <w:lang w:val="en-AU"/>
              </w:rPr>
              <w:t>3</w:t>
            </w:r>
          </w:p>
        </w:tc>
        <w:tc>
          <w:tcPr>
            <w:tcW w:w="545" w:type="dxa"/>
          </w:tcPr>
          <w:p w14:paraId="63816BF2" w14:textId="77777777" w:rsidR="00F81C13" w:rsidRPr="00141A4D" w:rsidRDefault="00F81C13" w:rsidP="00A3448B">
            <w:pPr>
              <w:pStyle w:val="VCAAtablecondensedheading"/>
              <w:rPr>
                <w:lang w:val="en-AU"/>
              </w:rPr>
            </w:pPr>
            <w:r w:rsidRPr="00141A4D">
              <w:rPr>
                <w:lang w:val="en-AU"/>
              </w:rPr>
              <w:t>4</w:t>
            </w:r>
          </w:p>
        </w:tc>
        <w:tc>
          <w:tcPr>
            <w:tcW w:w="567" w:type="dxa"/>
          </w:tcPr>
          <w:p w14:paraId="77171D0B" w14:textId="77777777" w:rsidR="00F81C13" w:rsidRPr="00141A4D" w:rsidRDefault="00F81C13" w:rsidP="00A3448B">
            <w:pPr>
              <w:pStyle w:val="VCAAtablecondensedheading"/>
              <w:rPr>
                <w:lang w:val="en-AU"/>
              </w:rPr>
            </w:pPr>
            <w:r>
              <w:rPr>
                <w:lang w:val="en-AU"/>
              </w:rPr>
              <w:t>5</w:t>
            </w:r>
          </w:p>
        </w:tc>
        <w:tc>
          <w:tcPr>
            <w:tcW w:w="567" w:type="dxa"/>
          </w:tcPr>
          <w:p w14:paraId="4CC2320C" w14:textId="77777777" w:rsidR="00F81C13" w:rsidRPr="00141A4D" w:rsidRDefault="00F81C13" w:rsidP="00A3448B">
            <w:pPr>
              <w:pStyle w:val="VCAAtablecondensedheading"/>
              <w:rPr>
                <w:lang w:val="en-AU"/>
              </w:rPr>
            </w:pPr>
            <w:r>
              <w:rPr>
                <w:lang w:val="en-AU"/>
              </w:rPr>
              <w:t>6</w:t>
            </w:r>
          </w:p>
        </w:tc>
        <w:tc>
          <w:tcPr>
            <w:tcW w:w="567" w:type="dxa"/>
          </w:tcPr>
          <w:p w14:paraId="5106C45C" w14:textId="77777777" w:rsidR="00F81C13" w:rsidRPr="00141A4D" w:rsidRDefault="00F81C13" w:rsidP="00A3448B">
            <w:pPr>
              <w:pStyle w:val="VCAAtablecondensedheading"/>
              <w:rPr>
                <w:lang w:val="en-AU"/>
              </w:rPr>
            </w:pPr>
            <w:r>
              <w:rPr>
                <w:lang w:val="en-AU"/>
              </w:rPr>
              <w:t>7</w:t>
            </w:r>
          </w:p>
        </w:tc>
        <w:tc>
          <w:tcPr>
            <w:tcW w:w="567" w:type="dxa"/>
          </w:tcPr>
          <w:p w14:paraId="0BA7DAA3" w14:textId="77777777" w:rsidR="00F81C13" w:rsidRPr="00141A4D" w:rsidRDefault="00F81C13" w:rsidP="00A3448B">
            <w:pPr>
              <w:pStyle w:val="VCAAtablecondensedheading"/>
              <w:rPr>
                <w:lang w:val="en-AU"/>
              </w:rPr>
            </w:pPr>
            <w:r>
              <w:rPr>
                <w:lang w:val="en-AU"/>
              </w:rPr>
              <w:t>8</w:t>
            </w:r>
          </w:p>
        </w:tc>
        <w:tc>
          <w:tcPr>
            <w:tcW w:w="567" w:type="dxa"/>
          </w:tcPr>
          <w:p w14:paraId="417B5131" w14:textId="77777777" w:rsidR="00F81C13" w:rsidRPr="00141A4D" w:rsidRDefault="00F81C13" w:rsidP="00A3448B">
            <w:pPr>
              <w:pStyle w:val="VCAAtablecondensedheading"/>
              <w:rPr>
                <w:lang w:val="en-AU"/>
              </w:rPr>
            </w:pPr>
            <w:r>
              <w:rPr>
                <w:lang w:val="en-AU"/>
              </w:rPr>
              <w:t>9</w:t>
            </w:r>
          </w:p>
        </w:tc>
        <w:tc>
          <w:tcPr>
            <w:tcW w:w="567" w:type="dxa"/>
          </w:tcPr>
          <w:p w14:paraId="32E6A48F" w14:textId="77777777" w:rsidR="00F81C13" w:rsidRPr="00141A4D" w:rsidRDefault="00F81C13" w:rsidP="00A3448B">
            <w:pPr>
              <w:pStyle w:val="VCAAtablecondensedheading"/>
              <w:rPr>
                <w:lang w:val="en-AU"/>
              </w:rPr>
            </w:pPr>
            <w:r>
              <w:rPr>
                <w:lang w:val="en-AU"/>
              </w:rPr>
              <w:t>10</w:t>
            </w:r>
          </w:p>
        </w:tc>
        <w:tc>
          <w:tcPr>
            <w:tcW w:w="993" w:type="dxa"/>
          </w:tcPr>
          <w:p w14:paraId="5543E108" w14:textId="77777777" w:rsidR="00F81C13" w:rsidRPr="00141A4D" w:rsidRDefault="00F81C13" w:rsidP="00A3448B">
            <w:pPr>
              <w:pStyle w:val="VCAAtablecondensedheading"/>
              <w:rPr>
                <w:lang w:val="en-AU"/>
              </w:rPr>
            </w:pPr>
            <w:r w:rsidRPr="00141A4D">
              <w:rPr>
                <w:lang w:val="en-AU"/>
              </w:rPr>
              <w:t>Average</w:t>
            </w:r>
          </w:p>
        </w:tc>
      </w:tr>
      <w:tr w:rsidR="00F81C13" w:rsidRPr="00141A4D" w14:paraId="480AD3DB" w14:textId="77777777" w:rsidTr="00A3448B">
        <w:tc>
          <w:tcPr>
            <w:tcW w:w="694" w:type="dxa"/>
          </w:tcPr>
          <w:p w14:paraId="765734D2" w14:textId="77777777" w:rsidR="00F81C13" w:rsidRPr="00141A4D" w:rsidRDefault="00F81C13" w:rsidP="00A3448B">
            <w:pPr>
              <w:pStyle w:val="VCAAtablecondensed"/>
              <w:rPr>
                <w:lang w:val="en-AU"/>
              </w:rPr>
            </w:pPr>
            <w:r w:rsidRPr="00141A4D">
              <w:rPr>
                <w:lang w:val="en-AU"/>
              </w:rPr>
              <w:t>%</w:t>
            </w:r>
          </w:p>
        </w:tc>
        <w:tc>
          <w:tcPr>
            <w:tcW w:w="506" w:type="dxa"/>
          </w:tcPr>
          <w:p w14:paraId="0A9244BE" w14:textId="0762E8E7" w:rsidR="00F81C13" w:rsidRPr="00141A4D" w:rsidRDefault="00E41D7A" w:rsidP="00A3448B">
            <w:pPr>
              <w:pStyle w:val="VCAAtablecondensed"/>
              <w:rPr>
                <w:lang w:val="en-AU"/>
              </w:rPr>
            </w:pPr>
            <w:r>
              <w:rPr>
                <w:lang w:val="en-AU"/>
              </w:rPr>
              <w:t>0</w:t>
            </w:r>
          </w:p>
        </w:tc>
        <w:tc>
          <w:tcPr>
            <w:tcW w:w="501" w:type="dxa"/>
          </w:tcPr>
          <w:p w14:paraId="2863E898" w14:textId="131A1152" w:rsidR="00F81C13" w:rsidRPr="00141A4D" w:rsidRDefault="00E41D7A" w:rsidP="00A3448B">
            <w:pPr>
              <w:pStyle w:val="VCAAtablecondensed"/>
              <w:rPr>
                <w:lang w:val="en-AU"/>
              </w:rPr>
            </w:pPr>
            <w:r>
              <w:rPr>
                <w:lang w:val="en-AU"/>
              </w:rPr>
              <w:t>0</w:t>
            </w:r>
          </w:p>
        </w:tc>
        <w:tc>
          <w:tcPr>
            <w:tcW w:w="509" w:type="dxa"/>
          </w:tcPr>
          <w:p w14:paraId="1BDED235" w14:textId="79585960" w:rsidR="00F81C13" w:rsidRPr="00141A4D" w:rsidRDefault="00E41D7A" w:rsidP="00A3448B">
            <w:pPr>
              <w:pStyle w:val="VCAAtablecondensed"/>
              <w:rPr>
                <w:lang w:val="en-AU"/>
              </w:rPr>
            </w:pPr>
            <w:r>
              <w:rPr>
                <w:lang w:val="en-AU"/>
              </w:rPr>
              <w:t>1</w:t>
            </w:r>
          </w:p>
        </w:tc>
        <w:tc>
          <w:tcPr>
            <w:tcW w:w="505" w:type="dxa"/>
          </w:tcPr>
          <w:p w14:paraId="4E32FD91" w14:textId="247BB601" w:rsidR="00F81C13" w:rsidRPr="00141A4D" w:rsidRDefault="00E41D7A" w:rsidP="00A3448B">
            <w:pPr>
              <w:pStyle w:val="VCAAtablecondensed"/>
              <w:rPr>
                <w:lang w:val="en-AU"/>
              </w:rPr>
            </w:pPr>
            <w:r>
              <w:rPr>
                <w:lang w:val="en-AU"/>
              </w:rPr>
              <w:t>2</w:t>
            </w:r>
          </w:p>
        </w:tc>
        <w:tc>
          <w:tcPr>
            <w:tcW w:w="545" w:type="dxa"/>
          </w:tcPr>
          <w:p w14:paraId="15367400" w14:textId="50DA649C" w:rsidR="00F81C13" w:rsidRPr="00141A4D" w:rsidRDefault="00E41D7A" w:rsidP="00A3448B">
            <w:pPr>
              <w:pStyle w:val="VCAAtablecondensed"/>
              <w:rPr>
                <w:lang w:val="en-AU"/>
              </w:rPr>
            </w:pPr>
            <w:r>
              <w:rPr>
                <w:lang w:val="en-AU"/>
              </w:rPr>
              <w:t>8</w:t>
            </w:r>
          </w:p>
        </w:tc>
        <w:tc>
          <w:tcPr>
            <w:tcW w:w="567" w:type="dxa"/>
          </w:tcPr>
          <w:p w14:paraId="650CF30C" w14:textId="4E421FAA" w:rsidR="00F81C13" w:rsidRDefault="00E41D7A" w:rsidP="00A3448B">
            <w:pPr>
              <w:pStyle w:val="VCAAtablecondensed"/>
              <w:rPr>
                <w:lang w:val="en-AU"/>
              </w:rPr>
            </w:pPr>
            <w:r>
              <w:rPr>
                <w:lang w:val="en-AU"/>
              </w:rPr>
              <w:t>10</w:t>
            </w:r>
          </w:p>
        </w:tc>
        <w:tc>
          <w:tcPr>
            <w:tcW w:w="567" w:type="dxa"/>
          </w:tcPr>
          <w:p w14:paraId="3CD50567" w14:textId="20932319" w:rsidR="00F81C13" w:rsidRDefault="00E41D7A" w:rsidP="00A3448B">
            <w:pPr>
              <w:pStyle w:val="VCAAtablecondensed"/>
              <w:rPr>
                <w:lang w:val="en-AU"/>
              </w:rPr>
            </w:pPr>
            <w:r>
              <w:rPr>
                <w:lang w:val="en-AU"/>
              </w:rPr>
              <w:t>20</w:t>
            </w:r>
          </w:p>
        </w:tc>
        <w:tc>
          <w:tcPr>
            <w:tcW w:w="567" w:type="dxa"/>
          </w:tcPr>
          <w:p w14:paraId="533D056D" w14:textId="75E9B51E" w:rsidR="00F81C13" w:rsidRDefault="00E41D7A" w:rsidP="00A3448B">
            <w:pPr>
              <w:pStyle w:val="VCAAtablecondensed"/>
              <w:rPr>
                <w:lang w:val="en-AU"/>
              </w:rPr>
            </w:pPr>
            <w:r>
              <w:rPr>
                <w:lang w:val="en-AU"/>
              </w:rPr>
              <w:t>25</w:t>
            </w:r>
          </w:p>
        </w:tc>
        <w:tc>
          <w:tcPr>
            <w:tcW w:w="567" w:type="dxa"/>
          </w:tcPr>
          <w:p w14:paraId="67060B99" w14:textId="76BEA687" w:rsidR="00F81C13" w:rsidRDefault="00E41D7A" w:rsidP="00A3448B">
            <w:pPr>
              <w:pStyle w:val="VCAAtablecondensed"/>
              <w:rPr>
                <w:lang w:val="en-AU"/>
              </w:rPr>
            </w:pPr>
            <w:r>
              <w:rPr>
                <w:lang w:val="en-AU"/>
              </w:rPr>
              <w:t>19</w:t>
            </w:r>
          </w:p>
        </w:tc>
        <w:tc>
          <w:tcPr>
            <w:tcW w:w="567" w:type="dxa"/>
          </w:tcPr>
          <w:p w14:paraId="6DF7E716" w14:textId="629F984D" w:rsidR="00F81C13" w:rsidRDefault="00E41D7A" w:rsidP="00A3448B">
            <w:pPr>
              <w:pStyle w:val="VCAAtablecondensed"/>
              <w:rPr>
                <w:lang w:val="en-AU"/>
              </w:rPr>
            </w:pPr>
            <w:r>
              <w:rPr>
                <w:lang w:val="en-AU"/>
              </w:rPr>
              <w:t>12</w:t>
            </w:r>
          </w:p>
        </w:tc>
        <w:tc>
          <w:tcPr>
            <w:tcW w:w="567" w:type="dxa"/>
          </w:tcPr>
          <w:p w14:paraId="5A693685" w14:textId="18E2FD0F" w:rsidR="00F81C13" w:rsidRDefault="00E41D7A" w:rsidP="00A3448B">
            <w:pPr>
              <w:pStyle w:val="VCAAtablecondensed"/>
              <w:rPr>
                <w:lang w:val="en-AU"/>
              </w:rPr>
            </w:pPr>
            <w:r>
              <w:rPr>
                <w:lang w:val="en-AU"/>
              </w:rPr>
              <w:t>3</w:t>
            </w:r>
          </w:p>
        </w:tc>
        <w:tc>
          <w:tcPr>
            <w:tcW w:w="993" w:type="dxa"/>
          </w:tcPr>
          <w:p w14:paraId="115D6C27" w14:textId="029BD16D" w:rsidR="00F81C13" w:rsidRPr="00141A4D" w:rsidRDefault="00E41D7A" w:rsidP="00A3448B">
            <w:pPr>
              <w:pStyle w:val="VCAAtablecondensed"/>
              <w:rPr>
                <w:lang w:val="en-AU"/>
              </w:rPr>
            </w:pPr>
            <w:r>
              <w:rPr>
                <w:lang w:val="en-AU"/>
              </w:rPr>
              <w:t>6.7</w:t>
            </w:r>
          </w:p>
        </w:tc>
      </w:tr>
    </w:tbl>
    <w:p w14:paraId="3177E3F3" w14:textId="6DD61917" w:rsidR="003A156E" w:rsidRPr="003A156E" w:rsidRDefault="003A156E" w:rsidP="00B038C5">
      <w:pPr>
        <w:pStyle w:val="VCAAbody"/>
      </w:pPr>
      <w:r w:rsidRPr="003A156E">
        <w:t>Critical analysis distinguished higher-achieving students from mid-level</w:t>
      </w:r>
      <w:r w:rsidR="00C60138">
        <w:t xml:space="preserve"> students</w:t>
      </w:r>
      <w:r w:rsidRPr="003A156E">
        <w:t xml:space="preserve">. The ability to </w:t>
      </w:r>
      <w:r w:rsidR="00C60138" w:rsidRPr="003A156E">
        <w:t xml:space="preserve">critically </w:t>
      </w:r>
      <w:r w:rsidRPr="003A156E">
        <w:t xml:space="preserve">engage with their own work and the relevant academic literature </w:t>
      </w:r>
      <w:r w:rsidR="00E46E10" w:rsidRPr="003A156E">
        <w:t xml:space="preserve">consistently </w:t>
      </w:r>
      <w:r w:rsidRPr="003A156E">
        <w:t>demonstrated a student’s command of the</w:t>
      </w:r>
      <w:r w:rsidR="00337F8B">
        <w:t>ir</w:t>
      </w:r>
      <w:r w:rsidRPr="003A156E">
        <w:t xml:space="preserve"> </w:t>
      </w:r>
      <w:r w:rsidR="00337F8B">
        <w:t>re</w:t>
      </w:r>
      <w:r w:rsidRPr="003A156E">
        <w:t>s</w:t>
      </w:r>
      <w:r w:rsidR="00337F8B">
        <w:t>earch area</w:t>
      </w:r>
      <w:r w:rsidRPr="003A156E">
        <w:t xml:space="preserve"> and their capacity to establish connections across different areas of knowledge. Students who excelled in this criterion were able to identify and highlight the most significant trends in existing research, effectively linking them to their own research question. In contrast, students who were still refining their critical analysis tended to address pieces of literature in isolation, often providing more descriptive summaries of key concepts rather than critically engaging with them.</w:t>
      </w:r>
    </w:p>
    <w:p w14:paraId="5F709DF8" w14:textId="7F17D0E9" w:rsidR="003A156E" w:rsidRPr="003A156E" w:rsidRDefault="003A156E" w:rsidP="00B038C5">
      <w:pPr>
        <w:pStyle w:val="VCAAbody"/>
      </w:pPr>
      <w:r w:rsidRPr="003A156E">
        <w:t>The development of a student’s critical thinking abilities, nurtured throughout the</w:t>
      </w:r>
      <w:r w:rsidR="00E46E10">
        <w:t xml:space="preserve"> VCE</w:t>
      </w:r>
      <w:r w:rsidRPr="003A156E">
        <w:t xml:space="preserve"> Extended Investigation year, was clearly reflected in this criterion. Those who successfully applied the critical thinking skills from Unit</w:t>
      </w:r>
      <w:r w:rsidR="00B80834">
        <w:t> </w:t>
      </w:r>
      <w:r w:rsidRPr="003A156E">
        <w:t xml:space="preserve">3 Area of Study 3 to their research achieved the highest marks. </w:t>
      </w:r>
      <w:r w:rsidR="003279D8">
        <w:t>Higher-scoring</w:t>
      </w:r>
      <w:r w:rsidRPr="003A156E">
        <w:t xml:space="preserve"> students not only assess</w:t>
      </w:r>
      <w:r w:rsidR="00C60138">
        <w:t>ed</w:t>
      </w:r>
      <w:r w:rsidRPr="003A156E">
        <w:t xml:space="preserve"> arguments and evidence in the earlier sections of their report but </w:t>
      </w:r>
      <w:r w:rsidR="00C60138">
        <w:t xml:space="preserve">also </w:t>
      </w:r>
      <w:r w:rsidRPr="003A156E">
        <w:t xml:space="preserve">continued this analytical approach in the discussion of their findings. They drew meaningful connections between their own results and existing </w:t>
      </w:r>
      <w:proofErr w:type="gramStart"/>
      <w:r w:rsidRPr="003A156E">
        <w:t xml:space="preserve">research, </w:t>
      </w:r>
      <w:r w:rsidR="00C60138">
        <w:t>and</w:t>
      </w:r>
      <w:proofErr w:type="gramEnd"/>
      <w:r w:rsidR="00C60138">
        <w:t xml:space="preserve"> used</w:t>
      </w:r>
      <w:r w:rsidR="00C60138" w:rsidRPr="003A156E">
        <w:t xml:space="preserve"> </w:t>
      </w:r>
      <w:r w:rsidRPr="003A156E">
        <w:t>these insights to explore potential explanations for their findings or to identify avenues for further investigation.</w:t>
      </w:r>
    </w:p>
    <w:p w14:paraId="49FBE8EB" w14:textId="604D3444" w:rsidR="00A64FD7" w:rsidRPr="00F56CF7" w:rsidRDefault="00663B2C" w:rsidP="00B80834">
      <w:pPr>
        <w:pStyle w:val="VCAAHeading3"/>
      </w:pPr>
      <w:r w:rsidRPr="00F56CF7">
        <w:lastRenderedPageBreak/>
        <w:t xml:space="preserve">Criterion </w:t>
      </w:r>
      <w:r w:rsidR="00A64FD7" w:rsidRPr="00F56CF7">
        <w:t xml:space="preserve">3 </w:t>
      </w:r>
      <w:r w:rsidR="0041444B" w:rsidRPr="00F56CF7">
        <w:t>–</w:t>
      </w:r>
      <w:r w:rsidR="00A64FD7" w:rsidRPr="00F56CF7">
        <w:t xml:space="preserve"> Response to the </w:t>
      </w:r>
      <w:r w:rsidR="007E66A2" w:rsidRPr="00F56CF7">
        <w:t>r</w:t>
      </w:r>
      <w:r w:rsidR="00A64FD7" w:rsidRPr="00F56CF7">
        <w:t xml:space="preserve">esearch </w:t>
      </w:r>
      <w:r w:rsidR="007E66A2" w:rsidRPr="00F56CF7">
        <w:t>q</w:t>
      </w:r>
      <w:r w:rsidR="00A64FD7" w:rsidRPr="00F56CF7">
        <w:t>uestion</w:t>
      </w:r>
    </w:p>
    <w:tbl>
      <w:tblPr>
        <w:tblStyle w:val="VCAATableClosed"/>
        <w:tblW w:w="0" w:type="auto"/>
        <w:tblInd w:w="-5" w:type="dxa"/>
        <w:tblLayout w:type="fixed"/>
        <w:tblLook w:val="04A0" w:firstRow="1" w:lastRow="0" w:firstColumn="1" w:lastColumn="0" w:noHBand="0" w:noVBand="1"/>
      </w:tblPr>
      <w:tblGrid>
        <w:gridCol w:w="694"/>
        <w:gridCol w:w="506"/>
        <w:gridCol w:w="501"/>
        <w:gridCol w:w="509"/>
        <w:gridCol w:w="505"/>
        <w:gridCol w:w="545"/>
        <w:gridCol w:w="567"/>
        <w:gridCol w:w="567"/>
        <w:gridCol w:w="567"/>
        <w:gridCol w:w="567"/>
        <w:gridCol w:w="567"/>
        <w:gridCol w:w="567"/>
        <w:gridCol w:w="993"/>
      </w:tblGrid>
      <w:tr w:rsidR="00F81C13" w:rsidRPr="00141A4D" w14:paraId="36852718" w14:textId="77777777" w:rsidTr="00A3448B">
        <w:trPr>
          <w:cnfStyle w:val="100000000000" w:firstRow="1" w:lastRow="0" w:firstColumn="0" w:lastColumn="0" w:oddVBand="0" w:evenVBand="0" w:oddHBand="0" w:evenHBand="0" w:firstRowFirstColumn="0" w:firstRowLastColumn="0" w:lastRowFirstColumn="0" w:lastRowLastColumn="0"/>
        </w:trPr>
        <w:tc>
          <w:tcPr>
            <w:tcW w:w="694" w:type="dxa"/>
          </w:tcPr>
          <w:p w14:paraId="5DFE9ECF" w14:textId="77777777" w:rsidR="00F81C13" w:rsidRPr="00141A4D" w:rsidRDefault="00F81C13" w:rsidP="00A3448B">
            <w:pPr>
              <w:pStyle w:val="VCAAtablecondensedheading"/>
              <w:rPr>
                <w:lang w:val="en-AU"/>
              </w:rPr>
            </w:pPr>
            <w:r w:rsidRPr="00141A4D">
              <w:rPr>
                <w:lang w:val="en-AU"/>
              </w:rPr>
              <w:t>Mark</w:t>
            </w:r>
          </w:p>
        </w:tc>
        <w:tc>
          <w:tcPr>
            <w:tcW w:w="506" w:type="dxa"/>
          </w:tcPr>
          <w:p w14:paraId="0C1F54DA" w14:textId="77777777" w:rsidR="00F81C13" w:rsidRPr="00141A4D" w:rsidRDefault="00F81C13" w:rsidP="00A3448B">
            <w:pPr>
              <w:pStyle w:val="VCAAtablecondensedheading"/>
              <w:rPr>
                <w:lang w:val="en-AU"/>
              </w:rPr>
            </w:pPr>
            <w:r w:rsidRPr="00141A4D">
              <w:rPr>
                <w:lang w:val="en-AU"/>
              </w:rPr>
              <w:t>0</w:t>
            </w:r>
          </w:p>
        </w:tc>
        <w:tc>
          <w:tcPr>
            <w:tcW w:w="501" w:type="dxa"/>
          </w:tcPr>
          <w:p w14:paraId="2906E705" w14:textId="77777777" w:rsidR="00F81C13" w:rsidRPr="00141A4D" w:rsidRDefault="00F81C13" w:rsidP="00A3448B">
            <w:pPr>
              <w:pStyle w:val="VCAAtablecondensedheading"/>
              <w:rPr>
                <w:lang w:val="en-AU"/>
              </w:rPr>
            </w:pPr>
            <w:r w:rsidRPr="00141A4D">
              <w:rPr>
                <w:lang w:val="en-AU"/>
              </w:rPr>
              <w:t>1</w:t>
            </w:r>
          </w:p>
        </w:tc>
        <w:tc>
          <w:tcPr>
            <w:tcW w:w="509" w:type="dxa"/>
          </w:tcPr>
          <w:p w14:paraId="08D96AA9" w14:textId="77777777" w:rsidR="00F81C13" w:rsidRPr="00141A4D" w:rsidRDefault="00F81C13" w:rsidP="00A3448B">
            <w:pPr>
              <w:pStyle w:val="VCAAtablecondensedheading"/>
              <w:rPr>
                <w:lang w:val="en-AU"/>
              </w:rPr>
            </w:pPr>
            <w:r w:rsidRPr="00141A4D">
              <w:rPr>
                <w:lang w:val="en-AU"/>
              </w:rPr>
              <w:t>2</w:t>
            </w:r>
          </w:p>
        </w:tc>
        <w:tc>
          <w:tcPr>
            <w:tcW w:w="505" w:type="dxa"/>
          </w:tcPr>
          <w:p w14:paraId="17DD7F95" w14:textId="77777777" w:rsidR="00F81C13" w:rsidRPr="00141A4D" w:rsidRDefault="00F81C13" w:rsidP="00A3448B">
            <w:pPr>
              <w:pStyle w:val="VCAAtablecondensedheading"/>
              <w:rPr>
                <w:lang w:val="en-AU"/>
              </w:rPr>
            </w:pPr>
            <w:r w:rsidRPr="00141A4D">
              <w:rPr>
                <w:lang w:val="en-AU"/>
              </w:rPr>
              <w:t>3</w:t>
            </w:r>
          </w:p>
        </w:tc>
        <w:tc>
          <w:tcPr>
            <w:tcW w:w="545" w:type="dxa"/>
          </w:tcPr>
          <w:p w14:paraId="277434B9" w14:textId="77777777" w:rsidR="00F81C13" w:rsidRPr="00141A4D" w:rsidRDefault="00F81C13" w:rsidP="00A3448B">
            <w:pPr>
              <w:pStyle w:val="VCAAtablecondensedheading"/>
              <w:rPr>
                <w:lang w:val="en-AU"/>
              </w:rPr>
            </w:pPr>
            <w:r w:rsidRPr="00141A4D">
              <w:rPr>
                <w:lang w:val="en-AU"/>
              </w:rPr>
              <w:t>4</w:t>
            </w:r>
          </w:p>
        </w:tc>
        <w:tc>
          <w:tcPr>
            <w:tcW w:w="567" w:type="dxa"/>
          </w:tcPr>
          <w:p w14:paraId="30175C86" w14:textId="77777777" w:rsidR="00F81C13" w:rsidRPr="00141A4D" w:rsidRDefault="00F81C13" w:rsidP="00A3448B">
            <w:pPr>
              <w:pStyle w:val="VCAAtablecondensedheading"/>
              <w:rPr>
                <w:lang w:val="en-AU"/>
              </w:rPr>
            </w:pPr>
            <w:r>
              <w:rPr>
                <w:lang w:val="en-AU"/>
              </w:rPr>
              <w:t>5</w:t>
            </w:r>
          </w:p>
        </w:tc>
        <w:tc>
          <w:tcPr>
            <w:tcW w:w="567" w:type="dxa"/>
          </w:tcPr>
          <w:p w14:paraId="0B4546D1" w14:textId="77777777" w:rsidR="00F81C13" w:rsidRPr="00141A4D" w:rsidRDefault="00F81C13" w:rsidP="00A3448B">
            <w:pPr>
              <w:pStyle w:val="VCAAtablecondensedheading"/>
              <w:rPr>
                <w:lang w:val="en-AU"/>
              </w:rPr>
            </w:pPr>
            <w:r>
              <w:rPr>
                <w:lang w:val="en-AU"/>
              </w:rPr>
              <w:t>6</w:t>
            </w:r>
          </w:p>
        </w:tc>
        <w:tc>
          <w:tcPr>
            <w:tcW w:w="567" w:type="dxa"/>
          </w:tcPr>
          <w:p w14:paraId="7BBA73FF" w14:textId="77777777" w:rsidR="00F81C13" w:rsidRPr="00141A4D" w:rsidRDefault="00F81C13" w:rsidP="00A3448B">
            <w:pPr>
              <w:pStyle w:val="VCAAtablecondensedheading"/>
              <w:rPr>
                <w:lang w:val="en-AU"/>
              </w:rPr>
            </w:pPr>
            <w:r>
              <w:rPr>
                <w:lang w:val="en-AU"/>
              </w:rPr>
              <w:t>7</w:t>
            </w:r>
          </w:p>
        </w:tc>
        <w:tc>
          <w:tcPr>
            <w:tcW w:w="567" w:type="dxa"/>
          </w:tcPr>
          <w:p w14:paraId="3B01070E" w14:textId="77777777" w:rsidR="00F81C13" w:rsidRPr="00141A4D" w:rsidRDefault="00F81C13" w:rsidP="00A3448B">
            <w:pPr>
              <w:pStyle w:val="VCAAtablecondensedheading"/>
              <w:rPr>
                <w:lang w:val="en-AU"/>
              </w:rPr>
            </w:pPr>
            <w:r>
              <w:rPr>
                <w:lang w:val="en-AU"/>
              </w:rPr>
              <w:t>8</w:t>
            </w:r>
          </w:p>
        </w:tc>
        <w:tc>
          <w:tcPr>
            <w:tcW w:w="567" w:type="dxa"/>
          </w:tcPr>
          <w:p w14:paraId="31788305" w14:textId="77777777" w:rsidR="00F81C13" w:rsidRPr="00141A4D" w:rsidRDefault="00F81C13" w:rsidP="00A3448B">
            <w:pPr>
              <w:pStyle w:val="VCAAtablecondensedheading"/>
              <w:rPr>
                <w:lang w:val="en-AU"/>
              </w:rPr>
            </w:pPr>
            <w:r>
              <w:rPr>
                <w:lang w:val="en-AU"/>
              </w:rPr>
              <w:t>9</w:t>
            </w:r>
          </w:p>
        </w:tc>
        <w:tc>
          <w:tcPr>
            <w:tcW w:w="567" w:type="dxa"/>
          </w:tcPr>
          <w:p w14:paraId="774735F9" w14:textId="77777777" w:rsidR="00F81C13" w:rsidRPr="00141A4D" w:rsidRDefault="00F81C13" w:rsidP="00A3448B">
            <w:pPr>
              <w:pStyle w:val="VCAAtablecondensedheading"/>
              <w:rPr>
                <w:lang w:val="en-AU"/>
              </w:rPr>
            </w:pPr>
            <w:r>
              <w:rPr>
                <w:lang w:val="en-AU"/>
              </w:rPr>
              <w:t>10</w:t>
            </w:r>
          </w:p>
        </w:tc>
        <w:tc>
          <w:tcPr>
            <w:tcW w:w="993" w:type="dxa"/>
          </w:tcPr>
          <w:p w14:paraId="01EE8586" w14:textId="77777777" w:rsidR="00F81C13" w:rsidRPr="00141A4D" w:rsidRDefault="00F81C13" w:rsidP="00A3448B">
            <w:pPr>
              <w:pStyle w:val="VCAAtablecondensedheading"/>
              <w:rPr>
                <w:lang w:val="en-AU"/>
              </w:rPr>
            </w:pPr>
            <w:r w:rsidRPr="00141A4D">
              <w:rPr>
                <w:lang w:val="en-AU"/>
              </w:rPr>
              <w:t>Average</w:t>
            </w:r>
          </w:p>
        </w:tc>
      </w:tr>
      <w:tr w:rsidR="00F81C13" w:rsidRPr="00141A4D" w14:paraId="4F796973" w14:textId="77777777" w:rsidTr="00A3448B">
        <w:tc>
          <w:tcPr>
            <w:tcW w:w="694" w:type="dxa"/>
          </w:tcPr>
          <w:p w14:paraId="2D398D27" w14:textId="77777777" w:rsidR="00F81C13" w:rsidRPr="00141A4D" w:rsidRDefault="00F81C13" w:rsidP="00A3448B">
            <w:pPr>
              <w:pStyle w:val="VCAAtablecondensed"/>
              <w:rPr>
                <w:lang w:val="en-AU"/>
              </w:rPr>
            </w:pPr>
            <w:r w:rsidRPr="00141A4D">
              <w:rPr>
                <w:lang w:val="en-AU"/>
              </w:rPr>
              <w:t>%</w:t>
            </w:r>
          </w:p>
        </w:tc>
        <w:tc>
          <w:tcPr>
            <w:tcW w:w="506" w:type="dxa"/>
          </w:tcPr>
          <w:p w14:paraId="13E8DBF3" w14:textId="48DD49A0" w:rsidR="00F81C13" w:rsidRPr="00141A4D" w:rsidRDefault="00E41D7A" w:rsidP="00A3448B">
            <w:pPr>
              <w:pStyle w:val="VCAAtablecondensed"/>
              <w:rPr>
                <w:lang w:val="en-AU"/>
              </w:rPr>
            </w:pPr>
            <w:r>
              <w:rPr>
                <w:lang w:val="en-AU"/>
              </w:rPr>
              <w:t>0</w:t>
            </w:r>
          </w:p>
        </w:tc>
        <w:tc>
          <w:tcPr>
            <w:tcW w:w="501" w:type="dxa"/>
          </w:tcPr>
          <w:p w14:paraId="674AB764" w14:textId="4A1C5FDE" w:rsidR="00F81C13" w:rsidRPr="00141A4D" w:rsidRDefault="00E41D7A" w:rsidP="00A3448B">
            <w:pPr>
              <w:pStyle w:val="VCAAtablecondensed"/>
              <w:rPr>
                <w:lang w:val="en-AU"/>
              </w:rPr>
            </w:pPr>
            <w:r>
              <w:rPr>
                <w:lang w:val="en-AU"/>
              </w:rPr>
              <w:t>0</w:t>
            </w:r>
          </w:p>
        </w:tc>
        <w:tc>
          <w:tcPr>
            <w:tcW w:w="509" w:type="dxa"/>
          </w:tcPr>
          <w:p w14:paraId="386A676C" w14:textId="05CA29AF" w:rsidR="00F81C13" w:rsidRPr="00141A4D" w:rsidRDefault="00E41D7A" w:rsidP="00A3448B">
            <w:pPr>
              <w:pStyle w:val="VCAAtablecondensed"/>
              <w:rPr>
                <w:lang w:val="en-AU"/>
              </w:rPr>
            </w:pPr>
            <w:r>
              <w:rPr>
                <w:lang w:val="en-AU"/>
              </w:rPr>
              <w:t>0</w:t>
            </w:r>
          </w:p>
        </w:tc>
        <w:tc>
          <w:tcPr>
            <w:tcW w:w="505" w:type="dxa"/>
          </w:tcPr>
          <w:p w14:paraId="650E69E2" w14:textId="3942F9E2" w:rsidR="00F81C13" w:rsidRPr="00141A4D" w:rsidRDefault="00E41D7A" w:rsidP="00A3448B">
            <w:pPr>
              <w:pStyle w:val="VCAAtablecondensed"/>
              <w:rPr>
                <w:lang w:val="en-AU"/>
              </w:rPr>
            </w:pPr>
            <w:r>
              <w:rPr>
                <w:lang w:val="en-AU"/>
              </w:rPr>
              <w:t>4</w:t>
            </w:r>
          </w:p>
        </w:tc>
        <w:tc>
          <w:tcPr>
            <w:tcW w:w="545" w:type="dxa"/>
          </w:tcPr>
          <w:p w14:paraId="7500E029" w14:textId="36A0CE93" w:rsidR="00F81C13" w:rsidRPr="00141A4D" w:rsidRDefault="00E41D7A" w:rsidP="00A3448B">
            <w:pPr>
              <w:pStyle w:val="VCAAtablecondensed"/>
              <w:rPr>
                <w:lang w:val="en-AU"/>
              </w:rPr>
            </w:pPr>
            <w:r>
              <w:rPr>
                <w:lang w:val="en-AU"/>
              </w:rPr>
              <w:t>6</w:t>
            </w:r>
          </w:p>
        </w:tc>
        <w:tc>
          <w:tcPr>
            <w:tcW w:w="567" w:type="dxa"/>
          </w:tcPr>
          <w:p w14:paraId="3DA475A9" w14:textId="3BD99D18" w:rsidR="00F81C13" w:rsidRDefault="00E41D7A" w:rsidP="00A3448B">
            <w:pPr>
              <w:pStyle w:val="VCAAtablecondensed"/>
              <w:rPr>
                <w:lang w:val="en-AU"/>
              </w:rPr>
            </w:pPr>
            <w:r>
              <w:rPr>
                <w:lang w:val="en-AU"/>
              </w:rPr>
              <w:t>12</w:t>
            </w:r>
          </w:p>
        </w:tc>
        <w:tc>
          <w:tcPr>
            <w:tcW w:w="567" w:type="dxa"/>
          </w:tcPr>
          <w:p w14:paraId="6942BC78" w14:textId="66E283D3" w:rsidR="00F81C13" w:rsidRDefault="00E41D7A" w:rsidP="00A3448B">
            <w:pPr>
              <w:pStyle w:val="VCAAtablecondensed"/>
              <w:rPr>
                <w:lang w:val="en-AU"/>
              </w:rPr>
            </w:pPr>
            <w:r>
              <w:rPr>
                <w:lang w:val="en-AU"/>
              </w:rPr>
              <w:t>20</w:t>
            </w:r>
          </w:p>
        </w:tc>
        <w:tc>
          <w:tcPr>
            <w:tcW w:w="567" w:type="dxa"/>
          </w:tcPr>
          <w:p w14:paraId="40452CE6" w14:textId="2CC54A9A" w:rsidR="00F81C13" w:rsidRDefault="00E41D7A" w:rsidP="00A3448B">
            <w:pPr>
              <w:pStyle w:val="VCAAtablecondensed"/>
              <w:rPr>
                <w:lang w:val="en-AU"/>
              </w:rPr>
            </w:pPr>
            <w:r>
              <w:rPr>
                <w:lang w:val="en-AU"/>
              </w:rPr>
              <w:t>23</w:t>
            </w:r>
          </w:p>
        </w:tc>
        <w:tc>
          <w:tcPr>
            <w:tcW w:w="567" w:type="dxa"/>
          </w:tcPr>
          <w:p w14:paraId="38D83D36" w14:textId="362C32FF" w:rsidR="00F81C13" w:rsidRDefault="00E41D7A" w:rsidP="00A3448B">
            <w:pPr>
              <w:pStyle w:val="VCAAtablecondensed"/>
              <w:rPr>
                <w:lang w:val="en-AU"/>
              </w:rPr>
            </w:pPr>
            <w:r>
              <w:rPr>
                <w:lang w:val="en-AU"/>
              </w:rPr>
              <w:t>21</w:t>
            </w:r>
          </w:p>
        </w:tc>
        <w:tc>
          <w:tcPr>
            <w:tcW w:w="567" w:type="dxa"/>
          </w:tcPr>
          <w:p w14:paraId="5AB1094C" w14:textId="7804DB59" w:rsidR="00F81C13" w:rsidRDefault="00E41D7A" w:rsidP="00A3448B">
            <w:pPr>
              <w:pStyle w:val="VCAAtablecondensed"/>
              <w:rPr>
                <w:lang w:val="en-AU"/>
              </w:rPr>
            </w:pPr>
            <w:r>
              <w:rPr>
                <w:lang w:val="en-AU"/>
              </w:rPr>
              <w:t>12</w:t>
            </w:r>
          </w:p>
        </w:tc>
        <w:tc>
          <w:tcPr>
            <w:tcW w:w="567" w:type="dxa"/>
          </w:tcPr>
          <w:p w14:paraId="54BE89CA" w14:textId="50B01ED2" w:rsidR="00F81C13" w:rsidRDefault="00E41D7A" w:rsidP="00A3448B">
            <w:pPr>
              <w:pStyle w:val="VCAAtablecondensed"/>
              <w:rPr>
                <w:lang w:val="en-AU"/>
              </w:rPr>
            </w:pPr>
            <w:r>
              <w:rPr>
                <w:lang w:val="en-AU"/>
              </w:rPr>
              <w:t>3</w:t>
            </w:r>
          </w:p>
        </w:tc>
        <w:tc>
          <w:tcPr>
            <w:tcW w:w="993" w:type="dxa"/>
          </w:tcPr>
          <w:p w14:paraId="2CB8FAC7" w14:textId="46BB2A5C" w:rsidR="00F81C13" w:rsidRPr="00141A4D" w:rsidRDefault="0008105D" w:rsidP="00A3448B">
            <w:pPr>
              <w:pStyle w:val="VCAAtablecondensed"/>
              <w:rPr>
                <w:lang w:val="en-AU"/>
              </w:rPr>
            </w:pPr>
            <w:r>
              <w:rPr>
                <w:lang w:val="en-AU"/>
              </w:rPr>
              <w:t>6.8</w:t>
            </w:r>
          </w:p>
        </w:tc>
      </w:tr>
    </w:tbl>
    <w:p w14:paraId="1D43C6DD" w14:textId="498D6EC2" w:rsidR="003A156E" w:rsidRPr="003A156E" w:rsidRDefault="003A156E" w:rsidP="00B038C5">
      <w:pPr>
        <w:pStyle w:val="VCAAbody"/>
      </w:pPr>
      <w:r w:rsidRPr="003A156E">
        <w:t xml:space="preserve">The central research question is fundamental to each investigation, and students </w:t>
      </w:r>
      <w:r w:rsidR="00F53D91">
        <w:t>were</w:t>
      </w:r>
      <w:r w:rsidRPr="003A156E">
        <w:t xml:space="preserve"> expected to continually refine and deepen their understanding of it throughout the course of their work. Some students would have benefited from </w:t>
      </w:r>
      <w:r w:rsidR="007323D9">
        <w:t>tightening the scope of</w:t>
      </w:r>
      <w:r w:rsidR="00F216D9">
        <w:t xml:space="preserve"> their questions so that they had</w:t>
      </w:r>
      <w:r w:rsidRPr="003A156E">
        <w:t xml:space="preserve"> fewer </w:t>
      </w:r>
      <w:proofErr w:type="gramStart"/>
      <w:r w:rsidRPr="003A156E">
        <w:t>variables, or</w:t>
      </w:r>
      <w:proofErr w:type="gramEnd"/>
      <w:r w:rsidRPr="003A156E">
        <w:t xml:space="preserve"> </w:t>
      </w:r>
      <w:r w:rsidR="00F216D9">
        <w:t xml:space="preserve">were </w:t>
      </w:r>
      <w:proofErr w:type="spellStart"/>
      <w:r w:rsidRPr="003A156E">
        <w:t>centred</w:t>
      </w:r>
      <w:proofErr w:type="spellEnd"/>
      <w:r w:rsidRPr="003A156E">
        <w:t xml:space="preserve"> on a single core idea rather than addressing multiple components. </w:t>
      </w:r>
      <w:r w:rsidR="00337F8B">
        <w:t>Of</w:t>
      </w:r>
      <w:r w:rsidRPr="003A156E">
        <w:t xml:space="preserve"> particular concern </w:t>
      </w:r>
      <w:r w:rsidR="00F216D9">
        <w:t>were reports where students</w:t>
      </w:r>
      <w:r w:rsidRPr="003A156E">
        <w:t xml:space="preserve"> identifi</w:t>
      </w:r>
      <w:r w:rsidR="00F216D9">
        <w:t xml:space="preserve">ed </w:t>
      </w:r>
      <w:r w:rsidRPr="003A156E">
        <w:t>two distinct research questions, which led to confusion and hindered clarity in the methodology and depth of understanding within the field.</w:t>
      </w:r>
    </w:p>
    <w:p w14:paraId="77C6224F" w14:textId="25D8D110" w:rsidR="00F53D91" w:rsidRDefault="004C5134" w:rsidP="00B038C5">
      <w:pPr>
        <w:pStyle w:val="VCAAbody"/>
      </w:pPr>
      <w:r>
        <w:t>M</w:t>
      </w:r>
      <w:r w:rsidR="00053578" w:rsidRPr="00053578">
        <w:t xml:space="preserve">any students </w:t>
      </w:r>
      <w:r w:rsidR="0004454C">
        <w:t>describ</w:t>
      </w:r>
      <w:r>
        <w:t>ed</w:t>
      </w:r>
      <w:r w:rsidR="00053578" w:rsidRPr="00053578">
        <w:t xml:space="preserve"> their methods</w:t>
      </w:r>
      <w:r w:rsidR="0004454C">
        <w:t xml:space="preserve"> in detail</w:t>
      </w:r>
      <w:r w:rsidR="00053578" w:rsidRPr="00053578">
        <w:t xml:space="preserve"> </w:t>
      </w:r>
      <w:r w:rsidR="0004454C">
        <w:t xml:space="preserve">without </w:t>
      </w:r>
      <w:r w:rsidR="00053578" w:rsidRPr="00053578">
        <w:t xml:space="preserve">the necessary critical analysis and justification. </w:t>
      </w:r>
      <w:r w:rsidR="0004454C">
        <w:t>S</w:t>
      </w:r>
      <w:r w:rsidR="00053578" w:rsidRPr="00053578">
        <w:t xml:space="preserve">tudents </w:t>
      </w:r>
      <w:r w:rsidR="0004454C">
        <w:t>must</w:t>
      </w:r>
      <w:r w:rsidR="0004454C" w:rsidRPr="00053578">
        <w:t xml:space="preserve"> </w:t>
      </w:r>
      <w:r w:rsidR="00053578" w:rsidRPr="00053578">
        <w:t xml:space="preserve">move beyond simply describing their chosen research methods and instead offer clear justifications for their methodological decisions. </w:t>
      </w:r>
      <w:r w:rsidR="00A148F0">
        <w:t>They</w:t>
      </w:r>
      <w:r w:rsidR="00A148F0" w:rsidRPr="00053578">
        <w:t xml:space="preserve"> </w:t>
      </w:r>
      <w:r w:rsidR="005F2874">
        <w:t>need to</w:t>
      </w:r>
      <w:r w:rsidR="005F2874" w:rsidRPr="00053578">
        <w:t xml:space="preserve"> </w:t>
      </w:r>
      <w:r w:rsidR="00053578" w:rsidRPr="00053578">
        <w:t xml:space="preserve">explain why specific methods, tools and approaches were selected, ensuring these choices are directly aligned with the research question and the aims of the investigation. The method section should not only detail the approach and data collection tools used but also critically assess their relevance in relation to existing research. </w:t>
      </w:r>
      <w:r w:rsidR="00A44B5C">
        <w:t>S</w:t>
      </w:r>
      <w:r w:rsidR="00053578" w:rsidRPr="00053578">
        <w:t>tudents can demonstrate a deeper understanding of their research design and its limitations</w:t>
      </w:r>
      <w:r w:rsidR="00A44B5C">
        <w:t xml:space="preserve"> by</w:t>
      </w:r>
      <w:r w:rsidR="00A44B5C" w:rsidRPr="00A44B5C">
        <w:t xml:space="preserve"> </w:t>
      </w:r>
      <w:r w:rsidR="00A44B5C" w:rsidRPr="00053578">
        <w:t>reflecting on the strengths and weaknesses of their chosen methodology</w:t>
      </w:r>
      <w:r w:rsidR="00053578" w:rsidRPr="00053578">
        <w:t xml:space="preserve">. Without this level of justification, reports risk lacking depth and students will continue to find it challenging to achieve high marks </w:t>
      </w:r>
      <w:r w:rsidR="005F2874">
        <w:t>for</w:t>
      </w:r>
      <w:r w:rsidR="00053578" w:rsidRPr="00053578">
        <w:t xml:space="preserve"> this criterion.</w:t>
      </w:r>
      <w:r w:rsidR="0008105D">
        <w:t xml:space="preserve"> </w:t>
      </w:r>
    </w:p>
    <w:p w14:paraId="062AE2A7" w14:textId="16419771" w:rsidR="003A156E" w:rsidRPr="003A156E" w:rsidRDefault="003A156E" w:rsidP="00B038C5">
      <w:pPr>
        <w:pStyle w:val="VCAAbody"/>
        <w:rPr>
          <w:lang w:val="en-AU"/>
        </w:rPr>
      </w:pPr>
      <w:r w:rsidRPr="003A156E">
        <w:rPr>
          <w:lang w:val="en-AU"/>
        </w:rPr>
        <w:t xml:space="preserve">A crucial aspect of this criterion is whether the chosen methodology aligns with the research question’s aims. Some reports indicated that the sample size or population was not matched </w:t>
      </w:r>
      <w:r w:rsidR="00A148F0">
        <w:rPr>
          <w:lang w:val="en-AU"/>
        </w:rPr>
        <w:t xml:space="preserve">well </w:t>
      </w:r>
      <w:r w:rsidRPr="003A156E">
        <w:rPr>
          <w:lang w:val="en-AU"/>
        </w:rPr>
        <w:t>to the research question</w:t>
      </w:r>
      <w:r w:rsidR="00A44B5C">
        <w:rPr>
          <w:lang w:val="en-AU"/>
        </w:rPr>
        <w:t>. S</w:t>
      </w:r>
      <w:r w:rsidRPr="003A156E">
        <w:rPr>
          <w:lang w:val="en-AU"/>
        </w:rPr>
        <w:t>mall sample sizes limit the scope for comprehensive data analysis and discussion. Students should therefore reflect consistently on how their methodological decisions will affect subsequent data analysis, the exploration of findings, and their ability to fully address the research question.</w:t>
      </w:r>
    </w:p>
    <w:p w14:paraId="2B4C9255" w14:textId="5D1C196D" w:rsidR="00A64FD7" w:rsidRPr="00F56CF7" w:rsidRDefault="008C3056" w:rsidP="00B80834">
      <w:pPr>
        <w:pStyle w:val="VCAAHeading3"/>
      </w:pPr>
      <w:r w:rsidRPr="00F56CF7">
        <w:t xml:space="preserve">Criterion </w:t>
      </w:r>
      <w:r w:rsidR="00A64FD7" w:rsidRPr="00F56CF7">
        <w:t xml:space="preserve">4 </w:t>
      </w:r>
      <w:r w:rsidR="0041444B" w:rsidRPr="00F56CF7">
        <w:t>–</w:t>
      </w:r>
      <w:r w:rsidR="00A64FD7" w:rsidRPr="00F56CF7">
        <w:t xml:space="preserve"> Synthesis of </w:t>
      </w:r>
      <w:r w:rsidR="008742F2" w:rsidRPr="00F56CF7">
        <w:t>f</w:t>
      </w:r>
      <w:r w:rsidR="00A64FD7" w:rsidRPr="00F56CF7">
        <w:t xml:space="preserve">indings and </w:t>
      </w:r>
      <w:r w:rsidR="008742F2" w:rsidRPr="00F56CF7">
        <w:t>e</w:t>
      </w:r>
      <w:r w:rsidR="00A64FD7" w:rsidRPr="00F56CF7">
        <w:t xml:space="preserve">valuation of the </w:t>
      </w:r>
      <w:r w:rsidR="008742F2" w:rsidRPr="00F56CF7">
        <w:t>i</w:t>
      </w:r>
      <w:r w:rsidR="00A64FD7" w:rsidRPr="00F56CF7">
        <w:t>nvestigation</w:t>
      </w:r>
    </w:p>
    <w:tbl>
      <w:tblPr>
        <w:tblStyle w:val="VCAATableClosed"/>
        <w:tblW w:w="0" w:type="auto"/>
        <w:tblInd w:w="-5" w:type="dxa"/>
        <w:tblLayout w:type="fixed"/>
        <w:tblLook w:val="04A0" w:firstRow="1" w:lastRow="0" w:firstColumn="1" w:lastColumn="0" w:noHBand="0" w:noVBand="1"/>
      </w:tblPr>
      <w:tblGrid>
        <w:gridCol w:w="694"/>
        <w:gridCol w:w="506"/>
        <w:gridCol w:w="501"/>
        <w:gridCol w:w="509"/>
        <w:gridCol w:w="505"/>
        <w:gridCol w:w="545"/>
        <w:gridCol w:w="567"/>
        <w:gridCol w:w="567"/>
        <w:gridCol w:w="567"/>
        <w:gridCol w:w="567"/>
        <w:gridCol w:w="567"/>
        <w:gridCol w:w="567"/>
        <w:gridCol w:w="993"/>
      </w:tblGrid>
      <w:tr w:rsidR="00F81C13" w:rsidRPr="00141A4D" w14:paraId="79F812A3" w14:textId="77777777" w:rsidTr="00A3448B">
        <w:trPr>
          <w:cnfStyle w:val="100000000000" w:firstRow="1" w:lastRow="0" w:firstColumn="0" w:lastColumn="0" w:oddVBand="0" w:evenVBand="0" w:oddHBand="0" w:evenHBand="0" w:firstRowFirstColumn="0" w:firstRowLastColumn="0" w:lastRowFirstColumn="0" w:lastRowLastColumn="0"/>
        </w:trPr>
        <w:tc>
          <w:tcPr>
            <w:tcW w:w="694" w:type="dxa"/>
          </w:tcPr>
          <w:p w14:paraId="28BC618D" w14:textId="77777777" w:rsidR="00F81C13" w:rsidRPr="00141A4D" w:rsidRDefault="00F81C13" w:rsidP="00A3448B">
            <w:pPr>
              <w:pStyle w:val="VCAAtablecondensedheading"/>
              <w:rPr>
                <w:lang w:val="en-AU"/>
              </w:rPr>
            </w:pPr>
            <w:r w:rsidRPr="00141A4D">
              <w:rPr>
                <w:lang w:val="en-AU"/>
              </w:rPr>
              <w:t>Mark</w:t>
            </w:r>
          </w:p>
        </w:tc>
        <w:tc>
          <w:tcPr>
            <w:tcW w:w="506" w:type="dxa"/>
          </w:tcPr>
          <w:p w14:paraId="5DF7264D" w14:textId="77777777" w:rsidR="00F81C13" w:rsidRPr="00141A4D" w:rsidRDefault="00F81C13" w:rsidP="00A3448B">
            <w:pPr>
              <w:pStyle w:val="VCAAtablecondensedheading"/>
              <w:rPr>
                <w:lang w:val="en-AU"/>
              </w:rPr>
            </w:pPr>
            <w:r w:rsidRPr="00141A4D">
              <w:rPr>
                <w:lang w:val="en-AU"/>
              </w:rPr>
              <w:t>0</w:t>
            </w:r>
          </w:p>
        </w:tc>
        <w:tc>
          <w:tcPr>
            <w:tcW w:w="501" w:type="dxa"/>
          </w:tcPr>
          <w:p w14:paraId="6D854E22" w14:textId="77777777" w:rsidR="00F81C13" w:rsidRPr="00141A4D" w:rsidRDefault="00F81C13" w:rsidP="00A3448B">
            <w:pPr>
              <w:pStyle w:val="VCAAtablecondensedheading"/>
              <w:rPr>
                <w:lang w:val="en-AU"/>
              </w:rPr>
            </w:pPr>
            <w:r w:rsidRPr="00141A4D">
              <w:rPr>
                <w:lang w:val="en-AU"/>
              </w:rPr>
              <w:t>1</w:t>
            </w:r>
          </w:p>
        </w:tc>
        <w:tc>
          <w:tcPr>
            <w:tcW w:w="509" w:type="dxa"/>
          </w:tcPr>
          <w:p w14:paraId="2E13595A" w14:textId="77777777" w:rsidR="00F81C13" w:rsidRPr="00141A4D" w:rsidRDefault="00F81C13" w:rsidP="00A3448B">
            <w:pPr>
              <w:pStyle w:val="VCAAtablecondensedheading"/>
              <w:rPr>
                <w:lang w:val="en-AU"/>
              </w:rPr>
            </w:pPr>
            <w:r w:rsidRPr="00141A4D">
              <w:rPr>
                <w:lang w:val="en-AU"/>
              </w:rPr>
              <w:t>2</w:t>
            </w:r>
          </w:p>
        </w:tc>
        <w:tc>
          <w:tcPr>
            <w:tcW w:w="505" w:type="dxa"/>
          </w:tcPr>
          <w:p w14:paraId="375793DC" w14:textId="77777777" w:rsidR="00F81C13" w:rsidRPr="00141A4D" w:rsidRDefault="00F81C13" w:rsidP="00A3448B">
            <w:pPr>
              <w:pStyle w:val="VCAAtablecondensedheading"/>
              <w:rPr>
                <w:lang w:val="en-AU"/>
              </w:rPr>
            </w:pPr>
            <w:r w:rsidRPr="00141A4D">
              <w:rPr>
                <w:lang w:val="en-AU"/>
              </w:rPr>
              <w:t>3</w:t>
            </w:r>
          </w:p>
        </w:tc>
        <w:tc>
          <w:tcPr>
            <w:tcW w:w="545" w:type="dxa"/>
          </w:tcPr>
          <w:p w14:paraId="35D0214F" w14:textId="77777777" w:rsidR="00F81C13" w:rsidRPr="00141A4D" w:rsidRDefault="00F81C13" w:rsidP="00A3448B">
            <w:pPr>
              <w:pStyle w:val="VCAAtablecondensedheading"/>
              <w:rPr>
                <w:lang w:val="en-AU"/>
              </w:rPr>
            </w:pPr>
            <w:r w:rsidRPr="00141A4D">
              <w:rPr>
                <w:lang w:val="en-AU"/>
              </w:rPr>
              <w:t>4</w:t>
            </w:r>
          </w:p>
        </w:tc>
        <w:tc>
          <w:tcPr>
            <w:tcW w:w="567" w:type="dxa"/>
          </w:tcPr>
          <w:p w14:paraId="0C9AAAFF" w14:textId="77777777" w:rsidR="00F81C13" w:rsidRPr="00141A4D" w:rsidRDefault="00F81C13" w:rsidP="00A3448B">
            <w:pPr>
              <w:pStyle w:val="VCAAtablecondensedheading"/>
              <w:rPr>
                <w:lang w:val="en-AU"/>
              </w:rPr>
            </w:pPr>
            <w:r>
              <w:rPr>
                <w:lang w:val="en-AU"/>
              </w:rPr>
              <w:t>5</w:t>
            </w:r>
          </w:p>
        </w:tc>
        <w:tc>
          <w:tcPr>
            <w:tcW w:w="567" w:type="dxa"/>
          </w:tcPr>
          <w:p w14:paraId="249E9D34" w14:textId="77777777" w:rsidR="00F81C13" w:rsidRPr="00141A4D" w:rsidRDefault="00F81C13" w:rsidP="00A3448B">
            <w:pPr>
              <w:pStyle w:val="VCAAtablecondensedheading"/>
              <w:rPr>
                <w:lang w:val="en-AU"/>
              </w:rPr>
            </w:pPr>
            <w:r>
              <w:rPr>
                <w:lang w:val="en-AU"/>
              </w:rPr>
              <w:t>6</w:t>
            </w:r>
          </w:p>
        </w:tc>
        <w:tc>
          <w:tcPr>
            <w:tcW w:w="567" w:type="dxa"/>
          </w:tcPr>
          <w:p w14:paraId="74019FF1" w14:textId="77777777" w:rsidR="00F81C13" w:rsidRPr="00141A4D" w:rsidRDefault="00F81C13" w:rsidP="00A3448B">
            <w:pPr>
              <w:pStyle w:val="VCAAtablecondensedheading"/>
              <w:rPr>
                <w:lang w:val="en-AU"/>
              </w:rPr>
            </w:pPr>
            <w:r>
              <w:rPr>
                <w:lang w:val="en-AU"/>
              </w:rPr>
              <w:t>7</w:t>
            </w:r>
          </w:p>
        </w:tc>
        <w:tc>
          <w:tcPr>
            <w:tcW w:w="567" w:type="dxa"/>
          </w:tcPr>
          <w:p w14:paraId="7D61C866" w14:textId="77777777" w:rsidR="00F81C13" w:rsidRPr="00141A4D" w:rsidRDefault="00F81C13" w:rsidP="00A3448B">
            <w:pPr>
              <w:pStyle w:val="VCAAtablecondensedheading"/>
              <w:rPr>
                <w:lang w:val="en-AU"/>
              </w:rPr>
            </w:pPr>
            <w:r>
              <w:rPr>
                <w:lang w:val="en-AU"/>
              </w:rPr>
              <w:t>8</w:t>
            </w:r>
          </w:p>
        </w:tc>
        <w:tc>
          <w:tcPr>
            <w:tcW w:w="567" w:type="dxa"/>
          </w:tcPr>
          <w:p w14:paraId="2B51E7F8" w14:textId="77777777" w:rsidR="00F81C13" w:rsidRPr="00141A4D" w:rsidRDefault="00F81C13" w:rsidP="00A3448B">
            <w:pPr>
              <w:pStyle w:val="VCAAtablecondensedheading"/>
              <w:rPr>
                <w:lang w:val="en-AU"/>
              </w:rPr>
            </w:pPr>
            <w:r>
              <w:rPr>
                <w:lang w:val="en-AU"/>
              </w:rPr>
              <w:t>9</w:t>
            </w:r>
          </w:p>
        </w:tc>
        <w:tc>
          <w:tcPr>
            <w:tcW w:w="567" w:type="dxa"/>
          </w:tcPr>
          <w:p w14:paraId="003CD2C4" w14:textId="77777777" w:rsidR="00F81C13" w:rsidRPr="00141A4D" w:rsidRDefault="00F81C13" w:rsidP="00A3448B">
            <w:pPr>
              <w:pStyle w:val="VCAAtablecondensedheading"/>
              <w:rPr>
                <w:lang w:val="en-AU"/>
              </w:rPr>
            </w:pPr>
            <w:r>
              <w:rPr>
                <w:lang w:val="en-AU"/>
              </w:rPr>
              <w:t>10</w:t>
            </w:r>
          </w:p>
        </w:tc>
        <w:tc>
          <w:tcPr>
            <w:tcW w:w="993" w:type="dxa"/>
          </w:tcPr>
          <w:p w14:paraId="386E4920" w14:textId="77777777" w:rsidR="00F81C13" w:rsidRPr="00141A4D" w:rsidRDefault="00F81C13" w:rsidP="00A3448B">
            <w:pPr>
              <w:pStyle w:val="VCAAtablecondensedheading"/>
              <w:rPr>
                <w:lang w:val="en-AU"/>
              </w:rPr>
            </w:pPr>
            <w:r w:rsidRPr="00141A4D">
              <w:rPr>
                <w:lang w:val="en-AU"/>
              </w:rPr>
              <w:t>Average</w:t>
            </w:r>
          </w:p>
        </w:tc>
      </w:tr>
      <w:tr w:rsidR="00F81C13" w:rsidRPr="00141A4D" w14:paraId="151BAEF0" w14:textId="77777777" w:rsidTr="00A3448B">
        <w:tc>
          <w:tcPr>
            <w:tcW w:w="694" w:type="dxa"/>
          </w:tcPr>
          <w:p w14:paraId="3CEFE06A" w14:textId="77777777" w:rsidR="00F81C13" w:rsidRPr="00141A4D" w:rsidRDefault="00F81C13" w:rsidP="00A3448B">
            <w:pPr>
              <w:pStyle w:val="VCAAtablecondensed"/>
              <w:rPr>
                <w:lang w:val="en-AU"/>
              </w:rPr>
            </w:pPr>
            <w:r w:rsidRPr="00141A4D">
              <w:rPr>
                <w:lang w:val="en-AU"/>
              </w:rPr>
              <w:t>%</w:t>
            </w:r>
          </w:p>
        </w:tc>
        <w:tc>
          <w:tcPr>
            <w:tcW w:w="506" w:type="dxa"/>
          </w:tcPr>
          <w:p w14:paraId="59811D3F" w14:textId="3E3CB72F" w:rsidR="00F81C13" w:rsidRPr="00141A4D" w:rsidRDefault="0008105D" w:rsidP="00A3448B">
            <w:pPr>
              <w:pStyle w:val="VCAAtablecondensed"/>
              <w:rPr>
                <w:lang w:val="en-AU"/>
              </w:rPr>
            </w:pPr>
            <w:r>
              <w:rPr>
                <w:lang w:val="en-AU"/>
              </w:rPr>
              <w:t>0.4</w:t>
            </w:r>
          </w:p>
        </w:tc>
        <w:tc>
          <w:tcPr>
            <w:tcW w:w="501" w:type="dxa"/>
          </w:tcPr>
          <w:p w14:paraId="494BD274" w14:textId="79F79CDF" w:rsidR="00F81C13" w:rsidRPr="00141A4D" w:rsidRDefault="0008105D" w:rsidP="00A3448B">
            <w:pPr>
              <w:pStyle w:val="VCAAtablecondensed"/>
              <w:rPr>
                <w:lang w:val="en-AU"/>
              </w:rPr>
            </w:pPr>
            <w:r>
              <w:rPr>
                <w:lang w:val="en-AU"/>
              </w:rPr>
              <w:t>0.2</w:t>
            </w:r>
          </w:p>
        </w:tc>
        <w:tc>
          <w:tcPr>
            <w:tcW w:w="509" w:type="dxa"/>
          </w:tcPr>
          <w:p w14:paraId="7CD57A70" w14:textId="647A4E25" w:rsidR="00F81C13" w:rsidRPr="00141A4D" w:rsidRDefault="0008105D" w:rsidP="00A3448B">
            <w:pPr>
              <w:pStyle w:val="VCAAtablecondensed"/>
              <w:rPr>
                <w:lang w:val="en-AU"/>
              </w:rPr>
            </w:pPr>
            <w:r>
              <w:rPr>
                <w:lang w:val="en-AU"/>
              </w:rPr>
              <w:t>0.4</w:t>
            </w:r>
          </w:p>
        </w:tc>
        <w:tc>
          <w:tcPr>
            <w:tcW w:w="505" w:type="dxa"/>
          </w:tcPr>
          <w:p w14:paraId="24C713C6" w14:textId="0431C34B" w:rsidR="00F81C13" w:rsidRPr="00141A4D" w:rsidRDefault="0008105D" w:rsidP="00A3448B">
            <w:pPr>
              <w:pStyle w:val="VCAAtablecondensed"/>
              <w:rPr>
                <w:lang w:val="en-AU"/>
              </w:rPr>
            </w:pPr>
            <w:r>
              <w:rPr>
                <w:lang w:val="en-AU"/>
              </w:rPr>
              <w:t>2</w:t>
            </w:r>
          </w:p>
        </w:tc>
        <w:tc>
          <w:tcPr>
            <w:tcW w:w="545" w:type="dxa"/>
          </w:tcPr>
          <w:p w14:paraId="044E5ACA" w14:textId="3041D02D" w:rsidR="00F81C13" w:rsidRPr="00141A4D" w:rsidRDefault="0008105D" w:rsidP="00A3448B">
            <w:pPr>
              <w:pStyle w:val="VCAAtablecondensed"/>
              <w:rPr>
                <w:lang w:val="en-AU"/>
              </w:rPr>
            </w:pPr>
            <w:r>
              <w:rPr>
                <w:lang w:val="en-AU"/>
              </w:rPr>
              <w:t>6</w:t>
            </w:r>
          </w:p>
        </w:tc>
        <w:tc>
          <w:tcPr>
            <w:tcW w:w="567" w:type="dxa"/>
          </w:tcPr>
          <w:p w14:paraId="4CFDB247" w14:textId="1A7B8F95" w:rsidR="00F81C13" w:rsidRDefault="0008105D" w:rsidP="00A3448B">
            <w:pPr>
              <w:pStyle w:val="VCAAtablecondensed"/>
              <w:rPr>
                <w:lang w:val="en-AU"/>
              </w:rPr>
            </w:pPr>
            <w:r>
              <w:rPr>
                <w:lang w:val="en-AU"/>
              </w:rPr>
              <w:t>13</w:t>
            </w:r>
          </w:p>
        </w:tc>
        <w:tc>
          <w:tcPr>
            <w:tcW w:w="567" w:type="dxa"/>
          </w:tcPr>
          <w:p w14:paraId="3BAD1ECB" w14:textId="1B0F84A7" w:rsidR="00F81C13" w:rsidRDefault="0008105D" w:rsidP="00A3448B">
            <w:pPr>
              <w:pStyle w:val="VCAAtablecondensed"/>
              <w:rPr>
                <w:lang w:val="en-AU"/>
              </w:rPr>
            </w:pPr>
            <w:r>
              <w:rPr>
                <w:lang w:val="en-AU"/>
              </w:rPr>
              <w:t>20</w:t>
            </w:r>
          </w:p>
        </w:tc>
        <w:tc>
          <w:tcPr>
            <w:tcW w:w="567" w:type="dxa"/>
          </w:tcPr>
          <w:p w14:paraId="7B8312C8" w14:textId="2F0ACD94" w:rsidR="00F81C13" w:rsidRDefault="0008105D" w:rsidP="00A3448B">
            <w:pPr>
              <w:pStyle w:val="VCAAtablecondensed"/>
              <w:rPr>
                <w:lang w:val="en-AU"/>
              </w:rPr>
            </w:pPr>
            <w:r>
              <w:rPr>
                <w:lang w:val="en-AU"/>
              </w:rPr>
              <w:t>23</w:t>
            </w:r>
          </w:p>
        </w:tc>
        <w:tc>
          <w:tcPr>
            <w:tcW w:w="567" w:type="dxa"/>
          </w:tcPr>
          <w:p w14:paraId="6E7475F8" w14:textId="51FFF3AD" w:rsidR="00F81C13" w:rsidRDefault="0008105D" w:rsidP="00A3448B">
            <w:pPr>
              <w:pStyle w:val="VCAAtablecondensed"/>
              <w:rPr>
                <w:lang w:val="en-AU"/>
              </w:rPr>
            </w:pPr>
            <w:r>
              <w:rPr>
                <w:lang w:val="en-AU"/>
              </w:rPr>
              <w:t>20</w:t>
            </w:r>
          </w:p>
        </w:tc>
        <w:tc>
          <w:tcPr>
            <w:tcW w:w="567" w:type="dxa"/>
          </w:tcPr>
          <w:p w14:paraId="04DE99EB" w14:textId="5C780F3A" w:rsidR="00F81C13" w:rsidRDefault="0008105D" w:rsidP="00A3448B">
            <w:pPr>
              <w:pStyle w:val="VCAAtablecondensed"/>
              <w:rPr>
                <w:lang w:val="en-AU"/>
              </w:rPr>
            </w:pPr>
            <w:r>
              <w:rPr>
                <w:lang w:val="en-AU"/>
              </w:rPr>
              <w:t>13</w:t>
            </w:r>
          </w:p>
        </w:tc>
        <w:tc>
          <w:tcPr>
            <w:tcW w:w="567" w:type="dxa"/>
          </w:tcPr>
          <w:p w14:paraId="6AC3725C" w14:textId="72B52E93" w:rsidR="00F81C13" w:rsidRDefault="0008105D" w:rsidP="00A3448B">
            <w:pPr>
              <w:pStyle w:val="VCAAtablecondensed"/>
              <w:rPr>
                <w:lang w:val="en-AU"/>
              </w:rPr>
            </w:pPr>
            <w:r>
              <w:rPr>
                <w:lang w:val="en-AU"/>
              </w:rPr>
              <w:t>3</w:t>
            </w:r>
          </w:p>
        </w:tc>
        <w:tc>
          <w:tcPr>
            <w:tcW w:w="993" w:type="dxa"/>
          </w:tcPr>
          <w:p w14:paraId="670710C8" w14:textId="2D2F8CDE" w:rsidR="00F81C13" w:rsidRPr="00141A4D" w:rsidRDefault="0008105D" w:rsidP="00A3448B">
            <w:pPr>
              <w:pStyle w:val="VCAAtablecondensed"/>
              <w:rPr>
                <w:lang w:val="en-AU"/>
              </w:rPr>
            </w:pPr>
            <w:r>
              <w:rPr>
                <w:lang w:val="en-AU"/>
              </w:rPr>
              <w:t>6.8</w:t>
            </w:r>
          </w:p>
        </w:tc>
      </w:tr>
    </w:tbl>
    <w:p w14:paraId="739173FB" w14:textId="6D668D9F" w:rsidR="003A156E" w:rsidRDefault="00F53D91" w:rsidP="00B038C5">
      <w:pPr>
        <w:pStyle w:val="VCAAbody"/>
      </w:pPr>
      <w:r>
        <w:t>This criterion assessed</w:t>
      </w:r>
      <w:r w:rsidR="003A156E" w:rsidRPr="003A156E">
        <w:t xml:space="preserve"> </w:t>
      </w:r>
      <w:r w:rsidR="00FA79AC">
        <w:t>the</w:t>
      </w:r>
      <w:r w:rsidR="003A156E" w:rsidRPr="003A156E">
        <w:t xml:space="preserve"> ability to analyse data effectively, which is closely linked to critical thinking skills. Students </w:t>
      </w:r>
      <w:r>
        <w:t>needed to</w:t>
      </w:r>
      <w:r w:rsidRPr="003A156E">
        <w:t xml:space="preserve"> </w:t>
      </w:r>
      <w:r w:rsidR="003A156E" w:rsidRPr="003A156E">
        <w:t>select relevant data and present it in a clear and meaningful way, identifying trends and connecting them to their research question. This require</w:t>
      </w:r>
      <w:r>
        <w:t>d</w:t>
      </w:r>
      <w:r w:rsidR="003A156E" w:rsidRPr="003A156E">
        <w:t xml:space="preserve"> </w:t>
      </w:r>
      <w:r w:rsidR="0010440B">
        <w:t xml:space="preserve">students to </w:t>
      </w:r>
      <w:r w:rsidR="003A156E" w:rsidRPr="003A156E">
        <w:t>careful</w:t>
      </w:r>
      <w:r w:rsidR="0010440B">
        <w:t>ly</w:t>
      </w:r>
      <w:r w:rsidR="003A156E" w:rsidRPr="003A156E">
        <w:t xml:space="preserve"> consider how to display the data, with an emphasis on clarity and precision. Tables, graphs and other data representations must be used appropriately, accompanied by thorough analysis and explanations of key trends. Students should avoid simply presenting raw data and instead use it to tell a coherent narrative, linking it directly to the investigation’s objectives. </w:t>
      </w:r>
      <w:r w:rsidR="0010440B">
        <w:t>More</w:t>
      </w:r>
      <w:r w:rsidR="00053578">
        <w:t xml:space="preserve"> students rel</w:t>
      </w:r>
      <w:r w:rsidR="0010440B">
        <w:t>ied</w:t>
      </w:r>
      <w:r w:rsidR="00053578">
        <w:t xml:space="preserve"> on premade data representations, for example</w:t>
      </w:r>
      <w:r w:rsidR="0010440B">
        <w:t>,</w:t>
      </w:r>
      <w:r w:rsidR="00053578">
        <w:t xml:space="preserve"> prepopulated graphs from Microsoft Forms or Google Surveys, rather than considering and generating their own data representations. </w:t>
      </w:r>
      <w:r w:rsidR="0010440B">
        <w:t>S</w:t>
      </w:r>
      <w:r w:rsidR="00053578">
        <w:t>tudents</w:t>
      </w:r>
      <w:r w:rsidR="0010440B">
        <w:t xml:space="preserve"> need to</w:t>
      </w:r>
      <w:r w:rsidR="00053578">
        <w:t xml:space="preserve"> understand the components of effective data representations and the mechanics of creating these themselves.</w:t>
      </w:r>
    </w:p>
    <w:p w14:paraId="4F07D51D" w14:textId="77777777" w:rsidR="007E4214" w:rsidRDefault="007E4214">
      <w:pPr>
        <w:spacing w:after="200" w:line="276" w:lineRule="auto"/>
        <w:rPr>
          <w:rFonts w:ascii="Arial" w:hAnsi="Arial" w:cs="Arial"/>
          <w:color w:val="000000" w:themeColor="text1"/>
          <w:sz w:val="20"/>
          <w:szCs w:val="22"/>
          <w:lang w:eastAsia="en-US"/>
        </w:rPr>
      </w:pPr>
      <w:r>
        <w:br w:type="page"/>
      </w:r>
    </w:p>
    <w:p w14:paraId="354D44E5" w14:textId="4B1597B1" w:rsidR="00053578" w:rsidRPr="003A156E" w:rsidRDefault="00053578" w:rsidP="00B038C5">
      <w:pPr>
        <w:pStyle w:val="VCAAbody"/>
      </w:pPr>
      <w:r w:rsidRPr="00053578">
        <w:rPr>
          <w:lang w:val="en-GB"/>
        </w:rPr>
        <w:lastRenderedPageBreak/>
        <w:t xml:space="preserve">Students must add greater detail and depth to their findings to provide a clear and comprehensive account of the outcomes of their investigation. A surface-level presentation of results, without engaging with the data in depth, </w:t>
      </w:r>
      <w:r w:rsidR="004C5134">
        <w:rPr>
          <w:lang w:val="en-GB"/>
        </w:rPr>
        <w:t>does not</w:t>
      </w:r>
      <w:r w:rsidRPr="00053578">
        <w:rPr>
          <w:lang w:val="en-GB"/>
        </w:rPr>
        <w:t xml:space="preserve"> demonstrate a full understanding of the research. Students should not only report their findings but also analyse and interpret them, identifying key trends, patterns and relationships within the data. </w:t>
      </w:r>
      <w:r w:rsidR="004C5134">
        <w:rPr>
          <w:lang w:val="en-GB"/>
        </w:rPr>
        <w:t>S</w:t>
      </w:r>
      <w:r w:rsidRPr="00053578">
        <w:rPr>
          <w:lang w:val="en-GB"/>
        </w:rPr>
        <w:t xml:space="preserve">tudents </w:t>
      </w:r>
      <w:r w:rsidR="004C5134">
        <w:rPr>
          <w:lang w:val="en-GB"/>
        </w:rPr>
        <w:t xml:space="preserve">need </w:t>
      </w:r>
      <w:r w:rsidRPr="00053578">
        <w:rPr>
          <w:lang w:val="en-GB"/>
        </w:rPr>
        <w:t xml:space="preserve">to make explicit connections between their results and the research question, offering insights into what the data reveals. </w:t>
      </w:r>
      <w:r w:rsidR="004C5134">
        <w:rPr>
          <w:lang w:val="en-GB"/>
        </w:rPr>
        <w:t>S</w:t>
      </w:r>
      <w:r w:rsidR="004C5134" w:rsidRPr="00053578">
        <w:rPr>
          <w:lang w:val="en-GB"/>
        </w:rPr>
        <w:t xml:space="preserve">tudents can showcase the robustness of their investigation </w:t>
      </w:r>
      <w:r w:rsidR="004C5134">
        <w:rPr>
          <w:lang w:val="en-GB"/>
        </w:rPr>
        <w:t>b</w:t>
      </w:r>
      <w:r w:rsidRPr="00053578">
        <w:rPr>
          <w:lang w:val="en-GB"/>
        </w:rPr>
        <w:t>y exploring the significance of their findings and reflecting on how these relate to existing research. Such detailed engagement with the data allows students to highlight the implications of their results and ensures a well-rounded and nuanced presentation of their research outcomes.</w:t>
      </w:r>
    </w:p>
    <w:p w14:paraId="2E1B5A92" w14:textId="21F2EE21" w:rsidR="003A156E" w:rsidRPr="003A156E" w:rsidRDefault="003A156E" w:rsidP="00B038C5">
      <w:pPr>
        <w:pStyle w:val="VCAAbody"/>
      </w:pPr>
      <w:r w:rsidRPr="003A156E">
        <w:t xml:space="preserve">Engaging with existing academic literature is essential when interpreting findings, as is reflecting on the limitations of the investigation. Students must </w:t>
      </w:r>
      <w:proofErr w:type="spellStart"/>
      <w:r w:rsidRPr="003A156E">
        <w:t>contextualise</w:t>
      </w:r>
      <w:proofErr w:type="spellEnd"/>
      <w:r w:rsidRPr="003A156E">
        <w:t xml:space="preserve"> their data within the broader field of research and consider potential causes and implications </w:t>
      </w:r>
      <w:proofErr w:type="gramStart"/>
      <w:r w:rsidRPr="003A156E">
        <w:t>in light of</w:t>
      </w:r>
      <w:proofErr w:type="gramEnd"/>
      <w:r w:rsidRPr="003A156E">
        <w:t xml:space="preserve"> scholarly work. Reflecting on the limitations of their methods, including any factors that may have influenced the data collection process, is also crucial. However, limitations related to time </w:t>
      </w:r>
      <w:proofErr w:type="gramStart"/>
      <w:r w:rsidRPr="003A156E">
        <w:t>management</w:t>
      </w:r>
      <w:proofErr w:type="gramEnd"/>
      <w:r w:rsidRPr="003A156E">
        <w:t xml:space="preserve"> or the short duration of the study are not considered valid academic challenges. Higher-scoring students typically present</w:t>
      </w:r>
      <w:r w:rsidR="004C5134">
        <w:t>ed</w:t>
      </w:r>
      <w:r w:rsidRPr="003A156E">
        <w:t xml:space="preserve"> data that </w:t>
      </w:r>
      <w:r w:rsidR="004C5134">
        <w:t>was</w:t>
      </w:r>
      <w:r w:rsidRPr="003A156E">
        <w:t xml:space="preserve"> logically sequenced and directly related to the research question, engaging with literature to analyse their findings in depth. In contrast, mid- and lower-range responses often lack</w:t>
      </w:r>
      <w:r w:rsidR="004C5134">
        <w:t>ed</w:t>
      </w:r>
      <w:r w:rsidRPr="003A156E">
        <w:t xml:space="preserve"> a clear analysis of the data or present</w:t>
      </w:r>
      <w:r w:rsidR="00B80834">
        <w:t>ed</w:t>
      </w:r>
      <w:r w:rsidRPr="003A156E">
        <w:t xml:space="preserve"> irrelevant information without sufficient explanation.</w:t>
      </w:r>
    </w:p>
    <w:p w14:paraId="4F317A54" w14:textId="143BD7D0" w:rsidR="00A64FD7" w:rsidRPr="00F56CF7" w:rsidRDefault="00C55702" w:rsidP="00B80834">
      <w:pPr>
        <w:pStyle w:val="VCAAHeading3"/>
      </w:pPr>
      <w:r w:rsidRPr="00F56CF7">
        <w:t xml:space="preserve">Criterion </w:t>
      </w:r>
      <w:r w:rsidR="00A64FD7" w:rsidRPr="00F56CF7">
        <w:t xml:space="preserve">5 </w:t>
      </w:r>
      <w:r w:rsidR="0041444B" w:rsidRPr="00F56CF7">
        <w:t>–</w:t>
      </w:r>
      <w:r w:rsidR="00A64FD7" w:rsidRPr="00F56CF7">
        <w:t xml:space="preserve"> Clarity and </w:t>
      </w:r>
      <w:r w:rsidR="00293BE2" w:rsidRPr="00F56CF7">
        <w:t>e</w:t>
      </w:r>
      <w:r w:rsidR="00A64FD7" w:rsidRPr="00F56CF7">
        <w:t xml:space="preserve">ffectiveness of </w:t>
      </w:r>
      <w:r w:rsidR="00293BE2" w:rsidRPr="00F56CF7">
        <w:t>w</w:t>
      </w:r>
      <w:r w:rsidR="00A64FD7" w:rsidRPr="00F56CF7">
        <w:t>riting</w:t>
      </w:r>
    </w:p>
    <w:tbl>
      <w:tblPr>
        <w:tblStyle w:val="VCAATableClosed"/>
        <w:tblW w:w="0" w:type="auto"/>
        <w:tblInd w:w="-5" w:type="dxa"/>
        <w:tblLayout w:type="fixed"/>
        <w:tblLook w:val="04A0" w:firstRow="1" w:lastRow="0" w:firstColumn="1" w:lastColumn="0" w:noHBand="0" w:noVBand="1"/>
      </w:tblPr>
      <w:tblGrid>
        <w:gridCol w:w="694"/>
        <w:gridCol w:w="506"/>
        <w:gridCol w:w="501"/>
        <w:gridCol w:w="509"/>
        <w:gridCol w:w="505"/>
        <w:gridCol w:w="545"/>
        <w:gridCol w:w="567"/>
        <w:gridCol w:w="567"/>
        <w:gridCol w:w="567"/>
        <w:gridCol w:w="567"/>
        <w:gridCol w:w="567"/>
        <w:gridCol w:w="567"/>
        <w:gridCol w:w="993"/>
      </w:tblGrid>
      <w:tr w:rsidR="00F81C13" w:rsidRPr="00141A4D" w14:paraId="16BD4F31" w14:textId="77777777" w:rsidTr="00A3448B">
        <w:trPr>
          <w:cnfStyle w:val="100000000000" w:firstRow="1" w:lastRow="0" w:firstColumn="0" w:lastColumn="0" w:oddVBand="0" w:evenVBand="0" w:oddHBand="0" w:evenHBand="0" w:firstRowFirstColumn="0" w:firstRowLastColumn="0" w:lastRowFirstColumn="0" w:lastRowLastColumn="0"/>
        </w:trPr>
        <w:tc>
          <w:tcPr>
            <w:tcW w:w="694" w:type="dxa"/>
          </w:tcPr>
          <w:p w14:paraId="23FF602D" w14:textId="77777777" w:rsidR="00F81C13" w:rsidRPr="00141A4D" w:rsidRDefault="00F81C13" w:rsidP="00A3448B">
            <w:pPr>
              <w:pStyle w:val="VCAAtablecondensedheading"/>
              <w:rPr>
                <w:lang w:val="en-AU"/>
              </w:rPr>
            </w:pPr>
            <w:r w:rsidRPr="00141A4D">
              <w:rPr>
                <w:lang w:val="en-AU"/>
              </w:rPr>
              <w:t>Mark</w:t>
            </w:r>
          </w:p>
        </w:tc>
        <w:tc>
          <w:tcPr>
            <w:tcW w:w="506" w:type="dxa"/>
          </w:tcPr>
          <w:p w14:paraId="17195499" w14:textId="77777777" w:rsidR="00F81C13" w:rsidRPr="00141A4D" w:rsidRDefault="00F81C13" w:rsidP="00A3448B">
            <w:pPr>
              <w:pStyle w:val="VCAAtablecondensedheading"/>
              <w:rPr>
                <w:lang w:val="en-AU"/>
              </w:rPr>
            </w:pPr>
            <w:r w:rsidRPr="00141A4D">
              <w:rPr>
                <w:lang w:val="en-AU"/>
              </w:rPr>
              <w:t>0</w:t>
            </w:r>
          </w:p>
        </w:tc>
        <w:tc>
          <w:tcPr>
            <w:tcW w:w="501" w:type="dxa"/>
          </w:tcPr>
          <w:p w14:paraId="41CF388A" w14:textId="77777777" w:rsidR="00F81C13" w:rsidRPr="00141A4D" w:rsidRDefault="00F81C13" w:rsidP="00A3448B">
            <w:pPr>
              <w:pStyle w:val="VCAAtablecondensedheading"/>
              <w:rPr>
                <w:lang w:val="en-AU"/>
              </w:rPr>
            </w:pPr>
            <w:r w:rsidRPr="00141A4D">
              <w:rPr>
                <w:lang w:val="en-AU"/>
              </w:rPr>
              <w:t>1</w:t>
            </w:r>
          </w:p>
        </w:tc>
        <w:tc>
          <w:tcPr>
            <w:tcW w:w="509" w:type="dxa"/>
          </w:tcPr>
          <w:p w14:paraId="45B8E07F" w14:textId="77777777" w:rsidR="00F81C13" w:rsidRPr="00141A4D" w:rsidRDefault="00F81C13" w:rsidP="00A3448B">
            <w:pPr>
              <w:pStyle w:val="VCAAtablecondensedheading"/>
              <w:rPr>
                <w:lang w:val="en-AU"/>
              </w:rPr>
            </w:pPr>
            <w:r w:rsidRPr="00141A4D">
              <w:rPr>
                <w:lang w:val="en-AU"/>
              </w:rPr>
              <w:t>2</w:t>
            </w:r>
          </w:p>
        </w:tc>
        <w:tc>
          <w:tcPr>
            <w:tcW w:w="505" w:type="dxa"/>
          </w:tcPr>
          <w:p w14:paraId="60894439" w14:textId="77777777" w:rsidR="00F81C13" w:rsidRPr="00141A4D" w:rsidRDefault="00F81C13" w:rsidP="00A3448B">
            <w:pPr>
              <w:pStyle w:val="VCAAtablecondensedheading"/>
              <w:rPr>
                <w:lang w:val="en-AU"/>
              </w:rPr>
            </w:pPr>
            <w:r w:rsidRPr="00141A4D">
              <w:rPr>
                <w:lang w:val="en-AU"/>
              </w:rPr>
              <w:t>3</w:t>
            </w:r>
          </w:p>
        </w:tc>
        <w:tc>
          <w:tcPr>
            <w:tcW w:w="545" w:type="dxa"/>
          </w:tcPr>
          <w:p w14:paraId="0D0B219E" w14:textId="77777777" w:rsidR="00F81C13" w:rsidRPr="00141A4D" w:rsidRDefault="00F81C13" w:rsidP="00A3448B">
            <w:pPr>
              <w:pStyle w:val="VCAAtablecondensedheading"/>
              <w:rPr>
                <w:lang w:val="en-AU"/>
              </w:rPr>
            </w:pPr>
            <w:r w:rsidRPr="00141A4D">
              <w:rPr>
                <w:lang w:val="en-AU"/>
              </w:rPr>
              <w:t>4</w:t>
            </w:r>
          </w:p>
        </w:tc>
        <w:tc>
          <w:tcPr>
            <w:tcW w:w="567" w:type="dxa"/>
          </w:tcPr>
          <w:p w14:paraId="7F1554E1" w14:textId="77777777" w:rsidR="00F81C13" w:rsidRPr="00141A4D" w:rsidRDefault="00F81C13" w:rsidP="00A3448B">
            <w:pPr>
              <w:pStyle w:val="VCAAtablecondensedheading"/>
              <w:rPr>
                <w:lang w:val="en-AU"/>
              </w:rPr>
            </w:pPr>
            <w:r>
              <w:rPr>
                <w:lang w:val="en-AU"/>
              </w:rPr>
              <w:t>5</w:t>
            </w:r>
          </w:p>
        </w:tc>
        <w:tc>
          <w:tcPr>
            <w:tcW w:w="567" w:type="dxa"/>
          </w:tcPr>
          <w:p w14:paraId="70663B90" w14:textId="77777777" w:rsidR="00F81C13" w:rsidRPr="00141A4D" w:rsidRDefault="00F81C13" w:rsidP="00A3448B">
            <w:pPr>
              <w:pStyle w:val="VCAAtablecondensedheading"/>
              <w:rPr>
                <w:lang w:val="en-AU"/>
              </w:rPr>
            </w:pPr>
            <w:r>
              <w:rPr>
                <w:lang w:val="en-AU"/>
              </w:rPr>
              <w:t>6</w:t>
            </w:r>
          </w:p>
        </w:tc>
        <w:tc>
          <w:tcPr>
            <w:tcW w:w="567" w:type="dxa"/>
          </w:tcPr>
          <w:p w14:paraId="1D07FF06" w14:textId="77777777" w:rsidR="00F81C13" w:rsidRPr="00141A4D" w:rsidRDefault="00F81C13" w:rsidP="00A3448B">
            <w:pPr>
              <w:pStyle w:val="VCAAtablecondensedheading"/>
              <w:rPr>
                <w:lang w:val="en-AU"/>
              </w:rPr>
            </w:pPr>
            <w:r>
              <w:rPr>
                <w:lang w:val="en-AU"/>
              </w:rPr>
              <w:t>7</w:t>
            </w:r>
          </w:p>
        </w:tc>
        <w:tc>
          <w:tcPr>
            <w:tcW w:w="567" w:type="dxa"/>
          </w:tcPr>
          <w:p w14:paraId="56CF3875" w14:textId="77777777" w:rsidR="00F81C13" w:rsidRPr="00141A4D" w:rsidRDefault="00F81C13" w:rsidP="00A3448B">
            <w:pPr>
              <w:pStyle w:val="VCAAtablecondensedheading"/>
              <w:rPr>
                <w:lang w:val="en-AU"/>
              </w:rPr>
            </w:pPr>
            <w:r>
              <w:rPr>
                <w:lang w:val="en-AU"/>
              </w:rPr>
              <w:t>8</w:t>
            </w:r>
          </w:p>
        </w:tc>
        <w:tc>
          <w:tcPr>
            <w:tcW w:w="567" w:type="dxa"/>
          </w:tcPr>
          <w:p w14:paraId="66B5D1F1" w14:textId="77777777" w:rsidR="00F81C13" w:rsidRPr="00141A4D" w:rsidRDefault="00F81C13" w:rsidP="00A3448B">
            <w:pPr>
              <w:pStyle w:val="VCAAtablecondensedheading"/>
              <w:rPr>
                <w:lang w:val="en-AU"/>
              </w:rPr>
            </w:pPr>
            <w:r>
              <w:rPr>
                <w:lang w:val="en-AU"/>
              </w:rPr>
              <w:t>9</w:t>
            </w:r>
          </w:p>
        </w:tc>
        <w:tc>
          <w:tcPr>
            <w:tcW w:w="567" w:type="dxa"/>
          </w:tcPr>
          <w:p w14:paraId="68440AE7" w14:textId="77777777" w:rsidR="00F81C13" w:rsidRPr="00141A4D" w:rsidRDefault="00F81C13" w:rsidP="00A3448B">
            <w:pPr>
              <w:pStyle w:val="VCAAtablecondensedheading"/>
              <w:rPr>
                <w:lang w:val="en-AU"/>
              </w:rPr>
            </w:pPr>
            <w:r>
              <w:rPr>
                <w:lang w:val="en-AU"/>
              </w:rPr>
              <w:t>10</w:t>
            </w:r>
          </w:p>
        </w:tc>
        <w:tc>
          <w:tcPr>
            <w:tcW w:w="993" w:type="dxa"/>
          </w:tcPr>
          <w:p w14:paraId="15631F88" w14:textId="77777777" w:rsidR="00F81C13" w:rsidRPr="00141A4D" w:rsidRDefault="00F81C13" w:rsidP="00A3448B">
            <w:pPr>
              <w:pStyle w:val="VCAAtablecondensedheading"/>
              <w:rPr>
                <w:lang w:val="en-AU"/>
              </w:rPr>
            </w:pPr>
            <w:r w:rsidRPr="00141A4D">
              <w:rPr>
                <w:lang w:val="en-AU"/>
              </w:rPr>
              <w:t>Average</w:t>
            </w:r>
          </w:p>
        </w:tc>
      </w:tr>
      <w:tr w:rsidR="00F81C13" w:rsidRPr="00141A4D" w14:paraId="3AD45763" w14:textId="77777777" w:rsidTr="00A3448B">
        <w:tc>
          <w:tcPr>
            <w:tcW w:w="694" w:type="dxa"/>
          </w:tcPr>
          <w:p w14:paraId="7793D9C6" w14:textId="77777777" w:rsidR="00F81C13" w:rsidRPr="00141A4D" w:rsidRDefault="00F81C13" w:rsidP="00A3448B">
            <w:pPr>
              <w:pStyle w:val="VCAAtablecondensed"/>
              <w:rPr>
                <w:lang w:val="en-AU"/>
              </w:rPr>
            </w:pPr>
            <w:r w:rsidRPr="00141A4D">
              <w:rPr>
                <w:lang w:val="en-AU"/>
              </w:rPr>
              <w:t>%</w:t>
            </w:r>
          </w:p>
        </w:tc>
        <w:tc>
          <w:tcPr>
            <w:tcW w:w="506" w:type="dxa"/>
          </w:tcPr>
          <w:p w14:paraId="7E166C00" w14:textId="424DE757" w:rsidR="00F81C13" w:rsidRPr="00141A4D" w:rsidRDefault="0008105D" w:rsidP="00A3448B">
            <w:pPr>
              <w:pStyle w:val="VCAAtablecondensed"/>
              <w:rPr>
                <w:lang w:val="en-AU"/>
              </w:rPr>
            </w:pPr>
            <w:r>
              <w:rPr>
                <w:lang w:val="en-AU"/>
              </w:rPr>
              <w:t>0</w:t>
            </w:r>
          </w:p>
        </w:tc>
        <w:tc>
          <w:tcPr>
            <w:tcW w:w="501" w:type="dxa"/>
          </w:tcPr>
          <w:p w14:paraId="3D3A2B92" w14:textId="5C625370" w:rsidR="00F81C13" w:rsidRPr="00141A4D" w:rsidRDefault="0008105D" w:rsidP="00A3448B">
            <w:pPr>
              <w:pStyle w:val="VCAAtablecondensed"/>
              <w:rPr>
                <w:lang w:val="en-AU"/>
              </w:rPr>
            </w:pPr>
            <w:r>
              <w:rPr>
                <w:lang w:val="en-AU"/>
              </w:rPr>
              <w:t>0</w:t>
            </w:r>
          </w:p>
        </w:tc>
        <w:tc>
          <w:tcPr>
            <w:tcW w:w="509" w:type="dxa"/>
          </w:tcPr>
          <w:p w14:paraId="7BA64558" w14:textId="677D632F" w:rsidR="00F81C13" w:rsidRPr="00141A4D" w:rsidRDefault="0008105D" w:rsidP="00A3448B">
            <w:pPr>
              <w:pStyle w:val="VCAAtablecondensed"/>
              <w:rPr>
                <w:lang w:val="en-AU"/>
              </w:rPr>
            </w:pPr>
            <w:r>
              <w:rPr>
                <w:lang w:val="en-AU"/>
              </w:rPr>
              <w:t>0</w:t>
            </w:r>
          </w:p>
        </w:tc>
        <w:tc>
          <w:tcPr>
            <w:tcW w:w="505" w:type="dxa"/>
          </w:tcPr>
          <w:p w14:paraId="34BF41D9" w14:textId="1D25DC8D" w:rsidR="00F81C13" w:rsidRPr="00141A4D" w:rsidRDefault="0008105D" w:rsidP="00A3448B">
            <w:pPr>
              <w:pStyle w:val="VCAAtablecondensed"/>
              <w:rPr>
                <w:lang w:val="en-AU"/>
              </w:rPr>
            </w:pPr>
            <w:r>
              <w:rPr>
                <w:lang w:val="en-AU"/>
              </w:rPr>
              <w:t>1</w:t>
            </w:r>
          </w:p>
        </w:tc>
        <w:tc>
          <w:tcPr>
            <w:tcW w:w="545" w:type="dxa"/>
          </w:tcPr>
          <w:p w14:paraId="284DE57E" w14:textId="17230D9F" w:rsidR="00F81C13" w:rsidRPr="00141A4D" w:rsidRDefault="0008105D" w:rsidP="00A3448B">
            <w:pPr>
              <w:pStyle w:val="VCAAtablecondensed"/>
              <w:rPr>
                <w:lang w:val="en-AU"/>
              </w:rPr>
            </w:pPr>
            <w:r>
              <w:rPr>
                <w:lang w:val="en-AU"/>
              </w:rPr>
              <w:t>5</w:t>
            </w:r>
          </w:p>
        </w:tc>
        <w:tc>
          <w:tcPr>
            <w:tcW w:w="567" w:type="dxa"/>
          </w:tcPr>
          <w:p w14:paraId="4F69ED70" w14:textId="1BB500D0" w:rsidR="00F81C13" w:rsidRDefault="0008105D" w:rsidP="00A3448B">
            <w:pPr>
              <w:pStyle w:val="VCAAtablecondensed"/>
              <w:rPr>
                <w:lang w:val="en-AU"/>
              </w:rPr>
            </w:pPr>
            <w:r>
              <w:rPr>
                <w:lang w:val="en-AU"/>
              </w:rPr>
              <w:t>9</w:t>
            </w:r>
          </w:p>
        </w:tc>
        <w:tc>
          <w:tcPr>
            <w:tcW w:w="567" w:type="dxa"/>
          </w:tcPr>
          <w:p w14:paraId="2DC6B349" w14:textId="50062525" w:rsidR="00F81C13" w:rsidRDefault="0008105D" w:rsidP="00A3448B">
            <w:pPr>
              <w:pStyle w:val="VCAAtablecondensed"/>
              <w:rPr>
                <w:lang w:val="en-AU"/>
              </w:rPr>
            </w:pPr>
            <w:r>
              <w:rPr>
                <w:lang w:val="en-AU"/>
              </w:rPr>
              <w:t>17</w:t>
            </w:r>
          </w:p>
        </w:tc>
        <w:tc>
          <w:tcPr>
            <w:tcW w:w="567" w:type="dxa"/>
          </w:tcPr>
          <w:p w14:paraId="3AD8C9F1" w14:textId="2160BDBA" w:rsidR="00F81C13" w:rsidRDefault="0008105D" w:rsidP="00A3448B">
            <w:pPr>
              <w:pStyle w:val="VCAAtablecondensed"/>
              <w:rPr>
                <w:lang w:val="en-AU"/>
              </w:rPr>
            </w:pPr>
            <w:r>
              <w:rPr>
                <w:lang w:val="en-AU"/>
              </w:rPr>
              <w:t>24</w:t>
            </w:r>
          </w:p>
        </w:tc>
        <w:tc>
          <w:tcPr>
            <w:tcW w:w="567" w:type="dxa"/>
          </w:tcPr>
          <w:p w14:paraId="29C7F4E6" w14:textId="5261C4E3" w:rsidR="00F81C13" w:rsidRDefault="0008105D" w:rsidP="00A3448B">
            <w:pPr>
              <w:pStyle w:val="VCAAtablecondensed"/>
              <w:rPr>
                <w:lang w:val="en-AU"/>
              </w:rPr>
            </w:pPr>
            <w:r>
              <w:rPr>
                <w:lang w:val="en-AU"/>
              </w:rPr>
              <w:t>24</w:t>
            </w:r>
          </w:p>
        </w:tc>
        <w:tc>
          <w:tcPr>
            <w:tcW w:w="567" w:type="dxa"/>
          </w:tcPr>
          <w:p w14:paraId="770AE6EE" w14:textId="3B1001D0" w:rsidR="00F81C13" w:rsidRDefault="0008105D" w:rsidP="00A3448B">
            <w:pPr>
              <w:pStyle w:val="VCAAtablecondensed"/>
              <w:rPr>
                <w:lang w:val="en-AU"/>
              </w:rPr>
            </w:pPr>
            <w:r>
              <w:rPr>
                <w:lang w:val="en-AU"/>
              </w:rPr>
              <w:t>14</w:t>
            </w:r>
          </w:p>
        </w:tc>
        <w:tc>
          <w:tcPr>
            <w:tcW w:w="567" w:type="dxa"/>
          </w:tcPr>
          <w:p w14:paraId="784A2E52" w14:textId="63BDBD5F" w:rsidR="00F81C13" w:rsidRDefault="0008105D" w:rsidP="00A3448B">
            <w:pPr>
              <w:pStyle w:val="VCAAtablecondensed"/>
              <w:rPr>
                <w:lang w:val="en-AU"/>
              </w:rPr>
            </w:pPr>
            <w:r>
              <w:rPr>
                <w:lang w:val="en-AU"/>
              </w:rPr>
              <w:t>5</w:t>
            </w:r>
          </w:p>
        </w:tc>
        <w:tc>
          <w:tcPr>
            <w:tcW w:w="993" w:type="dxa"/>
          </w:tcPr>
          <w:p w14:paraId="50DFF55A" w14:textId="5A8450DC" w:rsidR="00F81C13" w:rsidRPr="00141A4D" w:rsidRDefault="0008105D" w:rsidP="00A3448B">
            <w:pPr>
              <w:pStyle w:val="VCAAtablecondensed"/>
              <w:rPr>
                <w:lang w:val="en-AU"/>
              </w:rPr>
            </w:pPr>
            <w:r>
              <w:rPr>
                <w:lang w:val="en-AU"/>
              </w:rPr>
              <w:t>7.1</w:t>
            </w:r>
          </w:p>
        </w:tc>
      </w:tr>
    </w:tbl>
    <w:p w14:paraId="64A9BB7B" w14:textId="2F15CB2D" w:rsidR="003A156E" w:rsidRPr="003A156E" w:rsidRDefault="003A156E" w:rsidP="00B038C5">
      <w:pPr>
        <w:pStyle w:val="VCAAbody"/>
      </w:pPr>
      <w:r w:rsidRPr="003A156E">
        <w:t xml:space="preserve">Students </w:t>
      </w:r>
      <w:r w:rsidR="002F0B3D">
        <w:t>we</w:t>
      </w:r>
      <w:r w:rsidRPr="003A156E">
        <w:t xml:space="preserve">re expected to submit a carefully refined and polished report, making deliberate choices to ensure clarity and precision in language. At a fundamental level, students should demonstrate a firm command of spelling, grammar and punctuation, </w:t>
      </w:r>
      <w:r w:rsidR="002F0B3D">
        <w:t>developing</w:t>
      </w:r>
      <w:r w:rsidR="002F0B3D" w:rsidRPr="003A156E">
        <w:t xml:space="preserve"> </w:t>
      </w:r>
      <w:r w:rsidRPr="003A156E">
        <w:t>ideas logically within and between paragraphs. The report should be thoroughly developed, revised and presented to the highest standard, given the time available for completing the investigation and writing process.</w:t>
      </w:r>
    </w:p>
    <w:p w14:paraId="5E8A40BD" w14:textId="72204D5E" w:rsidR="003A156E" w:rsidRPr="003A156E" w:rsidRDefault="003A156E" w:rsidP="00B038C5">
      <w:pPr>
        <w:pStyle w:val="VCAAbody"/>
      </w:pPr>
      <w:r w:rsidRPr="003A156E">
        <w:t xml:space="preserve">Students should be cautious about overusing acronyms, as this can disrupt the flow of writing and cause confusion for readers. Similarly, if a glossary is included, it should work alongside embedded definitions within the text to strengthen the reader's understanding. Repetition of information across sections should be avoided; instead, students should use paraphrasing to revisit key points or expand on ideas as they reappear later in the report. Additionally, students should be mindful when using proofreading or editing tools, including AI, to ensure that they do not unintentionally alter the tone </w:t>
      </w:r>
      <w:proofErr w:type="spellStart"/>
      <w:r w:rsidRPr="003A156E">
        <w:t>or</w:t>
      </w:r>
      <w:proofErr w:type="spellEnd"/>
      <w:r w:rsidRPr="003A156E">
        <w:t xml:space="preserve"> voice of the report. Consistency in language style, sentence structure, vocabulary and clarity </w:t>
      </w:r>
      <w:proofErr w:type="gramStart"/>
      <w:r w:rsidRPr="003A156E">
        <w:t>is</w:t>
      </w:r>
      <w:proofErr w:type="gramEnd"/>
      <w:r w:rsidRPr="003A156E">
        <w:t xml:space="preserve"> crucial to meeting this criterion. Without careful attention to the cohesion of the report, inconsistencies in expression and clarity may emerge, detracting from the overall quality of the work.</w:t>
      </w:r>
    </w:p>
    <w:p w14:paraId="7E757F87" w14:textId="77777777" w:rsidR="007E4214" w:rsidRDefault="007E4214" w:rsidP="000E54D5">
      <w:pPr>
        <w:pStyle w:val="VCAAbody"/>
      </w:pPr>
      <w:r>
        <w:br w:type="page"/>
      </w:r>
    </w:p>
    <w:p w14:paraId="1431A7EA" w14:textId="5C09C91F" w:rsidR="00A64FD7" w:rsidRPr="00F56CF7" w:rsidRDefault="00AA0364" w:rsidP="00B80834">
      <w:pPr>
        <w:pStyle w:val="VCAAHeading3"/>
      </w:pPr>
      <w:r w:rsidRPr="00F56CF7">
        <w:lastRenderedPageBreak/>
        <w:t xml:space="preserve">Criterion </w:t>
      </w:r>
      <w:r w:rsidR="00A64FD7" w:rsidRPr="00F56CF7">
        <w:t xml:space="preserve">6 </w:t>
      </w:r>
      <w:r w:rsidR="0041444B" w:rsidRPr="00F56CF7">
        <w:t>–</w:t>
      </w:r>
      <w:r w:rsidR="00A64FD7" w:rsidRPr="00F56CF7">
        <w:t xml:space="preserve"> Observance of </w:t>
      </w:r>
      <w:r w:rsidRPr="00F56CF7">
        <w:t>r</w:t>
      </w:r>
      <w:r w:rsidR="00A64FD7" w:rsidRPr="00F56CF7">
        <w:t xml:space="preserve">eport </w:t>
      </w:r>
      <w:r w:rsidRPr="00F56CF7">
        <w:t>w</w:t>
      </w:r>
      <w:r w:rsidR="00A64FD7" w:rsidRPr="00F56CF7">
        <w:t xml:space="preserve">riting </w:t>
      </w:r>
      <w:r w:rsidRPr="00F56CF7">
        <w:t>c</w:t>
      </w:r>
      <w:r w:rsidR="00A64FD7" w:rsidRPr="00F56CF7">
        <w:t xml:space="preserve">onventions, including </w:t>
      </w:r>
      <w:r w:rsidRPr="00F56CF7">
        <w:t>c</w:t>
      </w:r>
      <w:r w:rsidR="00A64FD7" w:rsidRPr="00F56CF7">
        <w:t xml:space="preserve">itations and </w:t>
      </w:r>
      <w:r w:rsidRPr="00F56CF7">
        <w:t>b</w:t>
      </w:r>
      <w:r w:rsidR="00A64FD7" w:rsidRPr="00F56CF7">
        <w:t xml:space="preserve">ibliographic </w:t>
      </w:r>
      <w:r w:rsidRPr="00F56CF7">
        <w:t>r</w:t>
      </w:r>
      <w:r w:rsidR="00A64FD7" w:rsidRPr="00F56CF7">
        <w:t xml:space="preserve">eferencing of </w:t>
      </w:r>
      <w:r w:rsidRPr="00F56CF7">
        <w:t>s</w:t>
      </w:r>
      <w:r w:rsidR="00A64FD7" w:rsidRPr="00F56CF7">
        <w:t>ources</w:t>
      </w:r>
    </w:p>
    <w:tbl>
      <w:tblPr>
        <w:tblStyle w:val="VCAATableClosed"/>
        <w:tblW w:w="0" w:type="auto"/>
        <w:tblInd w:w="-5" w:type="dxa"/>
        <w:tblLayout w:type="fixed"/>
        <w:tblLook w:val="04A0" w:firstRow="1" w:lastRow="0" w:firstColumn="1" w:lastColumn="0" w:noHBand="0" w:noVBand="1"/>
      </w:tblPr>
      <w:tblGrid>
        <w:gridCol w:w="694"/>
        <w:gridCol w:w="506"/>
        <w:gridCol w:w="501"/>
        <w:gridCol w:w="509"/>
        <w:gridCol w:w="505"/>
        <w:gridCol w:w="545"/>
        <w:gridCol w:w="567"/>
        <w:gridCol w:w="567"/>
        <w:gridCol w:w="567"/>
        <w:gridCol w:w="567"/>
        <w:gridCol w:w="567"/>
        <w:gridCol w:w="567"/>
        <w:gridCol w:w="993"/>
      </w:tblGrid>
      <w:tr w:rsidR="00F81C13" w:rsidRPr="00141A4D" w14:paraId="391E7A30" w14:textId="77777777" w:rsidTr="00A3448B">
        <w:trPr>
          <w:cnfStyle w:val="100000000000" w:firstRow="1" w:lastRow="0" w:firstColumn="0" w:lastColumn="0" w:oddVBand="0" w:evenVBand="0" w:oddHBand="0" w:evenHBand="0" w:firstRowFirstColumn="0" w:firstRowLastColumn="0" w:lastRowFirstColumn="0" w:lastRowLastColumn="0"/>
        </w:trPr>
        <w:tc>
          <w:tcPr>
            <w:tcW w:w="694" w:type="dxa"/>
          </w:tcPr>
          <w:p w14:paraId="26D0477B" w14:textId="77777777" w:rsidR="00F81C13" w:rsidRPr="00141A4D" w:rsidRDefault="00F81C13" w:rsidP="00A3448B">
            <w:pPr>
              <w:pStyle w:val="VCAAtablecondensedheading"/>
              <w:rPr>
                <w:lang w:val="en-AU"/>
              </w:rPr>
            </w:pPr>
            <w:r w:rsidRPr="00141A4D">
              <w:rPr>
                <w:lang w:val="en-AU"/>
              </w:rPr>
              <w:t>Mark</w:t>
            </w:r>
          </w:p>
        </w:tc>
        <w:tc>
          <w:tcPr>
            <w:tcW w:w="506" w:type="dxa"/>
          </w:tcPr>
          <w:p w14:paraId="1F52EFEF" w14:textId="77777777" w:rsidR="00F81C13" w:rsidRPr="00141A4D" w:rsidRDefault="00F81C13" w:rsidP="00A3448B">
            <w:pPr>
              <w:pStyle w:val="VCAAtablecondensedheading"/>
              <w:rPr>
                <w:lang w:val="en-AU"/>
              </w:rPr>
            </w:pPr>
            <w:r w:rsidRPr="00141A4D">
              <w:rPr>
                <w:lang w:val="en-AU"/>
              </w:rPr>
              <w:t>0</w:t>
            </w:r>
          </w:p>
        </w:tc>
        <w:tc>
          <w:tcPr>
            <w:tcW w:w="501" w:type="dxa"/>
          </w:tcPr>
          <w:p w14:paraId="4BCB6AC8" w14:textId="77777777" w:rsidR="00F81C13" w:rsidRPr="00141A4D" w:rsidRDefault="00F81C13" w:rsidP="00A3448B">
            <w:pPr>
              <w:pStyle w:val="VCAAtablecondensedheading"/>
              <w:rPr>
                <w:lang w:val="en-AU"/>
              </w:rPr>
            </w:pPr>
            <w:r w:rsidRPr="00141A4D">
              <w:rPr>
                <w:lang w:val="en-AU"/>
              </w:rPr>
              <w:t>1</w:t>
            </w:r>
          </w:p>
        </w:tc>
        <w:tc>
          <w:tcPr>
            <w:tcW w:w="509" w:type="dxa"/>
          </w:tcPr>
          <w:p w14:paraId="55CC5505" w14:textId="77777777" w:rsidR="00F81C13" w:rsidRPr="00141A4D" w:rsidRDefault="00F81C13" w:rsidP="00A3448B">
            <w:pPr>
              <w:pStyle w:val="VCAAtablecondensedheading"/>
              <w:rPr>
                <w:lang w:val="en-AU"/>
              </w:rPr>
            </w:pPr>
            <w:r w:rsidRPr="00141A4D">
              <w:rPr>
                <w:lang w:val="en-AU"/>
              </w:rPr>
              <w:t>2</w:t>
            </w:r>
          </w:p>
        </w:tc>
        <w:tc>
          <w:tcPr>
            <w:tcW w:w="505" w:type="dxa"/>
          </w:tcPr>
          <w:p w14:paraId="1AE67CE8" w14:textId="77777777" w:rsidR="00F81C13" w:rsidRPr="00141A4D" w:rsidRDefault="00F81C13" w:rsidP="00A3448B">
            <w:pPr>
              <w:pStyle w:val="VCAAtablecondensedheading"/>
              <w:rPr>
                <w:lang w:val="en-AU"/>
              </w:rPr>
            </w:pPr>
            <w:r w:rsidRPr="00141A4D">
              <w:rPr>
                <w:lang w:val="en-AU"/>
              </w:rPr>
              <w:t>3</w:t>
            </w:r>
          </w:p>
        </w:tc>
        <w:tc>
          <w:tcPr>
            <w:tcW w:w="545" w:type="dxa"/>
          </w:tcPr>
          <w:p w14:paraId="17528CD3" w14:textId="77777777" w:rsidR="00F81C13" w:rsidRPr="00141A4D" w:rsidRDefault="00F81C13" w:rsidP="00A3448B">
            <w:pPr>
              <w:pStyle w:val="VCAAtablecondensedheading"/>
              <w:rPr>
                <w:lang w:val="en-AU"/>
              </w:rPr>
            </w:pPr>
            <w:r w:rsidRPr="00141A4D">
              <w:rPr>
                <w:lang w:val="en-AU"/>
              </w:rPr>
              <w:t>4</w:t>
            </w:r>
          </w:p>
        </w:tc>
        <w:tc>
          <w:tcPr>
            <w:tcW w:w="567" w:type="dxa"/>
          </w:tcPr>
          <w:p w14:paraId="54F14B80" w14:textId="77777777" w:rsidR="00F81C13" w:rsidRPr="00141A4D" w:rsidRDefault="00F81C13" w:rsidP="00A3448B">
            <w:pPr>
              <w:pStyle w:val="VCAAtablecondensedheading"/>
              <w:rPr>
                <w:lang w:val="en-AU"/>
              </w:rPr>
            </w:pPr>
            <w:r>
              <w:rPr>
                <w:lang w:val="en-AU"/>
              </w:rPr>
              <w:t>5</w:t>
            </w:r>
          </w:p>
        </w:tc>
        <w:tc>
          <w:tcPr>
            <w:tcW w:w="567" w:type="dxa"/>
          </w:tcPr>
          <w:p w14:paraId="47EA46F7" w14:textId="77777777" w:rsidR="00F81C13" w:rsidRPr="00141A4D" w:rsidRDefault="00F81C13" w:rsidP="00A3448B">
            <w:pPr>
              <w:pStyle w:val="VCAAtablecondensedheading"/>
              <w:rPr>
                <w:lang w:val="en-AU"/>
              </w:rPr>
            </w:pPr>
            <w:r>
              <w:rPr>
                <w:lang w:val="en-AU"/>
              </w:rPr>
              <w:t>6</w:t>
            </w:r>
          </w:p>
        </w:tc>
        <w:tc>
          <w:tcPr>
            <w:tcW w:w="567" w:type="dxa"/>
          </w:tcPr>
          <w:p w14:paraId="01B146EE" w14:textId="77777777" w:rsidR="00F81C13" w:rsidRPr="00141A4D" w:rsidRDefault="00F81C13" w:rsidP="00A3448B">
            <w:pPr>
              <w:pStyle w:val="VCAAtablecondensedheading"/>
              <w:rPr>
                <w:lang w:val="en-AU"/>
              </w:rPr>
            </w:pPr>
            <w:r>
              <w:rPr>
                <w:lang w:val="en-AU"/>
              </w:rPr>
              <w:t>7</w:t>
            </w:r>
          </w:p>
        </w:tc>
        <w:tc>
          <w:tcPr>
            <w:tcW w:w="567" w:type="dxa"/>
          </w:tcPr>
          <w:p w14:paraId="08FAB9BC" w14:textId="77777777" w:rsidR="00F81C13" w:rsidRPr="00141A4D" w:rsidRDefault="00F81C13" w:rsidP="00A3448B">
            <w:pPr>
              <w:pStyle w:val="VCAAtablecondensedheading"/>
              <w:rPr>
                <w:lang w:val="en-AU"/>
              </w:rPr>
            </w:pPr>
            <w:r>
              <w:rPr>
                <w:lang w:val="en-AU"/>
              </w:rPr>
              <w:t>8</w:t>
            </w:r>
          </w:p>
        </w:tc>
        <w:tc>
          <w:tcPr>
            <w:tcW w:w="567" w:type="dxa"/>
          </w:tcPr>
          <w:p w14:paraId="15B4074A" w14:textId="77777777" w:rsidR="00F81C13" w:rsidRPr="00141A4D" w:rsidRDefault="00F81C13" w:rsidP="00A3448B">
            <w:pPr>
              <w:pStyle w:val="VCAAtablecondensedheading"/>
              <w:rPr>
                <w:lang w:val="en-AU"/>
              </w:rPr>
            </w:pPr>
            <w:r>
              <w:rPr>
                <w:lang w:val="en-AU"/>
              </w:rPr>
              <w:t>9</w:t>
            </w:r>
          </w:p>
        </w:tc>
        <w:tc>
          <w:tcPr>
            <w:tcW w:w="567" w:type="dxa"/>
          </w:tcPr>
          <w:p w14:paraId="36886FE0" w14:textId="77777777" w:rsidR="00F81C13" w:rsidRPr="00141A4D" w:rsidRDefault="00F81C13" w:rsidP="00A3448B">
            <w:pPr>
              <w:pStyle w:val="VCAAtablecondensedheading"/>
              <w:rPr>
                <w:lang w:val="en-AU"/>
              </w:rPr>
            </w:pPr>
            <w:r>
              <w:rPr>
                <w:lang w:val="en-AU"/>
              </w:rPr>
              <w:t>10</w:t>
            </w:r>
          </w:p>
        </w:tc>
        <w:tc>
          <w:tcPr>
            <w:tcW w:w="993" w:type="dxa"/>
          </w:tcPr>
          <w:p w14:paraId="2B38B257" w14:textId="77777777" w:rsidR="00F81C13" w:rsidRPr="00141A4D" w:rsidRDefault="00F81C13" w:rsidP="00A3448B">
            <w:pPr>
              <w:pStyle w:val="VCAAtablecondensedheading"/>
              <w:rPr>
                <w:lang w:val="en-AU"/>
              </w:rPr>
            </w:pPr>
            <w:r w:rsidRPr="00141A4D">
              <w:rPr>
                <w:lang w:val="en-AU"/>
              </w:rPr>
              <w:t>Average</w:t>
            </w:r>
          </w:p>
        </w:tc>
      </w:tr>
      <w:tr w:rsidR="00F81C13" w:rsidRPr="00141A4D" w14:paraId="57AD740B" w14:textId="77777777" w:rsidTr="00A3448B">
        <w:tc>
          <w:tcPr>
            <w:tcW w:w="694" w:type="dxa"/>
          </w:tcPr>
          <w:p w14:paraId="61426152" w14:textId="77777777" w:rsidR="00F81C13" w:rsidRPr="00141A4D" w:rsidRDefault="00F81C13" w:rsidP="00A3448B">
            <w:pPr>
              <w:pStyle w:val="VCAAtablecondensed"/>
              <w:rPr>
                <w:lang w:val="en-AU"/>
              </w:rPr>
            </w:pPr>
            <w:r w:rsidRPr="00141A4D">
              <w:rPr>
                <w:lang w:val="en-AU"/>
              </w:rPr>
              <w:t>%</w:t>
            </w:r>
          </w:p>
        </w:tc>
        <w:tc>
          <w:tcPr>
            <w:tcW w:w="506" w:type="dxa"/>
          </w:tcPr>
          <w:p w14:paraId="4A9C777B" w14:textId="50EDA090" w:rsidR="00F81C13" w:rsidRPr="00141A4D" w:rsidRDefault="0008105D" w:rsidP="00A3448B">
            <w:pPr>
              <w:pStyle w:val="VCAAtablecondensed"/>
              <w:rPr>
                <w:lang w:val="en-AU"/>
              </w:rPr>
            </w:pPr>
            <w:r>
              <w:rPr>
                <w:lang w:val="en-AU"/>
              </w:rPr>
              <w:t>0</w:t>
            </w:r>
          </w:p>
        </w:tc>
        <w:tc>
          <w:tcPr>
            <w:tcW w:w="501" w:type="dxa"/>
          </w:tcPr>
          <w:p w14:paraId="6FA08AB7" w14:textId="3379B275" w:rsidR="00F81C13" w:rsidRPr="00141A4D" w:rsidRDefault="0008105D" w:rsidP="00A3448B">
            <w:pPr>
              <w:pStyle w:val="VCAAtablecondensed"/>
              <w:rPr>
                <w:lang w:val="en-AU"/>
              </w:rPr>
            </w:pPr>
            <w:r>
              <w:rPr>
                <w:lang w:val="en-AU"/>
              </w:rPr>
              <w:t>0</w:t>
            </w:r>
          </w:p>
        </w:tc>
        <w:tc>
          <w:tcPr>
            <w:tcW w:w="509" w:type="dxa"/>
          </w:tcPr>
          <w:p w14:paraId="7CF670EF" w14:textId="69C90B1C" w:rsidR="00F81C13" w:rsidRPr="00141A4D" w:rsidRDefault="0008105D" w:rsidP="00A3448B">
            <w:pPr>
              <w:pStyle w:val="VCAAtablecondensed"/>
              <w:rPr>
                <w:lang w:val="en-AU"/>
              </w:rPr>
            </w:pPr>
            <w:r>
              <w:rPr>
                <w:lang w:val="en-AU"/>
              </w:rPr>
              <w:t>0</w:t>
            </w:r>
          </w:p>
        </w:tc>
        <w:tc>
          <w:tcPr>
            <w:tcW w:w="505" w:type="dxa"/>
          </w:tcPr>
          <w:p w14:paraId="155774BE" w14:textId="5E8EFC78" w:rsidR="00F81C13" w:rsidRPr="00141A4D" w:rsidRDefault="0008105D" w:rsidP="00A3448B">
            <w:pPr>
              <w:pStyle w:val="VCAAtablecondensed"/>
              <w:rPr>
                <w:lang w:val="en-AU"/>
              </w:rPr>
            </w:pPr>
            <w:r>
              <w:rPr>
                <w:lang w:val="en-AU"/>
              </w:rPr>
              <w:t>2</w:t>
            </w:r>
          </w:p>
        </w:tc>
        <w:tc>
          <w:tcPr>
            <w:tcW w:w="545" w:type="dxa"/>
          </w:tcPr>
          <w:p w14:paraId="57265080" w14:textId="02157514" w:rsidR="00F81C13" w:rsidRPr="00141A4D" w:rsidRDefault="006A3BB6" w:rsidP="00A3448B">
            <w:pPr>
              <w:pStyle w:val="VCAAtablecondensed"/>
              <w:rPr>
                <w:lang w:val="en-AU"/>
              </w:rPr>
            </w:pPr>
            <w:r>
              <w:rPr>
                <w:lang w:val="en-AU"/>
              </w:rPr>
              <w:t>6</w:t>
            </w:r>
          </w:p>
        </w:tc>
        <w:tc>
          <w:tcPr>
            <w:tcW w:w="567" w:type="dxa"/>
          </w:tcPr>
          <w:p w14:paraId="73EB102B" w14:textId="082FA88E" w:rsidR="00F81C13" w:rsidRDefault="006A3BB6" w:rsidP="00A3448B">
            <w:pPr>
              <w:pStyle w:val="VCAAtablecondensed"/>
              <w:rPr>
                <w:lang w:val="en-AU"/>
              </w:rPr>
            </w:pPr>
            <w:r>
              <w:rPr>
                <w:lang w:val="en-AU"/>
              </w:rPr>
              <w:t>9</w:t>
            </w:r>
          </w:p>
        </w:tc>
        <w:tc>
          <w:tcPr>
            <w:tcW w:w="567" w:type="dxa"/>
          </w:tcPr>
          <w:p w14:paraId="1BD84160" w14:textId="3A6981B6" w:rsidR="00F81C13" w:rsidRDefault="006A3BB6" w:rsidP="00A3448B">
            <w:pPr>
              <w:pStyle w:val="VCAAtablecondensed"/>
              <w:rPr>
                <w:lang w:val="en-AU"/>
              </w:rPr>
            </w:pPr>
            <w:r>
              <w:rPr>
                <w:lang w:val="en-AU"/>
              </w:rPr>
              <w:t>15</w:t>
            </w:r>
          </w:p>
        </w:tc>
        <w:tc>
          <w:tcPr>
            <w:tcW w:w="567" w:type="dxa"/>
          </w:tcPr>
          <w:p w14:paraId="5250CE2D" w14:textId="5761FB11" w:rsidR="00F81C13" w:rsidRDefault="006A3BB6" w:rsidP="00A3448B">
            <w:pPr>
              <w:pStyle w:val="VCAAtablecondensed"/>
              <w:rPr>
                <w:lang w:val="en-AU"/>
              </w:rPr>
            </w:pPr>
            <w:r>
              <w:rPr>
                <w:lang w:val="en-AU"/>
              </w:rPr>
              <w:t>19</w:t>
            </w:r>
          </w:p>
        </w:tc>
        <w:tc>
          <w:tcPr>
            <w:tcW w:w="567" w:type="dxa"/>
          </w:tcPr>
          <w:p w14:paraId="01026713" w14:textId="6EC1720F" w:rsidR="00F81C13" w:rsidRDefault="006A3BB6" w:rsidP="00A3448B">
            <w:pPr>
              <w:pStyle w:val="VCAAtablecondensed"/>
              <w:rPr>
                <w:lang w:val="en-AU"/>
              </w:rPr>
            </w:pPr>
            <w:r>
              <w:rPr>
                <w:lang w:val="en-AU"/>
              </w:rPr>
              <w:t>24</w:t>
            </w:r>
          </w:p>
        </w:tc>
        <w:tc>
          <w:tcPr>
            <w:tcW w:w="567" w:type="dxa"/>
          </w:tcPr>
          <w:p w14:paraId="5438E565" w14:textId="7DA0CE92" w:rsidR="00F81C13" w:rsidRDefault="006A3BB6" w:rsidP="00A3448B">
            <w:pPr>
              <w:pStyle w:val="VCAAtablecondensed"/>
              <w:rPr>
                <w:lang w:val="en-AU"/>
              </w:rPr>
            </w:pPr>
            <w:r>
              <w:rPr>
                <w:lang w:val="en-AU"/>
              </w:rPr>
              <w:t>20</w:t>
            </w:r>
          </w:p>
        </w:tc>
        <w:tc>
          <w:tcPr>
            <w:tcW w:w="567" w:type="dxa"/>
          </w:tcPr>
          <w:p w14:paraId="25C534F4" w14:textId="75F5D1C0" w:rsidR="00F81C13" w:rsidRDefault="006A3BB6" w:rsidP="00A3448B">
            <w:pPr>
              <w:pStyle w:val="VCAAtablecondensed"/>
              <w:rPr>
                <w:lang w:val="en-AU"/>
              </w:rPr>
            </w:pPr>
            <w:r>
              <w:rPr>
                <w:lang w:val="en-AU"/>
              </w:rPr>
              <w:t>6</w:t>
            </w:r>
          </w:p>
        </w:tc>
        <w:tc>
          <w:tcPr>
            <w:tcW w:w="993" w:type="dxa"/>
          </w:tcPr>
          <w:p w14:paraId="198D2ABE" w14:textId="58BDAAF2" w:rsidR="00F81C13" w:rsidRPr="00141A4D" w:rsidRDefault="006A3BB6" w:rsidP="00A3448B">
            <w:pPr>
              <w:pStyle w:val="VCAAtablecondensed"/>
              <w:rPr>
                <w:lang w:val="en-AU"/>
              </w:rPr>
            </w:pPr>
            <w:r>
              <w:rPr>
                <w:lang w:val="en-AU"/>
              </w:rPr>
              <w:t>7.2</w:t>
            </w:r>
          </w:p>
        </w:tc>
      </w:tr>
    </w:tbl>
    <w:p w14:paraId="16F595D1" w14:textId="58DFEA52" w:rsidR="003A156E" w:rsidRPr="00B038C5" w:rsidRDefault="003A156E" w:rsidP="00B038C5">
      <w:pPr>
        <w:pStyle w:val="VCAAbody"/>
      </w:pPr>
      <w:r w:rsidRPr="00B038C5">
        <w:t>Criterion 6 assesse</w:t>
      </w:r>
      <w:r w:rsidR="00F53D91">
        <w:t>d</w:t>
      </w:r>
      <w:r w:rsidRPr="00B038C5">
        <w:t xml:space="preserve"> a student’s understanding of the structural conventions of a research report, focusing on proper referencing and citation practices, as well as the overall organisation of the report. Students </w:t>
      </w:r>
      <w:r w:rsidR="00F53D91">
        <w:t>needed to</w:t>
      </w:r>
      <w:r w:rsidR="00F53D91" w:rsidRPr="00B038C5">
        <w:t xml:space="preserve"> </w:t>
      </w:r>
      <w:proofErr w:type="spellStart"/>
      <w:r w:rsidRPr="00B038C5">
        <w:t>recognise</w:t>
      </w:r>
      <w:proofErr w:type="spellEnd"/>
      <w:r w:rsidRPr="00B038C5">
        <w:t xml:space="preserve"> the role of each section in building the investigation’s narrative and justifying their findings. </w:t>
      </w:r>
      <w:r w:rsidR="00F53D91">
        <w:t>Some reports did not</w:t>
      </w:r>
      <w:r w:rsidRPr="00B038C5">
        <w:t xml:space="preserve"> adhere to these conventions</w:t>
      </w:r>
      <w:r w:rsidR="00F53D91">
        <w:t>, which</w:t>
      </w:r>
      <w:r w:rsidRPr="00B038C5">
        <w:t xml:space="preserve"> detract</w:t>
      </w:r>
      <w:r w:rsidR="00F53D91">
        <w:t>ed</w:t>
      </w:r>
      <w:r w:rsidRPr="00B038C5">
        <w:t xml:space="preserve"> from the clarity and coherence of the report, impacting multiple criteria. Raw data </w:t>
      </w:r>
      <w:r w:rsidRPr="00F53D91">
        <w:t>should be</w:t>
      </w:r>
      <w:r w:rsidRPr="00B038C5">
        <w:t xml:space="preserve"> included in the appendix only when directly referenced in the report, and only brief excerpts such as interview quotes should be included</w:t>
      </w:r>
      <w:r w:rsidR="00F53D91">
        <w:t xml:space="preserve">, </w:t>
      </w:r>
      <w:r w:rsidRPr="00B038C5">
        <w:t xml:space="preserve">avoiding extensive transcripts or raw survey data. Any data or participant information used </w:t>
      </w:r>
      <w:r w:rsidRPr="00F53D91">
        <w:t>must be</w:t>
      </w:r>
      <w:r w:rsidRPr="00B038C5">
        <w:t xml:space="preserve"> </w:t>
      </w:r>
      <w:proofErr w:type="spellStart"/>
      <w:r w:rsidRPr="00B038C5">
        <w:t>anonymised</w:t>
      </w:r>
      <w:proofErr w:type="spellEnd"/>
      <w:r w:rsidRPr="00B038C5">
        <w:t xml:space="preserve"> to maintain confidentiality.</w:t>
      </w:r>
    </w:p>
    <w:p w14:paraId="16318291" w14:textId="4D32E567" w:rsidR="0044213C" w:rsidRPr="0041444B" w:rsidRDefault="003A156E" w:rsidP="000E54D5">
      <w:pPr>
        <w:pStyle w:val="VCAAbody"/>
      </w:pPr>
      <w:r w:rsidRPr="00B038C5">
        <w:t xml:space="preserve">In addition, students </w:t>
      </w:r>
      <w:r w:rsidR="00F53D91">
        <w:t>needed to</w:t>
      </w:r>
      <w:r w:rsidR="00F53D91" w:rsidRPr="00B038C5">
        <w:t xml:space="preserve"> </w:t>
      </w:r>
      <w:r w:rsidRPr="00F53D91">
        <w:t>demonstrate</w:t>
      </w:r>
      <w:r w:rsidRPr="00B038C5">
        <w:t xml:space="preserve"> a clear understanding of referencing conventions, distinguishing between paraphrasing, quoting, and </w:t>
      </w:r>
      <w:proofErr w:type="spellStart"/>
      <w:r w:rsidRPr="00B038C5">
        <w:t>synthesising</w:t>
      </w:r>
      <w:proofErr w:type="spellEnd"/>
      <w:r w:rsidRPr="00B038C5">
        <w:t xml:space="preserve"> ideas. The ability to properly attribute ideas to their original sources is essential for developing academic integrity throughout the coursework and final report. Inconsistent or improper referencing can significantly affect the quality of the report, especially when distinguishing between a student’s own ideas and those of others. Appendices should only contain supplementary information that supports the investigation but is not central to the main text. If the information is crucial to understanding the report, it should be included in the body rather than the appendices.</w:t>
      </w:r>
    </w:p>
    <w:sectPr w:rsidR="0044213C" w:rsidRPr="0041444B" w:rsidSect="00523F31">
      <w:headerReference w:type="default" r:id="rId8"/>
      <w:footerReference w:type="default" r:id="rId9"/>
      <w:headerReference w:type="first" r:id="rId10"/>
      <w:footerReference w:type="first" r:id="rId11"/>
      <w:type w:val="continuous"/>
      <w:pgSz w:w="11907" w:h="16840" w:code="9"/>
      <w:pgMar w:top="1418" w:right="1134"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3C8E" w14:textId="77777777" w:rsidR="009D5E81" w:rsidRDefault="009D5E81" w:rsidP="00304EA1">
      <w:r>
        <w:separator/>
      </w:r>
    </w:p>
  </w:endnote>
  <w:endnote w:type="continuationSeparator" w:id="0">
    <w:p w14:paraId="432C13C8" w14:textId="77777777" w:rsidR="009D5E81" w:rsidRDefault="009D5E81"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D5E81" w:rsidRPr="00D06414" w14:paraId="4E838C28" w14:textId="77777777" w:rsidTr="00BB3BAB">
      <w:trPr>
        <w:trHeight w:val="476"/>
      </w:trPr>
      <w:tc>
        <w:tcPr>
          <w:tcW w:w="1667" w:type="pct"/>
          <w:tcMar>
            <w:left w:w="0" w:type="dxa"/>
            <w:right w:w="0" w:type="dxa"/>
          </w:tcMar>
        </w:tcPr>
        <w:p w14:paraId="7321B6BA" w14:textId="77777777" w:rsidR="009D5E81" w:rsidRPr="00D06414" w:rsidRDefault="009D5E8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6F6BFD2C" w14:textId="77777777" w:rsidR="009D5E81" w:rsidRPr="00D06414" w:rsidRDefault="009D5E8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1CDC67B7" w14:textId="7B1C689B" w:rsidR="009D5E81" w:rsidRPr="00D06414" w:rsidRDefault="009D5E8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A32BB">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7A4A89C" w14:textId="77777777" w:rsidR="009D5E81" w:rsidRPr="00D06414" w:rsidRDefault="009D5E8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891E344" wp14:editId="0FC8ACB4">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9D5E81" w:rsidRPr="00D06414" w14:paraId="4BFF3D45" w14:textId="77777777" w:rsidTr="000F5AAF">
      <w:tc>
        <w:tcPr>
          <w:tcW w:w="1459" w:type="pct"/>
          <w:tcMar>
            <w:left w:w="0" w:type="dxa"/>
            <w:right w:w="0" w:type="dxa"/>
          </w:tcMar>
        </w:tcPr>
        <w:p w14:paraId="5519B453" w14:textId="77777777" w:rsidR="009D5E81" w:rsidRPr="00D06414" w:rsidRDefault="009D5E8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627ACA4" w14:textId="77777777" w:rsidR="009D5E81" w:rsidRPr="00D06414" w:rsidRDefault="009D5E8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B16FD46" w14:textId="77777777" w:rsidR="009D5E81" w:rsidRPr="00D06414" w:rsidRDefault="009D5E8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9DE6DEA" w14:textId="77777777" w:rsidR="009D5E81" w:rsidRPr="00D06414" w:rsidRDefault="009D5E8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D839FF" wp14:editId="1B35E2ED">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BF4F" w14:textId="77777777" w:rsidR="009D5E81" w:rsidRDefault="009D5E81" w:rsidP="00304EA1">
      <w:r>
        <w:separator/>
      </w:r>
    </w:p>
  </w:footnote>
  <w:footnote w:type="continuationSeparator" w:id="0">
    <w:p w14:paraId="5ECE2EB5" w14:textId="77777777" w:rsidR="009D5E81" w:rsidRDefault="009D5E81"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CC7B" w14:textId="4F2CDED0" w:rsidR="009D5E81" w:rsidRPr="00D86DE4" w:rsidRDefault="00E0313B" w:rsidP="00D86DE4">
    <w:pPr>
      <w:pStyle w:val="VCAAcaptionsandfootnotes"/>
      <w:rPr>
        <w:color w:val="999999" w:themeColor="accent2"/>
      </w:rPr>
    </w:pPr>
    <w:r w:rsidRPr="00F56CF7">
      <w:t>2024 VCE Extended Investigation written external assessment report</w:t>
    </w:r>
    <w:r w:rsidR="009D5E8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5DA1" w14:textId="77777777" w:rsidR="009D5E81" w:rsidRPr="009370BC" w:rsidRDefault="009D5E81" w:rsidP="00970580">
    <w:pPr>
      <w:ind w:right="-142"/>
      <w:jc w:val="right"/>
    </w:pPr>
    <w:r>
      <w:rPr>
        <w:noProof/>
        <w:lang w:val="en-AU" w:eastAsia="en-AU"/>
      </w:rPr>
      <w:drawing>
        <wp:anchor distT="0" distB="0" distL="114300" distR="114300" simplePos="0" relativeHeight="251660288" behindDoc="1" locked="1" layoutInCell="1" allowOverlap="1" wp14:anchorId="209638C1" wp14:editId="3E0C02E7">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F16BD8"/>
    <w:multiLevelType w:val="hybridMultilevel"/>
    <w:tmpl w:val="2C6A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83297296">
    <w:abstractNumId w:val="5"/>
  </w:num>
  <w:num w:numId="2" w16cid:durableId="931400544">
    <w:abstractNumId w:val="3"/>
  </w:num>
  <w:num w:numId="3" w16cid:durableId="144126808">
    <w:abstractNumId w:val="2"/>
  </w:num>
  <w:num w:numId="4" w16cid:durableId="1675106146">
    <w:abstractNumId w:val="0"/>
  </w:num>
  <w:num w:numId="5" w16cid:durableId="420954989">
    <w:abstractNumId w:val="4"/>
  </w:num>
  <w:num w:numId="6" w16cid:durableId="1526363824">
    <w:abstractNumId w:val="1"/>
  </w:num>
  <w:num w:numId="7" w16cid:durableId="1070083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90"/>
    <w:rsid w:val="000014D6"/>
    <w:rsid w:val="00003885"/>
    <w:rsid w:val="0000520B"/>
    <w:rsid w:val="000079F6"/>
    <w:rsid w:val="00024018"/>
    <w:rsid w:val="000364E0"/>
    <w:rsid w:val="0004454C"/>
    <w:rsid w:val="00045876"/>
    <w:rsid w:val="00053578"/>
    <w:rsid w:val="00054045"/>
    <w:rsid w:val="0005780E"/>
    <w:rsid w:val="00065CC6"/>
    <w:rsid w:val="000728CF"/>
    <w:rsid w:val="00073E45"/>
    <w:rsid w:val="00077C8B"/>
    <w:rsid w:val="0008105D"/>
    <w:rsid w:val="00081515"/>
    <w:rsid w:val="00090D46"/>
    <w:rsid w:val="000936F2"/>
    <w:rsid w:val="0009431F"/>
    <w:rsid w:val="000A71F7"/>
    <w:rsid w:val="000B5554"/>
    <w:rsid w:val="000B57E0"/>
    <w:rsid w:val="000C5FB3"/>
    <w:rsid w:val="000E335A"/>
    <w:rsid w:val="000E54D5"/>
    <w:rsid w:val="000F09E4"/>
    <w:rsid w:val="000F16FD"/>
    <w:rsid w:val="000F17BF"/>
    <w:rsid w:val="000F4BC2"/>
    <w:rsid w:val="000F5AAF"/>
    <w:rsid w:val="00100928"/>
    <w:rsid w:val="0010440B"/>
    <w:rsid w:val="00120DB9"/>
    <w:rsid w:val="00141020"/>
    <w:rsid w:val="00143520"/>
    <w:rsid w:val="00153AD2"/>
    <w:rsid w:val="00157A95"/>
    <w:rsid w:val="00175B20"/>
    <w:rsid w:val="001779EA"/>
    <w:rsid w:val="00182027"/>
    <w:rsid w:val="00184297"/>
    <w:rsid w:val="0019104E"/>
    <w:rsid w:val="001A0603"/>
    <w:rsid w:val="001A10D9"/>
    <w:rsid w:val="001B3B43"/>
    <w:rsid w:val="001C3EEA"/>
    <w:rsid w:val="001D1327"/>
    <w:rsid w:val="001D3246"/>
    <w:rsid w:val="001D70AB"/>
    <w:rsid w:val="001E4373"/>
    <w:rsid w:val="001F1CFA"/>
    <w:rsid w:val="00202B94"/>
    <w:rsid w:val="002126A3"/>
    <w:rsid w:val="00220B12"/>
    <w:rsid w:val="002279BA"/>
    <w:rsid w:val="002329F3"/>
    <w:rsid w:val="00243F0D"/>
    <w:rsid w:val="00260767"/>
    <w:rsid w:val="002647BB"/>
    <w:rsid w:val="002754C1"/>
    <w:rsid w:val="002758BA"/>
    <w:rsid w:val="00283272"/>
    <w:rsid w:val="002841C8"/>
    <w:rsid w:val="0028516B"/>
    <w:rsid w:val="00292D78"/>
    <w:rsid w:val="00293BE2"/>
    <w:rsid w:val="002A3CD4"/>
    <w:rsid w:val="002A79EC"/>
    <w:rsid w:val="002B19AF"/>
    <w:rsid w:val="002B2021"/>
    <w:rsid w:val="002C4A3B"/>
    <w:rsid w:val="002C6EF9"/>
    <w:rsid w:val="002C6F90"/>
    <w:rsid w:val="002D0CF5"/>
    <w:rsid w:val="002D2D6B"/>
    <w:rsid w:val="002E0C7E"/>
    <w:rsid w:val="002E4FB5"/>
    <w:rsid w:val="002F0B3D"/>
    <w:rsid w:val="00301897"/>
    <w:rsid w:val="00302C06"/>
    <w:rsid w:val="00302FB8"/>
    <w:rsid w:val="003041E0"/>
    <w:rsid w:val="00304EA1"/>
    <w:rsid w:val="00307D9B"/>
    <w:rsid w:val="0031159E"/>
    <w:rsid w:val="00313009"/>
    <w:rsid w:val="00314508"/>
    <w:rsid w:val="00314D81"/>
    <w:rsid w:val="00322FC6"/>
    <w:rsid w:val="003279D8"/>
    <w:rsid w:val="00332BCB"/>
    <w:rsid w:val="00337F8B"/>
    <w:rsid w:val="00350651"/>
    <w:rsid w:val="0035293F"/>
    <w:rsid w:val="003607B6"/>
    <w:rsid w:val="0036605A"/>
    <w:rsid w:val="00374B3E"/>
    <w:rsid w:val="00375758"/>
    <w:rsid w:val="00375C1F"/>
    <w:rsid w:val="00385147"/>
    <w:rsid w:val="00391986"/>
    <w:rsid w:val="00392A32"/>
    <w:rsid w:val="003A00B4"/>
    <w:rsid w:val="003A156E"/>
    <w:rsid w:val="003A7700"/>
    <w:rsid w:val="003B0823"/>
    <w:rsid w:val="003B0E5E"/>
    <w:rsid w:val="003B2257"/>
    <w:rsid w:val="003B6C30"/>
    <w:rsid w:val="003B7010"/>
    <w:rsid w:val="003C5E71"/>
    <w:rsid w:val="003C6616"/>
    <w:rsid w:val="003D6CBD"/>
    <w:rsid w:val="003E44F1"/>
    <w:rsid w:val="003E67C5"/>
    <w:rsid w:val="003F26AE"/>
    <w:rsid w:val="00400537"/>
    <w:rsid w:val="0040497F"/>
    <w:rsid w:val="00412B28"/>
    <w:rsid w:val="0041444B"/>
    <w:rsid w:val="00417AA3"/>
    <w:rsid w:val="00423DEE"/>
    <w:rsid w:val="0042537E"/>
    <w:rsid w:val="00425DFE"/>
    <w:rsid w:val="00434EDB"/>
    <w:rsid w:val="00440016"/>
    <w:rsid w:val="00440B32"/>
    <w:rsid w:val="004415E7"/>
    <w:rsid w:val="0044213C"/>
    <w:rsid w:val="004451CE"/>
    <w:rsid w:val="00457513"/>
    <w:rsid w:val="0046078D"/>
    <w:rsid w:val="00493812"/>
    <w:rsid w:val="00495C80"/>
    <w:rsid w:val="004A2ED8"/>
    <w:rsid w:val="004A68C8"/>
    <w:rsid w:val="004B1100"/>
    <w:rsid w:val="004C31D0"/>
    <w:rsid w:val="004C3BE0"/>
    <w:rsid w:val="004C5134"/>
    <w:rsid w:val="004D0DF2"/>
    <w:rsid w:val="004E2B16"/>
    <w:rsid w:val="004E360E"/>
    <w:rsid w:val="004F5BDA"/>
    <w:rsid w:val="004F5C49"/>
    <w:rsid w:val="004F64E5"/>
    <w:rsid w:val="005015F1"/>
    <w:rsid w:val="00502CC2"/>
    <w:rsid w:val="0051631E"/>
    <w:rsid w:val="00517910"/>
    <w:rsid w:val="00517AA4"/>
    <w:rsid w:val="005221A0"/>
    <w:rsid w:val="00522846"/>
    <w:rsid w:val="00523F31"/>
    <w:rsid w:val="00527C3E"/>
    <w:rsid w:val="00530043"/>
    <w:rsid w:val="00533BB5"/>
    <w:rsid w:val="00535417"/>
    <w:rsid w:val="00537A1F"/>
    <w:rsid w:val="005570CF"/>
    <w:rsid w:val="00566029"/>
    <w:rsid w:val="00570367"/>
    <w:rsid w:val="00587C88"/>
    <w:rsid w:val="005923CB"/>
    <w:rsid w:val="005A0E19"/>
    <w:rsid w:val="005B391B"/>
    <w:rsid w:val="005B4F49"/>
    <w:rsid w:val="005D1ADA"/>
    <w:rsid w:val="005D3D78"/>
    <w:rsid w:val="005E2EF0"/>
    <w:rsid w:val="005F12F7"/>
    <w:rsid w:val="005F2874"/>
    <w:rsid w:val="005F4092"/>
    <w:rsid w:val="005F61C2"/>
    <w:rsid w:val="005F6672"/>
    <w:rsid w:val="006154E6"/>
    <w:rsid w:val="00636BEC"/>
    <w:rsid w:val="00641EC0"/>
    <w:rsid w:val="006452BF"/>
    <w:rsid w:val="00645F57"/>
    <w:rsid w:val="00646436"/>
    <w:rsid w:val="006466DC"/>
    <w:rsid w:val="006537C9"/>
    <w:rsid w:val="00655856"/>
    <w:rsid w:val="00663B2C"/>
    <w:rsid w:val="006663C6"/>
    <w:rsid w:val="0068208B"/>
    <w:rsid w:val="0068471E"/>
    <w:rsid w:val="00684F98"/>
    <w:rsid w:val="00693FFD"/>
    <w:rsid w:val="006941D9"/>
    <w:rsid w:val="006A1775"/>
    <w:rsid w:val="006A3BB6"/>
    <w:rsid w:val="006A5E61"/>
    <w:rsid w:val="006D163C"/>
    <w:rsid w:val="006D2159"/>
    <w:rsid w:val="006E546E"/>
    <w:rsid w:val="006F787C"/>
    <w:rsid w:val="00702636"/>
    <w:rsid w:val="00703A29"/>
    <w:rsid w:val="00705439"/>
    <w:rsid w:val="00706E72"/>
    <w:rsid w:val="00724507"/>
    <w:rsid w:val="007323D9"/>
    <w:rsid w:val="00745212"/>
    <w:rsid w:val="00747109"/>
    <w:rsid w:val="00763F63"/>
    <w:rsid w:val="0076772D"/>
    <w:rsid w:val="00773E6C"/>
    <w:rsid w:val="00781FB1"/>
    <w:rsid w:val="007A4B91"/>
    <w:rsid w:val="007A773E"/>
    <w:rsid w:val="007C600D"/>
    <w:rsid w:val="007D0108"/>
    <w:rsid w:val="007D1B6D"/>
    <w:rsid w:val="007E4214"/>
    <w:rsid w:val="007E66A2"/>
    <w:rsid w:val="007F202D"/>
    <w:rsid w:val="007F45CD"/>
    <w:rsid w:val="007F784C"/>
    <w:rsid w:val="00804C84"/>
    <w:rsid w:val="008100CF"/>
    <w:rsid w:val="00813C37"/>
    <w:rsid w:val="008154B5"/>
    <w:rsid w:val="00815A7B"/>
    <w:rsid w:val="00823448"/>
    <w:rsid w:val="00823962"/>
    <w:rsid w:val="008410D3"/>
    <w:rsid w:val="00850410"/>
    <w:rsid w:val="00850D71"/>
    <w:rsid w:val="00852719"/>
    <w:rsid w:val="00852F98"/>
    <w:rsid w:val="00860115"/>
    <w:rsid w:val="0086118A"/>
    <w:rsid w:val="00863A56"/>
    <w:rsid w:val="00865F2D"/>
    <w:rsid w:val="008742F2"/>
    <w:rsid w:val="00887032"/>
    <w:rsid w:val="0088783C"/>
    <w:rsid w:val="0089559B"/>
    <w:rsid w:val="008A66EE"/>
    <w:rsid w:val="008B0DFA"/>
    <w:rsid w:val="008B7614"/>
    <w:rsid w:val="008C3056"/>
    <w:rsid w:val="008D4D4B"/>
    <w:rsid w:val="009021C7"/>
    <w:rsid w:val="009212C4"/>
    <w:rsid w:val="00925669"/>
    <w:rsid w:val="009370BC"/>
    <w:rsid w:val="00963FD1"/>
    <w:rsid w:val="00967F18"/>
    <w:rsid w:val="00970580"/>
    <w:rsid w:val="0098739B"/>
    <w:rsid w:val="009906B5"/>
    <w:rsid w:val="00997D02"/>
    <w:rsid w:val="009A7BBF"/>
    <w:rsid w:val="009B61E5"/>
    <w:rsid w:val="009C2CA2"/>
    <w:rsid w:val="009D0E9E"/>
    <w:rsid w:val="009D0EB4"/>
    <w:rsid w:val="009D1E89"/>
    <w:rsid w:val="009D5E81"/>
    <w:rsid w:val="009E4665"/>
    <w:rsid w:val="009E5707"/>
    <w:rsid w:val="009F7ABD"/>
    <w:rsid w:val="00A03E79"/>
    <w:rsid w:val="00A148F0"/>
    <w:rsid w:val="00A17661"/>
    <w:rsid w:val="00A20E4E"/>
    <w:rsid w:val="00A24B2D"/>
    <w:rsid w:val="00A40966"/>
    <w:rsid w:val="00A41215"/>
    <w:rsid w:val="00A44B5C"/>
    <w:rsid w:val="00A64FD7"/>
    <w:rsid w:val="00A6614F"/>
    <w:rsid w:val="00A833ED"/>
    <w:rsid w:val="00A87EAF"/>
    <w:rsid w:val="00A921E0"/>
    <w:rsid w:val="00A922F4"/>
    <w:rsid w:val="00AA0364"/>
    <w:rsid w:val="00AC59AB"/>
    <w:rsid w:val="00AC7513"/>
    <w:rsid w:val="00AE5526"/>
    <w:rsid w:val="00AF051B"/>
    <w:rsid w:val="00AF719E"/>
    <w:rsid w:val="00B01578"/>
    <w:rsid w:val="00B01E6B"/>
    <w:rsid w:val="00B038C5"/>
    <w:rsid w:val="00B072E3"/>
    <w:rsid w:val="00B0738F"/>
    <w:rsid w:val="00B139B9"/>
    <w:rsid w:val="00B13D3B"/>
    <w:rsid w:val="00B16687"/>
    <w:rsid w:val="00B230DB"/>
    <w:rsid w:val="00B26601"/>
    <w:rsid w:val="00B267F2"/>
    <w:rsid w:val="00B277DB"/>
    <w:rsid w:val="00B33D16"/>
    <w:rsid w:val="00B41951"/>
    <w:rsid w:val="00B53229"/>
    <w:rsid w:val="00B6145A"/>
    <w:rsid w:val="00B62480"/>
    <w:rsid w:val="00B717F4"/>
    <w:rsid w:val="00B80834"/>
    <w:rsid w:val="00B81B70"/>
    <w:rsid w:val="00B839FA"/>
    <w:rsid w:val="00B84044"/>
    <w:rsid w:val="00BA661B"/>
    <w:rsid w:val="00BB3BAB"/>
    <w:rsid w:val="00BB5B44"/>
    <w:rsid w:val="00BB6AA6"/>
    <w:rsid w:val="00BC61C8"/>
    <w:rsid w:val="00BD0724"/>
    <w:rsid w:val="00BD2B91"/>
    <w:rsid w:val="00BD4A83"/>
    <w:rsid w:val="00BE4C6D"/>
    <w:rsid w:val="00BE5521"/>
    <w:rsid w:val="00BF0BBA"/>
    <w:rsid w:val="00BF4590"/>
    <w:rsid w:val="00BF6C23"/>
    <w:rsid w:val="00C065E7"/>
    <w:rsid w:val="00C07C99"/>
    <w:rsid w:val="00C143E6"/>
    <w:rsid w:val="00C320FC"/>
    <w:rsid w:val="00C33A33"/>
    <w:rsid w:val="00C35203"/>
    <w:rsid w:val="00C35B30"/>
    <w:rsid w:val="00C53263"/>
    <w:rsid w:val="00C55702"/>
    <w:rsid w:val="00C60138"/>
    <w:rsid w:val="00C6473D"/>
    <w:rsid w:val="00C75F1D"/>
    <w:rsid w:val="00C95156"/>
    <w:rsid w:val="00CA0DC2"/>
    <w:rsid w:val="00CA1A5E"/>
    <w:rsid w:val="00CA4393"/>
    <w:rsid w:val="00CA6F09"/>
    <w:rsid w:val="00CB3EFB"/>
    <w:rsid w:val="00CB68E8"/>
    <w:rsid w:val="00CB7793"/>
    <w:rsid w:val="00CD48F5"/>
    <w:rsid w:val="00CD7915"/>
    <w:rsid w:val="00CE6136"/>
    <w:rsid w:val="00D04D6E"/>
    <w:rsid w:val="00D04F01"/>
    <w:rsid w:val="00D06414"/>
    <w:rsid w:val="00D12E62"/>
    <w:rsid w:val="00D1684A"/>
    <w:rsid w:val="00D20ED9"/>
    <w:rsid w:val="00D21B1A"/>
    <w:rsid w:val="00D24E5A"/>
    <w:rsid w:val="00D338E4"/>
    <w:rsid w:val="00D423C3"/>
    <w:rsid w:val="00D449C0"/>
    <w:rsid w:val="00D51947"/>
    <w:rsid w:val="00D532F0"/>
    <w:rsid w:val="00D56E0F"/>
    <w:rsid w:val="00D602C3"/>
    <w:rsid w:val="00D75872"/>
    <w:rsid w:val="00D77413"/>
    <w:rsid w:val="00D80F02"/>
    <w:rsid w:val="00D82759"/>
    <w:rsid w:val="00D86DE4"/>
    <w:rsid w:val="00D87755"/>
    <w:rsid w:val="00DE1909"/>
    <w:rsid w:val="00DE482B"/>
    <w:rsid w:val="00DE51DB"/>
    <w:rsid w:val="00DF1923"/>
    <w:rsid w:val="00DF4A82"/>
    <w:rsid w:val="00DF51A4"/>
    <w:rsid w:val="00DF570D"/>
    <w:rsid w:val="00E01206"/>
    <w:rsid w:val="00E0313B"/>
    <w:rsid w:val="00E07731"/>
    <w:rsid w:val="00E219E8"/>
    <w:rsid w:val="00E23F1D"/>
    <w:rsid w:val="00E255A5"/>
    <w:rsid w:val="00E30E05"/>
    <w:rsid w:val="00E3531D"/>
    <w:rsid w:val="00E35622"/>
    <w:rsid w:val="00E36361"/>
    <w:rsid w:val="00E36C4F"/>
    <w:rsid w:val="00E41D7A"/>
    <w:rsid w:val="00E439BC"/>
    <w:rsid w:val="00E450C5"/>
    <w:rsid w:val="00E46E10"/>
    <w:rsid w:val="00E55AE9"/>
    <w:rsid w:val="00E64F17"/>
    <w:rsid w:val="00E716AD"/>
    <w:rsid w:val="00E75DB6"/>
    <w:rsid w:val="00E77C23"/>
    <w:rsid w:val="00E803EF"/>
    <w:rsid w:val="00E91F09"/>
    <w:rsid w:val="00E92DCA"/>
    <w:rsid w:val="00EA2840"/>
    <w:rsid w:val="00EA32BB"/>
    <w:rsid w:val="00EA7795"/>
    <w:rsid w:val="00EB0C84"/>
    <w:rsid w:val="00EB1939"/>
    <w:rsid w:val="00EC3A08"/>
    <w:rsid w:val="00ED0856"/>
    <w:rsid w:val="00ED6237"/>
    <w:rsid w:val="00EF4188"/>
    <w:rsid w:val="00F000F1"/>
    <w:rsid w:val="00F13456"/>
    <w:rsid w:val="00F13484"/>
    <w:rsid w:val="00F17FDE"/>
    <w:rsid w:val="00F216D9"/>
    <w:rsid w:val="00F21A6F"/>
    <w:rsid w:val="00F25FEF"/>
    <w:rsid w:val="00F40D53"/>
    <w:rsid w:val="00F4134B"/>
    <w:rsid w:val="00F42CC0"/>
    <w:rsid w:val="00F4525C"/>
    <w:rsid w:val="00F50D86"/>
    <w:rsid w:val="00F53D91"/>
    <w:rsid w:val="00F56CF7"/>
    <w:rsid w:val="00F70482"/>
    <w:rsid w:val="00F81C13"/>
    <w:rsid w:val="00F9610B"/>
    <w:rsid w:val="00FA246D"/>
    <w:rsid w:val="00FA79AC"/>
    <w:rsid w:val="00FA7E26"/>
    <w:rsid w:val="00FB1CAB"/>
    <w:rsid w:val="00FC55B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F6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FD7"/>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64FD7"/>
    <w:pPr>
      <w:keepNext/>
      <w:keepLines/>
      <w:spacing w:before="240"/>
      <w:outlineLvl w:val="0"/>
    </w:pPr>
    <w:rPr>
      <w:rFonts w:asciiTheme="majorHAnsi" w:eastAsiaTheme="majorEastAsia" w:hAnsiTheme="majorHAnsi" w:cstheme="majorBidi"/>
      <w:color w:val="0072AA" w:themeColor="accent1" w:themeShade="BF"/>
      <w:sz w:val="32"/>
      <w:szCs w:val="32"/>
      <w:lang w:val="en-US" w:eastAsia="en-US"/>
    </w:rPr>
  </w:style>
  <w:style w:type="paragraph" w:styleId="Heading2">
    <w:name w:val="heading 2"/>
    <w:basedOn w:val="Normal"/>
    <w:next w:val="Normal"/>
    <w:link w:val="Heading2Char"/>
    <w:uiPriority w:val="9"/>
    <w:unhideWhenUsed/>
    <w:qFormat/>
    <w:rsid w:val="00A64FD7"/>
    <w:pPr>
      <w:keepNext/>
      <w:keepLines/>
      <w:spacing w:before="40"/>
      <w:outlineLvl w:val="1"/>
    </w:pPr>
    <w:rPr>
      <w:rFonts w:asciiTheme="majorHAnsi" w:eastAsiaTheme="majorEastAsia" w:hAnsiTheme="majorHAnsi" w:cstheme="majorBidi"/>
      <w:color w:val="0072AA"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autoRedefine/>
    <w:qFormat/>
    <w:rsid w:val="00B80834"/>
    <w:pPr>
      <w:keepNext/>
      <w:keepLines/>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customStyle="1" w:styleId="Heading1Char">
    <w:name w:val="Heading 1 Char"/>
    <w:basedOn w:val="DefaultParagraphFont"/>
    <w:link w:val="Heading1"/>
    <w:uiPriority w:val="9"/>
    <w:rsid w:val="00A64FD7"/>
    <w:rPr>
      <w:rFonts w:asciiTheme="majorHAnsi" w:eastAsiaTheme="majorEastAsia" w:hAnsiTheme="majorHAnsi" w:cstheme="majorBidi"/>
      <w:color w:val="0072AA" w:themeColor="accent1" w:themeShade="BF"/>
      <w:sz w:val="32"/>
      <w:szCs w:val="32"/>
    </w:rPr>
  </w:style>
  <w:style w:type="character" w:customStyle="1" w:styleId="Heading2Char">
    <w:name w:val="Heading 2 Char"/>
    <w:basedOn w:val="DefaultParagraphFont"/>
    <w:link w:val="Heading2"/>
    <w:uiPriority w:val="9"/>
    <w:rsid w:val="00A64FD7"/>
    <w:rPr>
      <w:rFonts w:asciiTheme="majorHAnsi" w:eastAsiaTheme="majorEastAsia" w:hAnsiTheme="majorHAnsi" w:cstheme="majorBidi"/>
      <w:color w:val="0072AA" w:themeColor="accent1" w:themeShade="BF"/>
      <w:sz w:val="26"/>
      <w:szCs w:val="26"/>
    </w:rPr>
  </w:style>
  <w:style w:type="paragraph" w:styleId="ListParagraph">
    <w:name w:val="List Paragraph"/>
    <w:basedOn w:val="Normal"/>
    <w:uiPriority w:val="34"/>
    <w:qFormat/>
    <w:rsid w:val="00A64FD7"/>
    <w:pPr>
      <w:ind w:left="720"/>
      <w:contextualSpacing/>
    </w:pPr>
    <w:rPr>
      <w:rFonts w:asciiTheme="minorHAnsi" w:hAnsiTheme="minorHAnsi" w:cstheme="minorBidi"/>
      <w:lang w:val="en-US" w:eastAsia="en-US"/>
    </w:rPr>
  </w:style>
  <w:style w:type="paragraph" w:customStyle="1" w:styleId="Default">
    <w:name w:val="Default"/>
    <w:rsid w:val="001F1CFA"/>
    <w:pPr>
      <w:autoSpaceDE w:val="0"/>
      <w:autoSpaceDN w:val="0"/>
      <w:adjustRightInd w:val="0"/>
      <w:spacing w:after="0" w:line="240" w:lineRule="auto"/>
    </w:pPr>
    <w:rPr>
      <w:rFonts w:ascii="Arial" w:hAnsi="Arial" w:cs="Arial"/>
      <w:color w:val="000000"/>
      <w:sz w:val="24"/>
      <w:szCs w:val="24"/>
      <w:lang w:val="en-GB"/>
    </w:rPr>
  </w:style>
  <w:style w:type="paragraph" w:customStyle="1" w:styleId="statsnumbers">
    <w:name w:val="*stats numbers"/>
    <w:basedOn w:val="Statshead"/>
    <w:rsid w:val="00E07731"/>
    <w:pPr>
      <w:keepNext w:val="0"/>
    </w:pPr>
    <w:rPr>
      <w:rFonts w:eastAsia="Arial Unicode MS"/>
      <w:b w:val="0"/>
      <w:szCs w:val="20"/>
    </w:rPr>
  </w:style>
  <w:style w:type="paragraph" w:customStyle="1" w:styleId="Statshead">
    <w:name w:val="*Stats head"/>
    <w:basedOn w:val="Normal"/>
    <w:rsid w:val="00E07731"/>
    <w:pPr>
      <w:keepNext/>
      <w:jc w:val="center"/>
    </w:pPr>
    <w:rPr>
      <w:rFonts w:eastAsia="Times New Roman"/>
      <w:b/>
      <w:sz w:val="20"/>
      <w:lang w:val="en-AU" w:eastAsia="en-US"/>
    </w:rPr>
  </w:style>
  <w:style w:type="paragraph" w:customStyle="1" w:styleId="VCAAtemplatetext">
    <w:name w:val="VCAA template text"/>
    <w:basedOn w:val="VCAAbody"/>
    <w:qFormat/>
    <w:rsid w:val="000B5554"/>
    <w:pPr>
      <w:ind w:left="720"/>
    </w:pPr>
    <w:rPr>
      <w:b/>
      <w:i/>
    </w:rPr>
  </w:style>
  <w:style w:type="paragraph" w:styleId="Revision">
    <w:name w:val="Revision"/>
    <w:hidden/>
    <w:uiPriority w:val="99"/>
    <w:semiHidden/>
    <w:rsid w:val="00202B94"/>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6573">
      <w:bodyDiv w:val="1"/>
      <w:marLeft w:val="0"/>
      <w:marRight w:val="0"/>
      <w:marTop w:val="0"/>
      <w:marBottom w:val="0"/>
      <w:divBdr>
        <w:top w:val="none" w:sz="0" w:space="0" w:color="auto"/>
        <w:left w:val="none" w:sz="0" w:space="0" w:color="auto"/>
        <w:bottom w:val="none" w:sz="0" w:space="0" w:color="auto"/>
        <w:right w:val="none" w:sz="0" w:space="0" w:color="auto"/>
      </w:divBdr>
    </w:div>
    <w:div w:id="108210587">
      <w:bodyDiv w:val="1"/>
      <w:marLeft w:val="0"/>
      <w:marRight w:val="0"/>
      <w:marTop w:val="0"/>
      <w:marBottom w:val="0"/>
      <w:divBdr>
        <w:top w:val="none" w:sz="0" w:space="0" w:color="auto"/>
        <w:left w:val="none" w:sz="0" w:space="0" w:color="auto"/>
        <w:bottom w:val="none" w:sz="0" w:space="0" w:color="auto"/>
        <w:right w:val="none" w:sz="0" w:space="0" w:color="auto"/>
      </w:divBdr>
    </w:div>
    <w:div w:id="137654965">
      <w:bodyDiv w:val="1"/>
      <w:marLeft w:val="0"/>
      <w:marRight w:val="0"/>
      <w:marTop w:val="0"/>
      <w:marBottom w:val="0"/>
      <w:divBdr>
        <w:top w:val="none" w:sz="0" w:space="0" w:color="auto"/>
        <w:left w:val="none" w:sz="0" w:space="0" w:color="auto"/>
        <w:bottom w:val="none" w:sz="0" w:space="0" w:color="auto"/>
        <w:right w:val="none" w:sz="0" w:space="0" w:color="auto"/>
      </w:divBdr>
    </w:div>
    <w:div w:id="140394769">
      <w:bodyDiv w:val="1"/>
      <w:marLeft w:val="0"/>
      <w:marRight w:val="0"/>
      <w:marTop w:val="0"/>
      <w:marBottom w:val="0"/>
      <w:divBdr>
        <w:top w:val="none" w:sz="0" w:space="0" w:color="auto"/>
        <w:left w:val="none" w:sz="0" w:space="0" w:color="auto"/>
        <w:bottom w:val="none" w:sz="0" w:space="0" w:color="auto"/>
        <w:right w:val="none" w:sz="0" w:space="0" w:color="auto"/>
      </w:divBdr>
    </w:div>
    <w:div w:id="301690302">
      <w:bodyDiv w:val="1"/>
      <w:marLeft w:val="0"/>
      <w:marRight w:val="0"/>
      <w:marTop w:val="0"/>
      <w:marBottom w:val="0"/>
      <w:divBdr>
        <w:top w:val="none" w:sz="0" w:space="0" w:color="auto"/>
        <w:left w:val="none" w:sz="0" w:space="0" w:color="auto"/>
        <w:bottom w:val="none" w:sz="0" w:space="0" w:color="auto"/>
        <w:right w:val="none" w:sz="0" w:space="0" w:color="auto"/>
      </w:divBdr>
    </w:div>
    <w:div w:id="325131854">
      <w:bodyDiv w:val="1"/>
      <w:marLeft w:val="0"/>
      <w:marRight w:val="0"/>
      <w:marTop w:val="0"/>
      <w:marBottom w:val="0"/>
      <w:divBdr>
        <w:top w:val="none" w:sz="0" w:space="0" w:color="auto"/>
        <w:left w:val="none" w:sz="0" w:space="0" w:color="auto"/>
        <w:bottom w:val="none" w:sz="0" w:space="0" w:color="auto"/>
        <w:right w:val="none" w:sz="0" w:space="0" w:color="auto"/>
      </w:divBdr>
    </w:div>
    <w:div w:id="331446093">
      <w:bodyDiv w:val="1"/>
      <w:marLeft w:val="0"/>
      <w:marRight w:val="0"/>
      <w:marTop w:val="0"/>
      <w:marBottom w:val="0"/>
      <w:divBdr>
        <w:top w:val="none" w:sz="0" w:space="0" w:color="auto"/>
        <w:left w:val="none" w:sz="0" w:space="0" w:color="auto"/>
        <w:bottom w:val="none" w:sz="0" w:space="0" w:color="auto"/>
        <w:right w:val="none" w:sz="0" w:space="0" w:color="auto"/>
      </w:divBdr>
    </w:div>
    <w:div w:id="411050032">
      <w:bodyDiv w:val="1"/>
      <w:marLeft w:val="0"/>
      <w:marRight w:val="0"/>
      <w:marTop w:val="0"/>
      <w:marBottom w:val="0"/>
      <w:divBdr>
        <w:top w:val="none" w:sz="0" w:space="0" w:color="auto"/>
        <w:left w:val="none" w:sz="0" w:space="0" w:color="auto"/>
        <w:bottom w:val="none" w:sz="0" w:space="0" w:color="auto"/>
        <w:right w:val="none" w:sz="0" w:space="0" w:color="auto"/>
      </w:divBdr>
    </w:div>
    <w:div w:id="623076618">
      <w:bodyDiv w:val="1"/>
      <w:marLeft w:val="0"/>
      <w:marRight w:val="0"/>
      <w:marTop w:val="0"/>
      <w:marBottom w:val="0"/>
      <w:divBdr>
        <w:top w:val="none" w:sz="0" w:space="0" w:color="auto"/>
        <w:left w:val="none" w:sz="0" w:space="0" w:color="auto"/>
        <w:bottom w:val="none" w:sz="0" w:space="0" w:color="auto"/>
        <w:right w:val="none" w:sz="0" w:space="0" w:color="auto"/>
      </w:divBdr>
    </w:div>
    <w:div w:id="652757769">
      <w:bodyDiv w:val="1"/>
      <w:marLeft w:val="0"/>
      <w:marRight w:val="0"/>
      <w:marTop w:val="0"/>
      <w:marBottom w:val="0"/>
      <w:divBdr>
        <w:top w:val="none" w:sz="0" w:space="0" w:color="auto"/>
        <w:left w:val="none" w:sz="0" w:space="0" w:color="auto"/>
        <w:bottom w:val="none" w:sz="0" w:space="0" w:color="auto"/>
        <w:right w:val="none" w:sz="0" w:space="0" w:color="auto"/>
      </w:divBdr>
    </w:div>
    <w:div w:id="1013384355">
      <w:bodyDiv w:val="1"/>
      <w:marLeft w:val="0"/>
      <w:marRight w:val="0"/>
      <w:marTop w:val="0"/>
      <w:marBottom w:val="0"/>
      <w:divBdr>
        <w:top w:val="none" w:sz="0" w:space="0" w:color="auto"/>
        <w:left w:val="none" w:sz="0" w:space="0" w:color="auto"/>
        <w:bottom w:val="none" w:sz="0" w:space="0" w:color="auto"/>
        <w:right w:val="none" w:sz="0" w:space="0" w:color="auto"/>
      </w:divBdr>
    </w:div>
    <w:div w:id="1121654502">
      <w:bodyDiv w:val="1"/>
      <w:marLeft w:val="0"/>
      <w:marRight w:val="0"/>
      <w:marTop w:val="0"/>
      <w:marBottom w:val="0"/>
      <w:divBdr>
        <w:top w:val="none" w:sz="0" w:space="0" w:color="auto"/>
        <w:left w:val="none" w:sz="0" w:space="0" w:color="auto"/>
        <w:bottom w:val="none" w:sz="0" w:space="0" w:color="auto"/>
        <w:right w:val="none" w:sz="0" w:space="0" w:color="auto"/>
      </w:divBdr>
    </w:div>
    <w:div w:id="1420786131">
      <w:bodyDiv w:val="1"/>
      <w:marLeft w:val="0"/>
      <w:marRight w:val="0"/>
      <w:marTop w:val="0"/>
      <w:marBottom w:val="0"/>
      <w:divBdr>
        <w:top w:val="none" w:sz="0" w:space="0" w:color="auto"/>
        <w:left w:val="none" w:sz="0" w:space="0" w:color="auto"/>
        <w:bottom w:val="none" w:sz="0" w:space="0" w:color="auto"/>
        <w:right w:val="none" w:sz="0" w:space="0" w:color="auto"/>
      </w:divBdr>
    </w:div>
    <w:div w:id="1553268913">
      <w:bodyDiv w:val="1"/>
      <w:marLeft w:val="0"/>
      <w:marRight w:val="0"/>
      <w:marTop w:val="0"/>
      <w:marBottom w:val="0"/>
      <w:divBdr>
        <w:top w:val="none" w:sz="0" w:space="0" w:color="auto"/>
        <w:left w:val="none" w:sz="0" w:space="0" w:color="auto"/>
        <w:bottom w:val="none" w:sz="0" w:space="0" w:color="auto"/>
        <w:right w:val="none" w:sz="0" w:space="0" w:color="auto"/>
      </w:divBdr>
    </w:div>
    <w:div w:id="1555192471">
      <w:bodyDiv w:val="1"/>
      <w:marLeft w:val="0"/>
      <w:marRight w:val="0"/>
      <w:marTop w:val="0"/>
      <w:marBottom w:val="0"/>
      <w:divBdr>
        <w:top w:val="none" w:sz="0" w:space="0" w:color="auto"/>
        <w:left w:val="none" w:sz="0" w:space="0" w:color="auto"/>
        <w:bottom w:val="none" w:sz="0" w:space="0" w:color="auto"/>
        <w:right w:val="none" w:sz="0" w:space="0" w:color="auto"/>
      </w:divBdr>
    </w:div>
    <w:div w:id="1614441545">
      <w:bodyDiv w:val="1"/>
      <w:marLeft w:val="0"/>
      <w:marRight w:val="0"/>
      <w:marTop w:val="0"/>
      <w:marBottom w:val="0"/>
      <w:divBdr>
        <w:top w:val="none" w:sz="0" w:space="0" w:color="auto"/>
        <w:left w:val="none" w:sz="0" w:space="0" w:color="auto"/>
        <w:bottom w:val="none" w:sz="0" w:space="0" w:color="auto"/>
        <w:right w:val="none" w:sz="0" w:space="0" w:color="auto"/>
      </w:divBdr>
    </w:div>
    <w:div w:id="1656566277">
      <w:bodyDiv w:val="1"/>
      <w:marLeft w:val="0"/>
      <w:marRight w:val="0"/>
      <w:marTop w:val="0"/>
      <w:marBottom w:val="0"/>
      <w:divBdr>
        <w:top w:val="none" w:sz="0" w:space="0" w:color="auto"/>
        <w:left w:val="none" w:sz="0" w:space="0" w:color="auto"/>
        <w:bottom w:val="none" w:sz="0" w:space="0" w:color="auto"/>
        <w:right w:val="none" w:sz="0" w:space="0" w:color="auto"/>
      </w:divBdr>
    </w:div>
    <w:div w:id="1668634451">
      <w:bodyDiv w:val="1"/>
      <w:marLeft w:val="0"/>
      <w:marRight w:val="0"/>
      <w:marTop w:val="0"/>
      <w:marBottom w:val="0"/>
      <w:divBdr>
        <w:top w:val="none" w:sz="0" w:space="0" w:color="auto"/>
        <w:left w:val="none" w:sz="0" w:space="0" w:color="auto"/>
        <w:bottom w:val="none" w:sz="0" w:space="0" w:color="auto"/>
        <w:right w:val="none" w:sz="0" w:space="0" w:color="auto"/>
      </w:divBdr>
    </w:div>
    <w:div w:id="1858352334">
      <w:bodyDiv w:val="1"/>
      <w:marLeft w:val="0"/>
      <w:marRight w:val="0"/>
      <w:marTop w:val="0"/>
      <w:marBottom w:val="0"/>
      <w:divBdr>
        <w:top w:val="none" w:sz="0" w:space="0" w:color="auto"/>
        <w:left w:val="none" w:sz="0" w:space="0" w:color="auto"/>
        <w:bottom w:val="none" w:sz="0" w:space="0" w:color="auto"/>
        <w:right w:val="none" w:sz="0" w:space="0" w:color="auto"/>
      </w:divBdr>
    </w:div>
    <w:div w:id="1921518399">
      <w:bodyDiv w:val="1"/>
      <w:marLeft w:val="0"/>
      <w:marRight w:val="0"/>
      <w:marTop w:val="0"/>
      <w:marBottom w:val="0"/>
      <w:divBdr>
        <w:top w:val="none" w:sz="0" w:space="0" w:color="auto"/>
        <w:left w:val="none" w:sz="0" w:space="0" w:color="auto"/>
        <w:bottom w:val="none" w:sz="0" w:space="0" w:color="auto"/>
        <w:right w:val="none" w:sz="0" w:space="0" w:color="auto"/>
      </w:divBdr>
    </w:div>
    <w:div w:id="2081515924">
      <w:bodyDiv w:val="1"/>
      <w:marLeft w:val="0"/>
      <w:marRight w:val="0"/>
      <w:marTop w:val="0"/>
      <w:marBottom w:val="0"/>
      <w:divBdr>
        <w:top w:val="none" w:sz="0" w:space="0" w:color="auto"/>
        <w:left w:val="none" w:sz="0" w:space="0" w:color="auto"/>
        <w:bottom w:val="none" w:sz="0" w:space="0" w:color="auto"/>
        <w:right w:val="none" w:sz="0" w:space="0" w:color="auto"/>
      </w:divBdr>
    </w:div>
    <w:div w:id="21254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E8F4650-F387-4792-87ED-7F310DCF4F5F}">
  <ds:schemaRefs>
    <ds:schemaRef ds:uri="http://schemas.openxmlformats.org/officeDocument/2006/bibliography"/>
  </ds:schemaRefs>
</ds:datastoreItem>
</file>

<file path=customXml/itemProps2.xml><?xml version="1.0" encoding="utf-8"?>
<ds:datastoreItem xmlns:ds="http://schemas.openxmlformats.org/officeDocument/2006/customXml" ds:itemID="{4007DE39-62D7-473A-87C3-618E37C75236}"/>
</file>

<file path=customXml/itemProps3.xml><?xml version="1.0" encoding="utf-8"?>
<ds:datastoreItem xmlns:ds="http://schemas.openxmlformats.org/officeDocument/2006/customXml" ds:itemID="{24419BC7-A380-44EC-852A-D75ED6C01AEE}"/>
</file>

<file path=customXml/itemProps4.xml><?xml version="1.0" encoding="utf-8"?>
<ds:datastoreItem xmlns:ds="http://schemas.openxmlformats.org/officeDocument/2006/customXml" ds:itemID="{F74A435A-6ED9-4611-801F-D25ABD8216CF}"/>
</file>

<file path=docProps/app.xml><?xml version="1.0" encoding="utf-8"?>
<Properties xmlns="http://schemas.openxmlformats.org/officeDocument/2006/extended-properties" xmlns:vt="http://schemas.openxmlformats.org/officeDocument/2006/docPropsVTypes">
  <Template>Normal</Template>
  <TotalTime>0</TotalTime>
  <Pages>8</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2024 VCE Extended Investigation written external assessment report</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Extended Investigation written external assessment report</dc:title>
  <dc:creator/>
  <cp:keywords/>
  <cp:lastModifiedBy/>
  <cp:revision>1</cp:revision>
  <dcterms:created xsi:type="dcterms:W3CDTF">2025-01-06T06:01:00Z</dcterms:created>
  <dcterms:modified xsi:type="dcterms:W3CDTF">2025-01-29T00:26:00Z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