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2073" w14:textId="77777777" w:rsidR="008C7926" w:rsidRDefault="008C7926" w:rsidP="008C7926">
      <w:r>
        <w:rPr>
          <w:b/>
          <w:bCs/>
        </w:rPr>
        <w:t>Matthew DiPetta</w:t>
      </w:r>
      <w:r w:rsidR="003E3A08" w:rsidRPr="003E3A08">
        <w:t xml:space="preserve"> </w:t>
      </w:r>
      <w:r>
        <w:t xml:space="preserve">- Welcome to the Victorian Curriculum and Assessment Authority presentation as part of the Chief Assessor External Assessment Report Pilot Project. My name is Matthew DiPetta, I am co-chief assessor, and along with Alli Lehman, my other co-chief assessor, we will be presenting this video recording on the 2024 psychology examination. The aim of this presentation is to discuss the external assessment report. The purpose is to provide feedback and data on student performance on this examination. This will include pointing out both areas of strength and weakness to be used for guidance for improvement. The value is to be used to inform the teaching and learning of psychology in 2025. </w:t>
      </w:r>
    </w:p>
    <w:p w14:paraId="2202AA92" w14:textId="5E2B9130" w:rsidR="007F5FB2" w:rsidRPr="007F5FB2" w:rsidRDefault="007F5FB2" w:rsidP="008C7926">
      <w:pPr>
        <w:rPr>
          <w:b/>
          <w:bCs/>
        </w:rPr>
      </w:pPr>
      <w:r w:rsidRPr="007F5FB2">
        <w:rPr>
          <w:b/>
          <w:bCs/>
        </w:rPr>
        <w:t>Slide 5 – Student strengths and weaknesses</w:t>
      </w:r>
    </w:p>
    <w:p w14:paraId="6266A36D" w14:textId="308CBB85" w:rsidR="008C7926" w:rsidRDefault="008C7926" w:rsidP="008C7926">
      <w:r>
        <w:t xml:space="preserve">This presentation focuses on the Section B questions from the 2024 examination. Comments regarding the Section A questions are in the external assessment report that's been published on the VCAA website. This was the second examination developed from the 2023 to 2027 study design, and it was pleasing to see students increasing comfort with some of the newer aspects of the study design. As you will see, we will be using excerpts from the external assessment report in this presentation. In Section B, students demonstrated their knowledge across questions of varying difficulty levels. Roughly 90% of students attempted the extended response question. </w:t>
      </w:r>
    </w:p>
    <w:p w14:paraId="72DA831C" w14:textId="77777777" w:rsidR="008C7926" w:rsidRDefault="008C7926" w:rsidP="008C7926">
      <w:r>
        <w:t xml:space="preserve">Some common areas of strength from the 2024 Section B exam included understanding the role of the vagus nerve in the gut-brain axis, outlining the role of brain regions in long-term implicit and explicit memory, discussing the role of episodic and semantic memory in constructing a possible imagined future, and comparing the use of bright light therapy for both delayed sleep phase syndrome and advanced sleep phase disorder. Teachers are advised to reflect on the following areas, as well as extrapolate these points to other related areas of the course to inform their own reflections </w:t>
      </w:r>
      <w:proofErr w:type="gramStart"/>
      <w:r>
        <w:t>on</w:t>
      </w:r>
      <w:proofErr w:type="gramEnd"/>
      <w:r>
        <w:t xml:space="preserve"> 2024 and their preparations for 2025. </w:t>
      </w:r>
    </w:p>
    <w:p w14:paraId="1F0AE2CA" w14:textId="16987C05" w:rsidR="008C7926" w:rsidRDefault="008C7926" w:rsidP="008C7926">
      <w:r>
        <w:t xml:space="preserve">Some of the areas for improvement that we identified from marking and assessing a large sample of exams was looking towards accurately describing long-term potentiation, as well as the retention stage of observational learning, identifying the independent variables in an experiment, applying key science skills, in particular, understanding the difference between measurement errors, systematic and random, and understanding the command terms such as evaluate and explain. Students are reminded that they need to directly address the specific question being asked, and in most cases, a simple definition of key terms from the question is not sufficient to be awarded the marks. </w:t>
      </w:r>
    </w:p>
    <w:p w14:paraId="01A0D598" w14:textId="77777777" w:rsidR="007F5FB2" w:rsidRDefault="007F5FB2">
      <w:pPr>
        <w:spacing w:before="0" w:after="160" w:line="259" w:lineRule="auto"/>
        <w:rPr>
          <w:b/>
          <w:bCs/>
        </w:rPr>
      </w:pPr>
      <w:r>
        <w:rPr>
          <w:b/>
          <w:bCs/>
        </w:rPr>
        <w:br w:type="page"/>
      </w:r>
    </w:p>
    <w:p w14:paraId="368AD336" w14:textId="119AFB21" w:rsidR="007F5FB2" w:rsidRPr="007F5FB2" w:rsidRDefault="007F5FB2" w:rsidP="008C7926">
      <w:pPr>
        <w:rPr>
          <w:b/>
          <w:bCs/>
        </w:rPr>
      </w:pPr>
      <w:r w:rsidRPr="007F5FB2">
        <w:rPr>
          <w:b/>
          <w:bCs/>
        </w:rPr>
        <w:lastRenderedPageBreak/>
        <w:t>Slide 7 – Question 1</w:t>
      </w:r>
    </w:p>
    <w:p w14:paraId="5C5085D1" w14:textId="486DC77D" w:rsidR="00EB251E" w:rsidRDefault="008C7926" w:rsidP="008C7926">
      <w:r>
        <w:t xml:space="preserve">We will now begin with question 1a. 30% of responses receive zero marks for question 1a. This represents students who both attempted and did not attempt the question. It was important that students wrote a response that directly related to the question scenario. This should be second nature to students for the time they complete the final examination. For the students who were able to achieve two out of three marks, this was most often because they did not clearly discuss the interaction between the two regions. Often they just restated the question and said that the two regions would interact, but did not offer any discussion relating to how this would happen. </w:t>
      </w:r>
    </w:p>
    <w:p w14:paraId="3085A270" w14:textId="77777777" w:rsidR="00EB251E" w:rsidRDefault="008C7926" w:rsidP="008C7926">
      <w:r>
        <w:t xml:space="preserve">The information required to achieve the three marks on this exam question are noted in the external assessment report shown below. The first mark, the students required outlining the role of the basal ganglia with a very clear relationship and link to the scenario. For the second mark, students needed to outline the role of the neocortex, again, with very specific relation to the scenario. And for the third and final mark, students needed to discuss the interaction between those two brain regions. And we have provided in the external assessment report an example of three of the ways or three of the discussion points that students may have provided to allow themselves to be awarded that third mark. </w:t>
      </w:r>
    </w:p>
    <w:p w14:paraId="783552B5" w14:textId="77777777" w:rsidR="00EB251E" w:rsidRDefault="008C7926" w:rsidP="008C7926">
      <w:r>
        <w:t xml:space="preserve">This example of a student response was awarded two marks. They have identified a role of the neocortex in relation to the scenario. They have also identified a role of the basal ganglia in relation to this scenario. But simply stating that the two regions interact was not sufficient for the third mark. The external assessment report highlights the possible way students could have achieved this mark. Teachers should look to extrapolate that information to interactions between other sets of brain regions for their lessons in 2025. You can see here we've annotated the sample response so you can use the different colours of highlighting to see what aspects of the answer were allowing your student to be awarded different marks. </w:t>
      </w:r>
    </w:p>
    <w:p w14:paraId="585C297B" w14:textId="77777777" w:rsidR="00EB251E" w:rsidRDefault="008C7926" w:rsidP="008C7926">
      <w:r>
        <w:t xml:space="preserve">Question 1b. Many students were awarded zero marks for question 1b because they simply applied the Atkinson-Shiffrin model without evaluating the benefits of the poster. Students who achieved one mark were able to evaluate one aspect of the poster and relate it to one memory store from the model. Students should be reminded of the need to answer the specific question in the examination. As you can see on the screen, it says, "To be awarded full marks, students need to be provided two valid links between an aspect of the poster and one of the memory stores from the Atkinson-Shiffrin multi-store model. A simple description of the model alone was not sufficient, despite being a common form of answer provided by the students." </w:t>
      </w:r>
    </w:p>
    <w:p w14:paraId="1C4AD9CB" w14:textId="77777777" w:rsidR="00EB251E" w:rsidRDefault="008C7926" w:rsidP="008C7926">
      <w:r>
        <w:t xml:space="preserve">Possible responses included a set of examples of what we have seen in student responses, including the five that we've provided in the report. In each case, there is </w:t>
      </w:r>
      <w:r>
        <w:lastRenderedPageBreak/>
        <w:t xml:space="preserve">one specific aspect of the poster that's been identified, as well as a clear link to one part of the multi-store model. This sample response is an example of a response linking one aspect of the poster, that is, viewing it each time they brush their teeth, with the sensory memory aspect of the model. Responses that related to iconic memory were accepted. The second half of the response did not highlight a separate aspect of the poster, so it could not be awarded a second mark. The response that's been highlighted in yellow was what was awarded the mark, and the rest of the response, as you can see, whilst continuing to discuss the multi-store model, hasn't highlighted a particular aspect of the poster that is going to benefit the child's learning. </w:t>
      </w:r>
    </w:p>
    <w:p w14:paraId="427247F0" w14:textId="77777777" w:rsidR="00EB251E" w:rsidRDefault="008C7926" w:rsidP="008C7926">
      <w:r>
        <w:t xml:space="preserve">Question 1c. It was pleasing to see the quality of answers for question 1c. Students needed to relate the ideas of semantic autobiographical memory and episodic autobiographical memory to this scenario for the first two marks. Semantic autobiographical memory is the facts and knowledge about the scenario that helped the father build the imagined future and the episodic aspects of the personal experiences of the scenario that helped the father build the imagined future. There were several points that students could have included to be awarded the final mark, as shown in the external assessment report on the screen. </w:t>
      </w:r>
    </w:p>
    <w:p w14:paraId="3C289EE8" w14:textId="77777777" w:rsidR="00EB251E" w:rsidRDefault="008C7926" w:rsidP="008C7926">
      <w:r>
        <w:t xml:space="preserve">Students did do well in this question. 30% of the state achieved full marks. Another 30% of the state achieved two out of three marks for a similar reason to question 1a. Students did well to demonstrate their knowledge of the roles of episodic and semantic autobiographical memories in constructing the possible imagined future. It was the third point, where they were attempting to link the two together or provide a concluding statement to that answer, where students often struggled. And at the bottom you can see it says, "High-scoring responses identified relevant parts of the scenario and explained how these related to episodic and semantic memories." This student was awarded two marks for their knowledge of episodic and semantic memory in the construction of a possible imagined future. The student missed out on including any of the additional points from the report that would've afforded them the third mark. You can see there in the yellow is where the student has identified the role of the episodic aspect, and in the green, they've identified the semantic aspect. </w:t>
      </w:r>
    </w:p>
    <w:p w14:paraId="285E9F4C" w14:textId="77777777" w:rsidR="00EB251E" w:rsidRDefault="008C7926" w:rsidP="008C7926">
      <w:r>
        <w:t xml:space="preserve">Question 1d. Students were often too relaxed with their wording choices to describe both long-term potentiation and the retention stage of observational learning. The report comments highlight the need to include certain crucial aspects of both ideas to ensure that an accurate understanding is conveyed. High-scoring responses neatly tied the two ideas together instead of treating LTP and the retention stage as two separate concepts. Students also, too frequently, omitted any inclusion of what the mental representation was actually of. Students should avoid simply including definitions of key terms that they've memorised from a textbook. </w:t>
      </w:r>
    </w:p>
    <w:p w14:paraId="54828537" w14:textId="7D650ADC" w:rsidR="008C7926" w:rsidRDefault="008C7926" w:rsidP="008C7926">
      <w:r>
        <w:lastRenderedPageBreak/>
        <w:t xml:space="preserve">As you can see on the screen, for the first mark, students were required to demonstrate an understanding that long-term potentiation is the long-lasting strengthening of a synapse due to repeated stimulation. To be awarded full marks, students were then required to demonstrate their knowledge of the retention stage of observational learning by explaining that LTP would occur in the neural pathways storing the mental representation or the long-term memory of the teeth brushing action they observed </w:t>
      </w:r>
      <w:proofErr w:type="gramStart"/>
      <w:r>
        <w:t>In</w:t>
      </w:r>
      <w:proofErr w:type="gramEnd"/>
      <w:r>
        <w:t xml:space="preserve"> discussing the retention stage, the phrases mental image or visual representation cannot be used in place of mental representation. Students are reminded that repeated stimulation of the neural pathway is necessary for LTP to occur. This student was awarded one mark for this response. They correctly described how the retention stage of observational learning relates to the scenario, however they did contradict themselves when attempting to explain LTP. You can see the use of the word weakening in their response there as well.</w:t>
      </w:r>
    </w:p>
    <w:p w14:paraId="27E06DAC" w14:textId="1AFBFE2F" w:rsidR="007F5FB2" w:rsidRDefault="007F5FB2" w:rsidP="008C7926">
      <w:pPr>
        <w:rPr>
          <w:b/>
          <w:bCs/>
        </w:rPr>
      </w:pPr>
      <w:r>
        <w:rPr>
          <w:b/>
          <w:bCs/>
        </w:rPr>
        <w:t>Slide 15 – Question 2</w:t>
      </w:r>
    </w:p>
    <w:p w14:paraId="2D39C69C" w14:textId="122EC8F7" w:rsidR="00EB251E" w:rsidRDefault="00EB251E" w:rsidP="008C7926">
      <w:r w:rsidRPr="00EB251E">
        <w:rPr>
          <w:b/>
          <w:bCs/>
        </w:rPr>
        <w:t>Alli Lehman</w:t>
      </w:r>
      <w:r>
        <w:t xml:space="preserve"> </w:t>
      </w:r>
      <w:r w:rsidR="008C7926">
        <w:t xml:space="preserve">- Question two was a two-part question relating to the gut-brain axis and scientific investigation methodologies. In part A, students were required to outline two roles of the vagus nerve in the gut-brain axis and describe how case studies could be used to understand the role of the vagus nerve. The average mark for question 2a was 1.7 out of four, with 11.6% of students not making any attempt on the question. When addressing the first part of the question </w:t>
      </w:r>
      <w:proofErr w:type="gramStart"/>
      <w:r w:rsidR="008C7926">
        <w:t>in regards to</w:t>
      </w:r>
      <w:proofErr w:type="gramEnd"/>
      <w:r w:rsidR="008C7926">
        <w:t xml:space="preserve"> two roles of the vagus nerve in relation to the gut-brain axis, many students failed to directly answer what they were being asked and instead outlined the GBA without a specific focus on the role of the vagus nerve. </w:t>
      </w:r>
    </w:p>
    <w:p w14:paraId="380062D6" w14:textId="77777777" w:rsidR="00EB251E" w:rsidRDefault="008C7926" w:rsidP="008C7926">
      <w:r>
        <w:t xml:space="preserve">These responses were not awarded any marks, however, students who then went on to provide more information specific to the vagus nerve were able to achieve marks accordingly. Responses that included incorrect directions, for example, sensory information is transmitted from the central nervous system to the enteric nervous system, were not awarded a mark. In attempting to describe how case studies could be used to understand the role of the vagus nerve in the GBA, many students incorrectly described other investigation methodologies, with a number writing about literature reviews. </w:t>
      </w:r>
    </w:p>
    <w:p w14:paraId="032E801E" w14:textId="77777777" w:rsidR="00EB251E" w:rsidRDefault="008C7926" w:rsidP="008C7926">
      <w:proofErr w:type="gramStart"/>
      <w:r>
        <w:t>A number of</w:t>
      </w:r>
      <w:proofErr w:type="gramEnd"/>
      <w:r>
        <w:t xml:space="preserve"> students also incorrectly described possible research that echoed the 10-mark question on the 2023 exam relating to the impact of the gut microbiota on the GBA, rather than focusing on the role of the vagus nerve. Although a number of the incorrect responses pleasingly suggest that students are preparing by completing past exam questions, it is important for them to carefully read each question to determine what it is asking and not simply repeat information that was appropriate as an answer to a previous question they have done that assessed the same key knowledge, but in a different way. </w:t>
      </w:r>
    </w:p>
    <w:p w14:paraId="5030C7E9" w14:textId="77777777" w:rsidR="00EB251E" w:rsidRDefault="008C7926" w:rsidP="008C7926">
      <w:r>
        <w:lastRenderedPageBreak/>
        <w:t xml:space="preserve">A reminder that an overview of the scientific investigation methodologies relevant for VCE psychology is published on page 14 of the study design and that it is important for student understanding and exposure to scientific methodologies throughout the year to extend beyond controlled experiments. This student was awarded three marks, two marks for correctly identifying two roles of the vagus nerve in the gut-brain axis and one mark for demonstrating an understanding of what a case study is. However, they did not provide a clear description of research that could be used to understand the role of the vagus nerve, specifically. </w:t>
      </w:r>
    </w:p>
    <w:p w14:paraId="03AC4687" w14:textId="77777777" w:rsidR="00EB251E" w:rsidRDefault="008C7926" w:rsidP="008C7926">
      <w:r>
        <w:t xml:space="preserve">Part B of question two required students to use their knowledge of the gut-brain axis to explain why adequate nutritional intake acts as a biological protective factor for maintaining mental well-being. As an explained question, students were required to make evident the relationship between the components of the question, adequate nutritional intake and mental well-being in relation to the gut-brain axis. This was a stepwise answer that involved making a link between adequate nutritional intake and the health of the microbiota, which leads to an impact on brain functioning, and finally, that this in turn impacts mental well-being. </w:t>
      </w:r>
    </w:p>
    <w:p w14:paraId="233444D2" w14:textId="77777777" w:rsidR="00EB251E" w:rsidRDefault="008C7926" w:rsidP="008C7926">
      <w:r>
        <w:t xml:space="preserve">Again, directional language was important for full marks. It was not enough for students to comment that adequate nutritional intake will change the microbiota or that poor intake will have a negative impact. The external assessment report provides this example of a high-scoring student response, which includes all three components required for a complete explanation. </w:t>
      </w:r>
      <w:proofErr w:type="gramStart"/>
      <w:r>
        <w:t>A number of</w:t>
      </w:r>
      <w:proofErr w:type="gramEnd"/>
      <w:r>
        <w:t xml:space="preserve"> students refer to neurotransmitters in the gut travelling to the brain. However, it is important that students and teachers understand that serotonin and other neurotransmitters do not directly cross the blood-brain barrier and that transmission of messages along the vagus nerve is an electrochemical process. </w:t>
      </w:r>
    </w:p>
    <w:p w14:paraId="025BE246" w14:textId="4C3EF728" w:rsidR="00EB251E" w:rsidRDefault="008C7926" w:rsidP="008C7926">
      <w:r>
        <w:t xml:space="preserve">Therefore, it is incorrect to say that neurotransmitters produced in the gut are directly transmitted to the brain. Rather, they have an indirect impact which can include an influence on the brain's neurotransmitter system. </w:t>
      </w:r>
      <w:r w:rsidR="001F6D58">
        <w:t>So,</w:t>
      </w:r>
      <w:r>
        <w:t xml:space="preserve"> while the gut plays an important role in the production of neurotransmitters and can influence the brain, the communication is not a simple transfer of neurotransmitters from gut to brain, it's a more complex signalling process involving both neural and chemical pathways. This response is an example of a student who began by providing a general description of the gut-brain axis. </w:t>
      </w:r>
    </w:p>
    <w:p w14:paraId="505B1CB1" w14:textId="1A044BBB" w:rsidR="008C7926" w:rsidRDefault="008C7926" w:rsidP="008C7926">
      <w:r>
        <w:t xml:space="preserve">Although the description is correct, it did not gain the student any marks as it does not address what the question is asking. The response does go on to achieve full marks for demonstrating knowledge of the link between adequate nutritional intake and healthy gut microbiota, where they have written that maintaining adequate nutritional intake will help to improve gut health and the health of the gut microbiome. And then referencing a link between healthy microbiota and brain functioning. This will then positively impact the brain, e.g., by reducing stress levels. The answer then </w:t>
      </w:r>
      <w:r>
        <w:lastRenderedPageBreak/>
        <w:t>concludes by articulating the link between brain functioning or reduced stress and enhanced mental well-being.</w:t>
      </w:r>
    </w:p>
    <w:p w14:paraId="328FEB00" w14:textId="78891E8C" w:rsidR="007F5FB2" w:rsidRDefault="007F5FB2" w:rsidP="007F5FB2">
      <w:pPr>
        <w:rPr>
          <w:b/>
          <w:bCs/>
        </w:rPr>
      </w:pPr>
      <w:r>
        <w:rPr>
          <w:b/>
          <w:bCs/>
        </w:rPr>
        <w:t xml:space="preserve">Slide </w:t>
      </w:r>
      <w:r>
        <w:rPr>
          <w:b/>
          <w:bCs/>
        </w:rPr>
        <w:t>24</w:t>
      </w:r>
      <w:r>
        <w:rPr>
          <w:b/>
          <w:bCs/>
        </w:rPr>
        <w:t xml:space="preserve"> – Question </w:t>
      </w:r>
      <w:r>
        <w:rPr>
          <w:b/>
          <w:bCs/>
        </w:rPr>
        <w:t>3</w:t>
      </w:r>
    </w:p>
    <w:p w14:paraId="57A32D15" w14:textId="5053109D" w:rsidR="00EB251E" w:rsidRDefault="00EB251E" w:rsidP="008C7926">
      <w:r w:rsidRPr="00EB251E">
        <w:rPr>
          <w:b/>
          <w:bCs/>
        </w:rPr>
        <w:t>Matthew DiPetta</w:t>
      </w:r>
      <w:r>
        <w:t xml:space="preserve"> </w:t>
      </w:r>
      <w:r w:rsidR="008C7926">
        <w:t xml:space="preserve">- This is now question three of Section B. It was pleasing to see the quality of responses and meaningful attempts made by students on question three. Students did well to break this question into appropriate chunks which helped them approach their answer. Students did not often answer the question in a neat order, but this did not hinder their ability to access full marks, provided </w:t>
      </w:r>
      <w:proofErr w:type="gramStart"/>
      <w:r w:rsidR="008C7926">
        <w:t>all of</w:t>
      </w:r>
      <w:proofErr w:type="gramEnd"/>
      <w:r w:rsidR="008C7926">
        <w:t xml:space="preserve"> the necessary points were provided. A common error was to provide similarities and differences between advanced sleep phase disorder and delayed sleep phase syndrome as sleep disorders, which was not the instruction in the question. Some students provided these additional similarities and differences, as well as the necessary answer about the similarities and differences between the use of bright light therapy for ASPD and DSPS. This resulted in a lengthy answer that likely hindered their ability to answer other sections of the examination. </w:t>
      </w:r>
    </w:p>
    <w:p w14:paraId="662A79DC" w14:textId="77777777" w:rsidR="00551F01" w:rsidRDefault="008C7926" w:rsidP="008C7926">
      <w:r>
        <w:t xml:space="preserve">Overall, this question was generally well answered. To be awarded full marks, students needed to identify both a similarity and a difference in the use of bright light therapy for DSPS and ASPD. And then for the next three marks, explain the biological mechanisms behind how bright light therapy works. Possible similarities between the use of bright light therapy for </w:t>
      </w:r>
      <w:proofErr w:type="gramStart"/>
      <w:r>
        <w:t>both of the sleep</w:t>
      </w:r>
      <w:proofErr w:type="gramEnd"/>
      <w:r>
        <w:t xml:space="preserve"> disorders are provided in the examination report. </w:t>
      </w:r>
    </w:p>
    <w:p w14:paraId="205BA20A" w14:textId="77777777" w:rsidR="00551F01" w:rsidRDefault="008C7926" w:rsidP="008C7926">
      <w:r>
        <w:t xml:space="preserve">Question three was an example where a straight definition of bright light therapy did not help students access any marks. Students should be looking to respond directly to the question. Teachers are encouraged to refer to the VCAA-published frequently asked questions document to ensure they are communicating to their students which terms can be readily abbreviated in the exam. ASPD, DSPS, BLT, and SCN are all examples from this question where students did not need to write out the full terms in their response. If we continue looking through the marking guide, a key difference then needed to be provided, and the main one is listed there. </w:t>
      </w:r>
    </w:p>
    <w:p w14:paraId="52688C70" w14:textId="24B073EA" w:rsidR="008C7926" w:rsidRDefault="008C7926" w:rsidP="008C7926">
      <w:r>
        <w:t xml:space="preserve">And the three points that students needed to refer to explain the biological mechanism behind bright light therapy is included in the report as well. Students are reminded to respond directly to the specific question being asked. Some students describe the sleep disorders themselves rather than addressing the specific use of bright light therapy for each disorder. This response is an example of a student providing all of the necessary points. The blue highlighting shows how they still access the similarity mark despite including these two ideas in separate parts of their answer. Similarly, with the difference being spread out across the paragraph. The opening dot point is an example of a student including additional information that did not see them awarded any extra marks. While they did not decrease their score for </w:t>
      </w:r>
      <w:r>
        <w:lastRenderedPageBreak/>
        <w:t>this particular question, it may have hindered their ability to finish other aspects of the examination.</w:t>
      </w:r>
    </w:p>
    <w:p w14:paraId="53ED66AE" w14:textId="56614EF3" w:rsidR="007F5FB2" w:rsidRDefault="007F5FB2" w:rsidP="007F5FB2">
      <w:pPr>
        <w:rPr>
          <w:b/>
          <w:bCs/>
        </w:rPr>
      </w:pPr>
      <w:r>
        <w:rPr>
          <w:b/>
          <w:bCs/>
        </w:rPr>
        <w:t xml:space="preserve">Slide </w:t>
      </w:r>
      <w:r>
        <w:rPr>
          <w:b/>
          <w:bCs/>
        </w:rPr>
        <w:t>27</w:t>
      </w:r>
      <w:r>
        <w:rPr>
          <w:b/>
          <w:bCs/>
        </w:rPr>
        <w:t xml:space="preserve"> – Question </w:t>
      </w:r>
      <w:r>
        <w:rPr>
          <w:b/>
          <w:bCs/>
        </w:rPr>
        <w:t>4</w:t>
      </w:r>
    </w:p>
    <w:p w14:paraId="632A82B4" w14:textId="3F65DE11" w:rsidR="00551F01" w:rsidRDefault="00551F01" w:rsidP="008C7926">
      <w:r w:rsidRPr="00551F01">
        <w:rPr>
          <w:b/>
          <w:bCs/>
        </w:rPr>
        <w:t>Alli Lehman</w:t>
      </w:r>
      <w:r>
        <w:t xml:space="preserve"> </w:t>
      </w:r>
      <w:r w:rsidR="008C7926">
        <w:t xml:space="preserve">- Question four was a 10-mark, five-part question relating to a controlled experiment investigating the impact of an ankle sprain on the spinal reflex response time in the soleus muscle of the lower leg. The experiment used a within-subjects design whereby spinal reflex response times were recorded for each participant's injured and uninjured ankle. </w:t>
      </w:r>
      <w:r w:rsidR="007A1B9D">
        <w:t>T</w:t>
      </w:r>
      <w:r w:rsidR="008C7926">
        <w:t xml:space="preserve">o begin with, students were asked to name the main excitatory neurotransmitter for one mark. This question was well answered across the state, with 81% of students being awarded the mark. As can be seen in the upper sample response, many of the students who attempted the question and did not receive the mark incorrectly identified GABA as an excitatory neurotransmitter. </w:t>
      </w:r>
    </w:p>
    <w:p w14:paraId="4F06AFFE" w14:textId="77777777" w:rsidR="00551F01" w:rsidRDefault="008C7926" w:rsidP="008C7926">
      <w:r>
        <w:t xml:space="preserve">Part B involved outlining one role of the somatic nervous system and one role of the spinal cord, specifically in relation to the spinal reflex in this experiment. While </w:t>
      </w:r>
      <w:proofErr w:type="gramStart"/>
      <w:r>
        <w:t>the majority of</w:t>
      </w:r>
      <w:proofErr w:type="gramEnd"/>
      <w:r>
        <w:t xml:space="preserve"> students made an attempt at this question, it was poorly answered, with many students not receiving any marks for their attempt. As the question was framed specifically in terms of the experiment, it was essential that students provided links for </w:t>
      </w:r>
      <w:proofErr w:type="gramStart"/>
      <w:r>
        <w:t>both of the roles</w:t>
      </w:r>
      <w:proofErr w:type="gramEnd"/>
      <w:r>
        <w:t xml:space="preserve">. If a student provided two correct roles, but did not link these to the experiment described in the scenario, they received a maximum of one mark. </w:t>
      </w:r>
    </w:p>
    <w:p w14:paraId="16D5BDAF" w14:textId="77777777" w:rsidR="00551F01" w:rsidRDefault="008C7926" w:rsidP="008C7926">
      <w:r>
        <w:t xml:space="preserve">Many students provided only one correct role and did not link to the experiment and therefore were not awarded any marks. </w:t>
      </w:r>
      <w:proofErr w:type="gramStart"/>
      <w:r>
        <w:t>A number of</w:t>
      </w:r>
      <w:proofErr w:type="gramEnd"/>
      <w:r>
        <w:t xml:space="preserve"> alternatives were acceptable for the two roles and for possible ways to link to the experiment, including mentioning the leg, the soleus muscle, or the stimulating electrode. It is important that students check their expression when addressing questions relating to the roles of different subdivisions of the nervous systems in responding to and processing and coordinating with sensory stimuli and that they do not suggest that neurons are moving or confuse unconscious responses with conscious ones. </w:t>
      </w:r>
    </w:p>
    <w:p w14:paraId="00B1F4BF" w14:textId="77777777" w:rsidR="00551F01" w:rsidRDefault="008C7926" w:rsidP="008C7926">
      <w:r>
        <w:t xml:space="preserve">This response was awarded one mark for correctly identifying a role of the somatic nervous system with links to both the electrode and the lower leg. The student continued their answer with a second role of the somatic nervous system, which incorrectly for a spinal reflex focuses on the message being sent to the brain. However, they had already received the mark and did not include any information to contradict the first part of their answer. The spinal reflex role did not link to the scenario and therefore was not awarded a mark. </w:t>
      </w:r>
    </w:p>
    <w:p w14:paraId="149DE96F" w14:textId="77777777" w:rsidR="00551F01" w:rsidRDefault="008C7926" w:rsidP="008C7926">
      <w:r>
        <w:t xml:space="preserve">Part C required students to refer back to the results table to describe the results and interpret what they show about the impact of an ankle injury on spinal reflex response times. When describing the results, students who just restated the results, </w:t>
      </w:r>
      <w:r>
        <w:lastRenderedPageBreak/>
        <w:t xml:space="preserve">for example, injured has an H-index of 78 and uninjured has an H-index of 87, without any directional language or those who stated that the values 78 and 87 were the participant's spinal reflex response time were not awarded the mark. Both conditions, injured and uninjured ankles, also needed to be referred to in the description of the results. </w:t>
      </w:r>
    </w:p>
    <w:p w14:paraId="6E7A7939" w14:textId="77777777" w:rsidR="00551F01" w:rsidRDefault="008C7926" w:rsidP="008C7926">
      <w:r>
        <w:t xml:space="preserve">There were </w:t>
      </w:r>
      <w:proofErr w:type="gramStart"/>
      <w:r>
        <w:t>a number of</w:t>
      </w:r>
      <w:proofErr w:type="gramEnd"/>
      <w:r>
        <w:t xml:space="preserve"> ways that the interpretation could have been phrased, such as the ankle injury negatively influences the response time of the spinal reflex or that an ankle injury slows down the speed of the spinal reflex response time. Whilst it is a correct interpretation that people with an injured ankle experienced a decrease in the speed of their spinal reflex, it was important that students did not incorrectly suggest that ankle injury decreases spinal reflex response times. This sample is an example of a student who just restated the data and therefore did not receive the mark for describing the results. They were awarded one mark for their interpretation, which is highlighted here in green. </w:t>
      </w:r>
    </w:p>
    <w:p w14:paraId="14E5E06E" w14:textId="77777777" w:rsidR="00551F01" w:rsidRDefault="008C7926" w:rsidP="008C7926">
      <w:r>
        <w:t xml:space="preserve">This student was also awarded one mark for their interpretation where they've stated that those with the injury will have slower spinal reflex response times. However, they incorrectly described the results, suggesting that the injured ankles were associated with a larger H-index and that this was the same thing as time for spinal reflex. They also incorrectly interpreted the experiment as using a between-subjects design, comparing people with injured ankles and people without injured ankles. Students who did this in this question were not penalised, as long as they still showed an understanding of the difference between the scores and what they mean. </w:t>
      </w:r>
    </w:p>
    <w:p w14:paraId="08BC8B4B" w14:textId="77777777" w:rsidR="00551F01" w:rsidRDefault="008C7926" w:rsidP="008C7926">
      <w:r>
        <w:t xml:space="preserve">Question 4d asked students to demonstrate how random sampling could have been used by the researchers to ensure that they achieved representativeness in their sample for three marks. For the first mark where students needed to identify the population, some students initially referred to people with injured ankles, but later in the response referred to another group of people with uninjured ankles, and therefore they did not receive the mark. Another common error was to refer to members of the sample instead of the population when describing random sampling. </w:t>
      </w:r>
    </w:p>
    <w:p w14:paraId="7A9BEF09" w14:textId="77777777" w:rsidR="00551F01" w:rsidRDefault="008C7926" w:rsidP="008C7926">
      <w:r>
        <w:t xml:space="preserve">For example, all participants have an equal chance of being selected to be part of the study. Other students incorrectly described aspects of stratified sampling. This student made a complete attempt at question </w:t>
      </w:r>
      <w:proofErr w:type="gramStart"/>
      <w:r>
        <w:t>4d, but</w:t>
      </w:r>
      <w:proofErr w:type="gramEnd"/>
      <w:r>
        <w:t xml:space="preserve"> was not awarded any marks. They incorrectly identified the population as injured and uninjured people and merged a description of convenience sampling with people signing up and random sampling with a random name generator. Furthermore, it is too absolute to say they are not biased. Random sampling would be more likely to reduce bias in the sample compared to other sampling techniques such as convenience sampling. This response received two marks for the first sentence where the student demonstrated both knowledge of what random sampling involves and identified the population correctly. </w:t>
      </w:r>
    </w:p>
    <w:p w14:paraId="45AF0CCE" w14:textId="77777777" w:rsidR="00551F01" w:rsidRDefault="008C7926" w:rsidP="008C7926">
      <w:r>
        <w:lastRenderedPageBreak/>
        <w:t xml:space="preserve">Part E of question four involved explaining the benefit of the calculation of the H-index in terms of measurement errors. Approximately 10% of students did not attempt this question and the average mark was 0.5, suggesting an opportunity for teachers and students to incorporate more practise with research scenarios and errors. The reference to the systematic error needed to be absolute, for example, removes, prevents, eliminates, or avoids, rather than decreases or reduces. Students who provided two errors, for example, systematic and random, regardless of what order in which they discussed them, did not show an understanding of what the question was asking them to do and therefore they did not receive the first mark, but could still access the second mark. </w:t>
      </w:r>
    </w:p>
    <w:p w14:paraId="3A4C94A2" w14:textId="77777777" w:rsidR="007F5FB2" w:rsidRDefault="008C7926" w:rsidP="008C7926">
      <w:r>
        <w:t xml:space="preserve">Explanations needed to refer to participant height and link this to an associated benefit. This student response was awarded two marks. While the student initially used the term reduces, they </w:t>
      </w:r>
      <w:proofErr w:type="gramStart"/>
      <w:r>
        <w:t>continued on</w:t>
      </w:r>
      <w:proofErr w:type="gramEnd"/>
      <w:r>
        <w:t xml:space="preserve"> to use the word prevents and then eliminates in their response, indicating an understanding that the H-index removes the issue and does not just minimise it. </w:t>
      </w:r>
    </w:p>
    <w:p w14:paraId="457A9764" w14:textId="77777777" w:rsidR="007F5FB2" w:rsidRPr="007F5FB2" w:rsidRDefault="007F5FB2" w:rsidP="007F5FB2">
      <w:pPr>
        <w:rPr>
          <w:b/>
          <w:bCs/>
        </w:rPr>
      </w:pPr>
      <w:r w:rsidRPr="007F5FB2">
        <w:rPr>
          <w:b/>
          <w:bCs/>
        </w:rPr>
        <w:t>Slide 46 – Question 5</w:t>
      </w:r>
    </w:p>
    <w:p w14:paraId="5CF5AA68" w14:textId="26EEDD6D" w:rsidR="00551F01" w:rsidRDefault="008C7926" w:rsidP="008C7926">
      <w:r>
        <w:t xml:space="preserve">Question five involved a within-subjects study which investigated whether stress appraisal, coping strategies, and/or coping flexibility could explain how mindfulness meditation can change mood in response to a stressor. </w:t>
      </w:r>
    </w:p>
    <w:p w14:paraId="6173AE9C" w14:textId="77777777" w:rsidR="00551F01" w:rsidRDefault="008C7926" w:rsidP="008C7926">
      <w:r>
        <w:t xml:space="preserve">Part A required students to distinguish between internal and external stressors. This question was well answered with 90% of students achieving the mark for it. This here is an example of a fairly typical response to this question where the student has stated that internal stressors come from within the individual, whereas external stressors are from the environment outside of the individual or surroundings. It includes the comparative term whereas and clearly signposts where they were referring to internal versus external stressors. </w:t>
      </w:r>
    </w:p>
    <w:p w14:paraId="168533E0" w14:textId="77777777" w:rsidR="00551F01" w:rsidRDefault="008C7926" w:rsidP="008C7926">
      <w:r>
        <w:t xml:space="preserve">Part B asked students to suggest one question for primary and secondary appraisals that could be included on the questionnaire. The use of the word suggest indicated that there were multiple correct answers for this question. While the question already indicated that the participants were being asked about something that </w:t>
      </w:r>
      <w:proofErr w:type="gramStart"/>
      <w:r>
        <w:t>was considered to be</w:t>
      </w:r>
      <w:proofErr w:type="gramEnd"/>
      <w:r>
        <w:t xml:space="preserve"> stressful, students could frame their example question broadly as, is this stressful, or they could be more specific in terms of drilling down into one of the possible primary stressful appraisals outlined in the Lazarus and Folkman model. Was the situation a challenge, a threat, or a loss was awarded one mark. </w:t>
      </w:r>
    </w:p>
    <w:p w14:paraId="301D6C4D" w14:textId="77777777" w:rsidR="00551F01" w:rsidRDefault="008C7926" w:rsidP="008C7926">
      <w:r>
        <w:t xml:space="preserve">In part two of question 5b, students were asked to suggest a question relating to secondary appraisal. 75% of students achieved one mark for this question, and some students who received zero marks refer to aspects of primary appraisal in their answer. For example, was it a challenge or a threat? This is an example of a </w:t>
      </w:r>
      <w:r>
        <w:lastRenderedPageBreak/>
        <w:t xml:space="preserve">straightforward and quite common response that mimics many of the diagrams used in the textbooks in relation to the Lazarus and Folkman model and was awarded one mark. For part C, students were asked to suggest why coping flexibility does not explain the changes in mood experienced after the participants completed mindfulness meditation. </w:t>
      </w:r>
    </w:p>
    <w:p w14:paraId="6C7E0E49" w14:textId="3AF6FB8F" w:rsidR="00551F01" w:rsidRDefault="008C7926" w:rsidP="008C7926">
      <w:r>
        <w:t xml:space="preserve">To be awarded marks, students could either conclude the coping flexibility and mindfulness meditation are incompatible since mindfulness meditation focuses on acceptance, which prevents changes in coping strategies, or suggest that coping flexibility is not relevant as participants in the study only used one coping strategy. This example of a high-scoring response highlights the incompatibility between coping flexibility, which requires changing between different strategies, and participants only being given one coping strategy in the study. This response was awarded two marks for correctly outlining what coping flexibility is and identifying that only one coping strategy was taught. </w:t>
      </w:r>
    </w:p>
    <w:p w14:paraId="21DE0AC9" w14:textId="77777777" w:rsidR="00551F01" w:rsidRDefault="008C7926" w:rsidP="008C7926">
      <w:r>
        <w:t xml:space="preserve">In part D, students were required to demonstrate their knowledge of the ethical guideline of debriefing. Students needed to demonstrate an understanding of the application of the ethical guideline of debriefing by referring to two aspects of debriefing. It is important that students </w:t>
      </w:r>
      <w:proofErr w:type="gramStart"/>
      <w:r>
        <w:t>are able to</w:t>
      </w:r>
      <w:proofErr w:type="gramEnd"/>
      <w:r>
        <w:t xml:space="preserve"> distinguish between debriefing and informed consent, particularly in relation to when they occur and the type of information that is communicated to participants in relation to each guideline. No marks were awarded for suggestions that deception occurred relating to the true nature of the study, but students could still access full marks if they also incorporated two valid answers in addition to referencing a true nature being revealed. Some students incorrectly suggested that additional data was to be collected during debriefing. </w:t>
      </w:r>
    </w:p>
    <w:p w14:paraId="517AA7D3" w14:textId="77777777" w:rsidR="00551F01" w:rsidRDefault="008C7926" w:rsidP="008C7926">
      <w:r>
        <w:t xml:space="preserve">For example, meet with the participants after the experiment and ask them how they are feeling how effective they thought the mindfulness meditation was. Such answers only received one mark if they indicated that this occurs after the experiment. This student received two marks for correctly indicating that debriefing happens at the end of the study and for including relevant information about what participants need to be told. </w:t>
      </w:r>
    </w:p>
    <w:p w14:paraId="3556D0B4" w14:textId="5E50813B" w:rsidR="008C7926" w:rsidRDefault="008C7926" w:rsidP="008C7926">
      <w:r>
        <w:t xml:space="preserve">In part E, students were then asked to explain how sleep deprivation may impact the results and to recommend one improvement. 60% of students achieved one mark for this question, with many correctly suggesting a possible improvement, such as include a question about sleep duration on the questionnaire, exclude data of sleep-deprived participants, or provide participants with education on sleep hygiene. Given that the command term for the first mark was explained, students were required to go beyond just stating an effective sleep deprivation. They needed to link this to how the results could be affected, and many students did not provide this level of depth in their answer. This response received one mark for providing a valid improvement of </w:t>
      </w:r>
      <w:r>
        <w:lastRenderedPageBreak/>
        <w:t>controlling sleep of participants by ensuring participants have a set sleep schedule. While the student correctly identified that sleep deprivation can impact effective functioning, their response was vague and did not indicate why it is relevant or problematic that mood could have been affected by this.</w:t>
      </w:r>
    </w:p>
    <w:p w14:paraId="2764AEB5" w14:textId="7BD0AD9D" w:rsidR="007F5FB2" w:rsidRDefault="007F5FB2" w:rsidP="007F5FB2">
      <w:pPr>
        <w:rPr>
          <w:b/>
          <w:bCs/>
        </w:rPr>
      </w:pPr>
      <w:r>
        <w:rPr>
          <w:b/>
          <w:bCs/>
        </w:rPr>
        <w:t xml:space="preserve">Slide </w:t>
      </w:r>
      <w:r>
        <w:rPr>
          <w:b/>
          <w:bCs/>
        </w:rPr>
        <w:t>65</w:t>
      </w:r>
      <w:r>
        <w:rPr>
          <w:b/>
          <w:bCs/>
        </w:rPr>
        <w:t xml:space="preserve"> – Question </w:t>
      </w:r>
      <w:r>
        <w:rPr>
          <w:b/>
          <w:bCs/>
        </w:rPr>
        <w:t>6</w:t>
      </w:r>
    </w:p>
    <w:p w14:paraId="6DDC79B0" w14:textId="6E1E947F" w:rsidR="00551F01" w:rsidRDefault="00551F01" w:rsidP="008C7926">
      <w:r w:rsidRPr="00551F01">
        <w:rPr>
          <w:b/>
          <w:bCs/>
        </w:rPr>
        <w:t>Matthew DiPetta</w:t>
      </w:r>
      <w:r>
        <w:t xml:space="preserve"> </w:t>
      </w:r>
      <w:r w:rsidR="008C7926">
        <w:t xml:space="preserve">- On to question six of Section B. This question mimics the SAC-type communication of the design analysis and findings of a student-designed and student-conducted scientific investigation through a structured scientific poster and </w:t>
      </w:r>
      <w:r>
        <w:t>logbook</w:t>
      </w:r>
      <w:r w:rsidR="008C7926">
        <w:t xml:space="preserve"> entries, given that it was a student-led investigation. Students needed to take care with the completeness of their answers that they submit on their examination. </w:t>
      </w:r>
    </w:p>
    <w:p w14:paraId="2B2328ED" w14:textId="77777777" w:rsidR="00551F01" w:rsidRDefault="008C7926" w:rsidP="008C7926">
      <w:r>
        <w:t xml:space="preserve">For 6a, the two independent variables, order of presentation and time delay between the two stimuli, were written out in full in the table and in the proceeding scenario. Students should be mindful to avoid taking shortcuts in their answers which result in a change in the meaning. Other common errors for 6a included listing the types of stimuli that were used instead. Teachers are advised to use this scenario with their students to discuss why seven groups were needed to complete a valid experiment when there are two independent variables. </w:t>
      </w:r>
    </w:p>
    <w:p w14:paraId="7888B5FA" w14:textId="74BFE7C6" w:rsidR="00551F01" w:rsidRDefault="001F6D58" w:rsidP="008C7926">
      <w:r>
        <w:t>Specifically,</w:t>
      </w:r>
      <w:r w:rsidR="008C7926">
        <w:t xml:space="preserve"> for 6a, we can see that students were required to identify the independent variables used in this experiment, which were the order of presentation and the time delay between the two stimuli. Students should know that the independent variable is the variable for which the quantities are manipulated by the researcher, and this variable is assumed to have a direct effect on the dependent variable. This is an example of a student response that played around with the wording, but still conveyed accurate meaning and was therefore awarded two marks. Responses that said timing of stimuli were not awarded the mark. </w:t>
      </w:r>
    </w:p>
    <w:p w14:paraId="4403DBC2" w14:textId="63126DAD" w:rsidR="00551F01" w:rsidRDefault="008C7926" w:rsidP="008C7926">
      <w:r>
        <w:t>The</w:t>
      </w:r>
      <w:r w:rsidR="00551F01">
        <w:t>n</w:t>
      </w:r>
      <w:r>
        <w:t xml:space="preserve"> 6b. The majority of students correctly identified that the unconditioned response was blinking. Many students missed out on the mark for the neutral stimulus due to the omission of the terms sound or hearing. Any response referring to a neutral stimulus, a conditioned stimulus, or an unconditioned stimulus should include the sensation that's associated with it. Here students were required to identify the sound of the electronic bell as the neutral stimulus with reference to the sensation of hearing or sound and identify the unconditioned stimulus as blinking. Here's an example for 6b. This student was awarded full marks for their response. </w:t>
      </w:r>
    </w:p>
    <w:p w14:paraId="74C1E45E" w14:textId="77777777" w:rsidR="00551F01" w:rsidRDefault="008C7926" w:rsidP="008C7926">
      <w:r>
        <w:t xml:space="preserve">On to 6c. This deceptively straightforward question required some specific wording in their answer. 70% of students receiving zero marks for this question suggests that they were not careful enough to demonstrate an accurate and complete understanding of this idea. Students needed to specify that Pip is looking for a </w:t>
      </w:r>
      <w:r>
        <w:lastRenderedPageBreak/>
        <w:t xml:space="preserve">blinking response to the sound of the electronic bell only or alone or without the torch light present. The responses needed to be clear that this sound of the bell was now the conditioned stimulus and not the neutral stimulus. Students who provided a general response, such as when the conditioned response is seen after the conditioned stimulus alone is presented, were not awarded any marks. </w:t>
      </w:r>
    </w:p>
    <w:p w14:paraId="664F75D1" w14:textId="77777777" w:rsidR="00551F01" w:rsidRDefault="008C7926" w:rsidP="008C7926">
      <w:r>
        <w:t xml:space="preserve">As you can see in the slide, students were required to describe what Pip would observe during the experiment, and specifically, they needed to indicate that Pip would observe when the participants blinked in response to the electronic bell only. This is an example of a student who did not provide a clear enough response and therefore was being awarded zero marks. </w:t>
      </w:r>
    </w:p>
    <w:p w14:paraId="55B41AD3" w14:textId="77777777" w:rsidR="00551F01" w:rsidRDefault="008C7926" w:rsidP="008C7926">
      <w:r>
        <w:t xml:space="preserve">On to 6d. This question illustrated an alternative way to assess students' knowledge of classical conditioning that did not simply require them to have memorised the three-phase model response. Some students tried to use the pre-memorized three-phase model answer before, during, and after in this answer without identifying the condition that would experience the quickest rate of learning. Students should ensure, teachers should ensure that students have a thorough understanding of the mechanics behind classical conditioning and are prepared to answer different question types from those seen before. </w:t>
      </w:r>
    </w:p>
    <w:p w14:paraId="3E15F9E6" w14:textId="77777777" w:rsidR="00551F01" w:rsidRDefault="008C7926" w:rsidP="008C7926">
      <w:r>
        <w:t xml:space="preserve">Whilst it was pleasing to see a third of the students be awarded full marks for this question, it was disappointing that 42% of students received zero marks. Condition E was the condition that would've shown the fastest rate of learning due to the correct order of the neutral stimulus and the unconditioned response presentation, as well as the shortest possible time delay between the two stimuli. </w:t>
      </w:r>
    </w:p>
    <w:p w14:paraId="07C64EAC" w14:textId="5DC4DA99" w:rsidR="00551F01" w:rsidRDefault="008C7926" w:rsidP="008C7926">
      <w:r>
        <w:t xml:space="preserve">To be awarded full marks, students needed to identify Condition E as the condition that would result in the quickest learning and then justify it from both the perspective of the order of presentation and the time delay between the two stimuli. It should be noted that students could be awarded a maximum of one mark if they incorrectly selected Condition A, F, or G, but still included a congruent justification about either, whichever was still correct, the order of presentation or the time delay. This is an example of a response being awarded three marks, as the student included </w:t>
      </w:r>
      <w:proofErr w:type="gramStart"/>
      <w:r>
        <w:t>all of</w:t>
      </w:r>
      <w:proofErr w:type="gramEnd"/>
      <w:r>
        <w:t xml:space="preserve"> the necessary points in their answer. In the yellow, they've identified Condition E, in the green, they've justified the order, and in the orange, they've justified the timing. </w:t>
      </w:r>
    </w:p>
    <w:p w14:paraId="16DC1306" w14:textId="77777777" w:rsidR="0050065C" w:rsidRDefault="008C7926" w:rsidP="008C7926">
      <w:r>
        <w:t xml:space="preserve">On to 6e. Two common errors in this response included providing a general answer that in no way related to the scenario and failing to refer to the two sets of results needing to be compared for similarity. Reproducibility is a measure of how close the two sets of results are between the original experiment and the one that has had some aspect changed. Common changes to conditions that students suggested included changing the sound of the electronic bell or the strength of the torch light. The study design lists many other possible conditions that can be changed when </w:t>
      </w:r>
      <w:r>
        <w:lastRenderedPageBreak/>
        <w:t xml:space="preserve">investigating reproducibility, which students could have modified to make relevant to this scenario. </w:t>
      </w:r>
    </w:p>
    <w:p w14:paraId="647D2F7F" w14:textId="2E769919" w:rsidR="00551F01" w:rsidRDefault="008C7926" w:rsidP="008C7926">
      <w:r>
        <w:t xml:space="preserve">The breakdown of marks in this question suggests that teachers need to ensure that students understand the two aspects of reproducibility and repeatability too, and remind students that they should always look to make their answer relevant to the given scenario. As it says on the slide, "To be awarded full marks, students needed to directly link their response to Pip's experiment and describe changes the experimenter could make before comparing the similarity of the results. It was important that students suggested a specific alteration to the experiment such as the following ideas." Students were also required to make clear in their response that the results between both experiments would need to be compared to verify the reproducibility. </w:t>
      </w:r>
    </w:p>
    <w:p w14:paraId="10F1586D" w14:textId="77777777" w:rsidR="0050065C" w:rsidRDefault="008C7926" w:rsidP="008C7926">
      <w:r>
        <w:t xml:space="preserve">Here's an example response for 6e. To be awarded full marks for this question, responses needed to provide one example of a changed condition to repeat the experiment with </w:t>
      </w:r>
      <w:proofErr w:type="gramStart"/>
      <w:r>
        <w:t>and also</w:t>
      </w:r>
      <w:proofErr w:type="gramEnd"/>
      <w:r>
        <w:t xml:space="preserve"> identify that the results needed to be compared to verify the reproducibility of the experiment. One aspect of their answer needed to relate directly to the experiment in question six or the response was only given a maximum of one mark. This sample response was only awarded one mark for identifying that an aspect of the experiment needed to be changed. There was no comment about needing to compare the results. It should be noted that if an additional comment was provided about comparing results, this response would still get a maximum of one mark because they hadn't written a response that was specific to this experiment. </w:t>
      </w:r>
    </w:p>
    <w:p w14:paraId="339F9CFD" w14:textId="77777777" w:rsidR="007F5FB2" w:rsidRPr="007F5FB2" w:rsidRDefault="007F5FB2" w:rsidP="007F5FB2">
      <w:pPr>
        <w:rPr>
          <w:b/>
          <w:bCs/>
        </w:rPr>
      </w:pPr>
      <w:r w:rsidRPr="007F5FB2">
        <w:rPr>
          <w:b/>
          <w:bCs/>
        </w:rPr>
        <w:t>Slide 75 – Question 7</w:t>
      </w:r>
    </w:p>
    <w:p w14:paraId="6881BAE6" w14:textId="04AB0963" w:rsidR="0050065C" w:rsidRDefault="008C7926" w:rsidP="008C7926">
      <w:r>
        <w:t xml:space="preserve">We now move on to question seven of Section B. Question seven mimicked the SAC-type analysis and comparison of two or more contemporary media texts that students would've completed throughout the year. For question 7a, careful reading of the two extracts enabled students to find two differences between the sleep of newborns and that of older adults. Students also needed to provide a congruent reason for the difference as per the key knowledge dot point. Common errors included students providing an elaboration or a description of the difference they had just identified rather than an explanation for that difference. Given the question only asked for a difference, assessors were not instructed to look for congruent comparisons with a whereas in the middle, although this was an acceptable way to answer this part of the question. </w:t>
      </w:r>
    </w:p>
    <w:p w14:paraId="1AA8AC90" w14:textId="77777777" w:rsidR="0050065C" w:rsidRDefault="008C7926" w:rsidP="008C7926">
      <w:r>
        <w:t xml:space="preserve">A common error included students confusing REM sleep with light sleep, and therefore comparing the REM, NREM percentages and using this to identify the light, deep sleep that a person is getting. NREM stages one and two are light sleep, NREM stage three is deep sleep. REM sleep is not considered light sleep. Another </w:t>
      </w:r>
      <w:r>
        <w:lastRenderedPageBreak/>
        <w:t xml:space="preserve">common error was students not referring to aspects of the extract and providing differences that were not referred to in the text. </w:t>
      </w:r>
    </w:p>
    <w:p w14:paraId="3BA75381" w14:textId="7F4F276E" w:rsidR="0050065C" w:rsidRDefault="008C7926" w:rsidP="008C7926">
      <w:r>
        <w:t xml:space="preserve">As you can see on the slide, students needed to identify two differences between newborns and older adults. The following could be used as differences as they'd been provided in either extracts one or two. Students then needed to provide a reason for that difference. This is in line with the wording of the key knowledge dot point that says, "The differences in, and explanations for, the demands for sleep across the lifespan." Some possible reasons that students may have provided are included on the slide. This is an example of a response that received four marks. The student identified two differences without repeating themselves. This student provided clear reasons to support the biological explanation for the differences in sleep patterns to a high level. </w:t>
      </w:r>
    </w:p>
    <w:p w14:paraId="75E71DC5" w14:textId="77777777" w:rsidR="00D80699" w:rsidRDefault="008C7926" w:rsidP="008C7926">
      <w:r>
        <w:t xml:space="preserve">On to question 7b, part i. This question provides another good opportunity, along with the VCAA-released sample questions, to assist students with their understanding of the critically evaluate command term. As for question 7a, a common error seen was students not using information from extract one to critically evaluate the statements supplied. A clear supported or not supported phrase to start their response aided assessors in seeing what type of evaluation was being provided. The text shown demonstrates the types of evaluations students may have provided, each being awarded one mark. This response was an example of a student being awarded two marks, as they provided two separate evaluations. They used language, such as this is likely to be true and this is reinforced, to aid assessors in determining the type of evaluation they were providing. The information they used to support their evaluation was provided in extract one. </w:t>
      </w:r>
    </w:p>
    <w:p w14:paraId="203941BB" w14:textId="77777777" w:rsidR="00D80699" w:rsidRDefault="008C7926" w:rsidP="008C7926">
      <w:r>
        <w:t xml:space="preserve">Question 7b, part two was similar in structure, but this time focused on the sleep patterns of newborns using the information from extract two. The same requirements existed as question 7b, part one, and therefore the same common errors were seen. Many different evaluations were accepted and an example of some of those are included on the slide. This example is a one mark out of two response as this student presented the same idea twice in their answer. The fact given that newborns sleeping through the day and night demonstrates that light does not have as big of an effect on the sleep-wake cycle is presenting only one critical evaluation. </w:t>
      </w:r>
    </w:p>
    <w:p w14:paraId="2887E0F8" w14:textId="77777777" w:rsidR="00D80699" w:rsidRDefault="008C7926" w:rsidP="008C7926">
      <w:r>
        <w:t xml:space="preserve">This question, 7c, related to the key science skills of organising and presenting data in useful and meaningful ways, including tables, bar charts, and line graphs. There was an elevated level of difficulty in the graph that students were required to draw in the 2024 examination compared to 2023. Teachers may look to use the analysis and evaluation of generated primary or secondary data, SAC type, or the communication of the design analysis and findings of a student-designed and student-conducted scientific investigation SAC to prepare students to draw different graph types under test conditions. This question was generally not well answered. Teachers should be </w:t>
      </w:r>
      <w:r>
        <w:lastRenderedPageBreak/>
        <w:t xml:space="preserve">looking to provide students with opportunities to organise and present data in a range of ways linked to research as part of their learning. Students were required to draw a graph that clearly depicted the difference between the age brackets using data to produce a two-bar graph. </w:t>
      </w:r>
    </w:p>
    <w:p w14:paraId="09149191" w14:textId="49C51372" w:rsidR="008C7926" w:rsidRDefault="008C7926" w:rsidP="008C7926">
      <w:r>
        <w:t>The percentage difference between 6 and 12 months for those able to sleep five-plus hours consecutively was 10%, and for those able to sleep eight-plus hours consecutively was 15%. The y-axis needed to be labelled as the number of hours of consecutive sleep with labels for five-plus and eight-plus hour bars. The y-axis needed to be labelled as percentage difference between 6 and 12 months with an appropriate numerical scale. Two bars representing the 10% difference and 15% difference needed to be plotted correctly and should not have been touching. You can see some examples of common errors on the slide. These sample responses are not in the external assessment report. The left-hand graph shows the graph as the graph should have looked and would've been awarded three marks. The graph on the right shows an example of an incorrect graph that could be awarded a maximum of one mark. This next slide shows a common incorrect graph provided where the students have plotted four bars, and this was also awarded a maximum of one mark due to the correct attempt at the x-axes.</w:t>
      </w:r>
    </w:p>
    <w:p w14:paraId="1D746760" w14:textId="77777777" w:rsidR="007F5FB2" w:rsidRPr="007F5FB2" w:rsidRDefault="007F5FB2" w:rsidP="007F5FB2">
      <w:pPr>
        <w:rPr>
          <w:b/>
          <w:bCs/>
        </w:rPr>
      </w:pPr>
      <w:r w:rsidRPr="007F5FB2">
        <w:rPr>
          <w:b/>
          <w:bCs/>
        </w:rPr>
        <w:t>Slide 84 – Question 8</w:t>
      </w:r>
    </w:p>
    <w:p w14:paraId="2A7DE947" w14:textId="2B191200" w:rsidR="00D80699" w:rsidRDefault="00D80699" w:rsidP="008C7926">
      <w:r w:rsidRPr="00D80699">
        <w:rPr>
          <w:b/>
          <w:bCs/>
        </w:rPr>
        <w:t>Alli Lehman</w:t>
      </w:r>
      <w:r>
        <w:t xml:space="preserve"> </w:t>
      </w:r>
      <w:r w:rsidR="008C7926">
        <w:t xml:space="preserve">- Question eight provided this statement regarding what kinship means to Aboriginal and Torres Strait Islander peoples, and the seven-mark, three-part question required students to apply their knowledge of approaches to learning, songlines and social and emotional well-being. Part A asks students to describe the role kinship has in Aboriginal and Torres Strait Islander ways of knowing. The two marks for this question were allocated to students who demonstrated an understanding of ways of knowing and then described kinship specifically in relation to ways of knowing. As included in the study design, students should understand approaches to learning that situate the learner within a system, as illustrated by Aboriginal and Torres Strait Islander ways of knowing where learning is viewed as being embedded in relationships where the learner is part of a multimodal system of knowledge patterned on country. And there were </w:t>
      </w:r>
      <w:proofErr w:type="gramStart"/>
      <w:r w:rsidR="008C7926">
        <w:t>a number of</w:t>
      </w:r>
      <w:proofErr w:type="gramEnd"/>
      <w:r w:rsidR="008C7926">
        <w:t xml:space="preserve"> ways that students could demonstrate their understanding of ways of knowing, including those that are listed here. </w:t>
      </w:r>
    </w:p>
    <w:p w14:paraId="12E6AE89" w14:textId="77777777" w:rsidR="00D80699" w:rsidRDefault="008C7926" w:rsidP="008C7926">
      <w:r>
        <w:t xml:space="preserve">For the second mark, many students focused on simply describing kinship without making a connection to ways of knowing, which was key to what the question was asking. Some of the examples of the role of kinship in relation to ways of knowing included that kinship structure determines who holds or who has access to knowledge or that the passing on knowledge is part of a person's responsibilities towards other people. In each of these examples we can see the link between both kinship and ways of knowing are demonstrated. This student has used the two key </w:t>
      </w:r>
      <w:r>
        <w:lastRenderedPageBreak/>
        <w:t xml:space="preserve">terms of kinship and ways of knowing in their answer, however, they have not demonstrated understanding of ways of knowing nor have they linked it to kinship. When using information from the statement, the student could have linked to ways of knowing by stating that passing on knowledge is part of these responsibilities. </w:t>
      </w:r>
    </w:p>
    <w:p w14:paraId="5B881AAE" w14:textId="77777777" w:rsidR="00D80699" w:rsidRDefault="008C7926" w:rsidP="008C7926">
      <w:r>
        <w:t xml:space="preserve">This is an example of a student who has attempted the </w:t>
      </w:r>
      <w:proofErr w:type="gramStart"/>
      <w:r>
        <w:t>question, but</w:t>
      </w:r>
      <w:proofErr w:type="gramEnd"/>
      <w:r>
        <w:t xml:space="preserve"> has not been awarded any marks as they have not addressed what they were being asked to do. Given that the statement was provided, quite </w:t>
      </w:r>
      <w:proofErr w:type="gramStart"/>
      <w:r>
        <w:t>a number of</w:t>
      </w:r>
      <w:proofErr w:type="gramEnd"/>
      <w:r>
        <w:t xml:space="preserve"> students did attempt the question and filled up several lines, however, they did not demonstrate an understanding of the role of kinship in relation to Aboriginal and Torres Strait Islander ways of knowing, and therefore they did not receive marks for simply rewording information that was provided in the question. </w:t>
      </w:r>
    </w:p>
    <w:p w14:paraId="7FBCB864" w14:textId="5618BCF6" w:rsidR="00D80699" w:rsidRDefault="008C7926" w:rsidP="008C7926">
      <w:r>
        <w:t xml:space="preserve">Part B of question eight required students to bring together their knowledge of songlines from unit three, AOS two, and social and emotional well-being and cultural determinants from unit four, AOS two. Students were firstly required to identify cultural continuity as the cultural determinant and then to outline why the sharing of songlines is considered an aspect of cultural continuity for Aboriginal peoples. This question went beyond requiring students to simply demonstrate an understanding of songlines, as was the case in the 2023 exam, and instead they needed to link it to cultural continuity, for example, by stating that songlines enable the transmission of cultural practises across generations. For the third mark, students needed to suggest how the sharing of songlines acts as a protective factor for social and emotional well-being, which we can see in this high-scoring response where the student has stated that by sharing songlines, cultural continuity is strengthened and helps protect a sense of belonging, connection to culture and to ancestors or family who share songlines, which helps maintain strong social and emotional well-being. This student was awarded one mark for correctly identifying cultural </w:t>
      </w:r>
      <w:r w:rsidR="001F6D58">
        <w:t>continuity;</w:t>
      </w:r>
      <w:r>
        <w:t xml:space="preserve"> however, they did not link this to songlines for their second mark and did not link to how it acts as a protective factor for social and emotional well-being. </w:t>
      </w:r>
    </w:p>
    <w:p w14:paraId="00009674" w14:textId="77777777" w:rsidR="00D80699" w:rsidRDefault="008C7926" w:rsidP="008C7926">
      <w:r>
        <w:t xml:space="preserve">Part C of question eight asked students to describe how kinship and family supports the social and emotional well-being of Aboriginal and Torres Strait Islander peoples. In describing this link between kinship and family and social and emotional well-being, there were </w:t>
      </w:r>
      <w:proofErr w:type="gramStart"/>
      <w:r>
        <w:t>a number of</w:t>
      </w:r>
      <w:proofErr w:type="gramEnd"/>
      <w:r>
        <w:t xml:space="preserve"> points that students could have made, such as that it maintains interconnectedness through cultural ties and caring relationships or that it provides a strong sense of belonging. Or they could have linked to one of the other domains of the social and emotional well-being framework, for example, by stating that kinship and family enhances connection to country and land, thus supporting social and emotional well-being of Aboriginal and Torres Strait Islander peoples. </w:t>
      </w:r>
    </w:p>
    <w:p w14:paraId="14ECF862" w14:textId="05FAC267" w:rsidR="008C7926" w:rsidRDefault="008C7926" w:rsidP="008C7926">
      <w:r>
        <w:t xml:space="preserve">We can see in this high-scoring response that the student has identified that one dimension is connection to family and kinship and that family allows individuals to feel this sense of belonging. Once again, as students were provided with the original </w:t>
      </w:r>
      <w:r>
        <w:lastRenderedPageBreak/>
        <w:t>statement about kinship, many rewrote aspects of the statement or restated the question without answering it and therefore they were not awarded any marks. This student was awarded two marks, first for outlining that kinship and family support social and emotional well-being by helping indigenous Australians to form long-lasting and meaningful relationships with their community and family members, thus providing them with authentic support to help maintain their well-being, and importantly, they didn't just reiterate from the question that it does help, but they can continued on to describe the mechanism by which it does this. In their second sentence, the student goes on to state that connection to kinship and family also helps aid individuals to recognise and express their own emotions effectively and recognise the emotions of members in their community, and this enhances cohesive relationships between oneself and the community and family members, which further builds a strong support system to turn to during hardship.</w:t>
      </w:r>
    </w:p>
    <w:p w14:paraId="3BF286DF" w14:textId="77777777" w:rsidR="007F5FB2" w:rsidRPr="007F5FB2" w:rsidRDefault="007F5FB2" w:rsidP="007F5FB2">
      <w:pPr>
        <w:rPr>
          <w:b/>
          <w:bCs/>
        </w:rPr>
      </w:pPr>
      <w:r w:rsidRPr="007F5FB2">
        <w:rPr>
          <w:b/>
          <w:bCs/>
        </w:rPr>
        <w:t>Slide 94 – Question 9</w:t>
      </w:r>
    </w:p>
    <w:p w14:paraId="3D68368E" w14:textId="045D4307" w:rsidR="00D80699" w:rsidRDefault="00D80699" w:rsidP="008C7926">
      <w:r w:rsidRPr="00D80699">
        <w:rPr>
          <w:b/>
          <w:bCs/>
        </w:rPr>
        <w:t>Matthew DiPetta</w:t>
      </w:r>
      <w:r>
        <w:t xml:space="preserve"> </w:t>
      </w:r>
      <w:r w:rsidR="008C7926">
        <w:t xml:space="preserve">- And now on to question nine. This question was the extended response question for 2024. It required students to use the graphical model provided in the question alongside their knowledge of synaptic plasticity and the use of cognitive behavioural therapy. Teachers are advised to spend the year assisting students in breaking down the aspects of the extended response question into chunks so that they can approach this in paragraphs throughout their answer. Subheadings can be helpful for some students. High-scoring responses tend to move beyond the subheadings to demonstrate links between different aspects of the question. This was evident in the following rubric. The question in 2024 required students to use the model above and their knowledge of synaptic plasticity to explain and evaluate the potential use of CBT for people with a specific phobia. </w:t>
      </w:r>
    </w:p>
    <w:p w14:paraId="74CC704A" w14:textId="77777777" w:rsidR="00D80699" w:rsidRDefault="008C7926" w:rsidP="008C7926">
      <w:r>
        <w:t xml:space="preserve">This rubric was used by assessors in marking the 2024 extended response question. The criteria are published in the VCAA examination specifications. This 2024 rubric, alongside the ones seen in the September VCAA professional learning where the 2023 and sample rubric were discussed, should provide teachers with the opportunity to construct their own marking rubrics throughout the year to assess student work. This might take the form of formative assessment opportunities, as well as cases where an extended response question is an appropriate inclusion in a SAC task. You can see the four criteria points on the left-hand side of the rubric, and in the brackets underneath, how they were linked to the 2024 examination question. </w:t>
      </w:r>
    </w:p>
    <w:p w14:paraId="6C47C452" w14:textId="18437A53" w:rsidR="00D80699" w:rsidRDefault="008C7926" w:rsidP="008C7926">
      <w:r>
        <w:t xml:space="preserve">Each </w:t>
      </w:r>
      <w:proofErr w:type="gramStart"/>
      <w:r>
        <w:t>criteria</w:t>
      </w:r>
      <w:proofErr w:type="gramEnd"/>
      <w:r>
        <w:t xml:space="preserve"> can be marked across a low to very high range, and again, based on the type of question that was in the 2024 exam, the first two criteria were only assessed from a low to high range and the last two criteria were assessed from a low to very high range. As assessors are marking student responses, they're encouraged to move the student up the criteria based on the holistic response that the student has provided as they're reading. The first criteria relates to the use of </w:t>
      </w:r>
      <w:r>
        <w:lastRenderedPageBreak/>
        <w:t xml:space="preserve">terminology. The second criteria for the 2024 exam was related to the use of the model and knowledge of synaptic plasticity. The third criteria </w:t>
      </w:r>
      <w:proofErr w:type="gramStart"/>
      <w:r>
        <w:t>was</w:t>
      </w:r>
      <w:proofErr w:type="gramEnd"/>
      <w:r>
        <w:t xml:space="preserve"> linked to their knowledge of CBT. And the final criteria </w:t>
      </w:r>
      <w:proofErr w:type="gramStart"/>
      <w:r>
        <w:t>was</w:t>
      </w:r>
      <w:proofErr w:type="gramEnd"/>
      <w:r>
        <w:t xml:space="preserve"> linked to their evaluations of using CBT for use of phobia. You can see in the bottom row as an example, the students are moving from giving either a very basic evaluation up all the way to providing, in this case, two or more detailed evaluations, including both strength and limitations. </w:t>
      </w:r>
    </w:p>
    <w:p w14:paraId="05389B90" w14:textId="77777777" w:rsidR="00D80699" w:rsidRDefault="008C7926" w:rsidP="008C7926">
      <w:r>
        <w:t xml:space="preserve">This notes guide was also provided to assessors to ensure that they felt equipped and supported to assess students' work of different ability levels. This provides examples to show the range of different ideas that students may have included in their response. This complete table was by no means representative of a 10 out of 10 </w:t>
      </w:r>
      <w:proofErr w:type="gramStart"/>
      <w:r>
        <w:t>response</w:t>
      </w:r>
      <w:proofErr w:type="gramEnd"/>
      <w:r>
        <w:t xml:space="preserve">, it was merely a tool for assessors to have on hand when they were assessing these students' responses. The first top left box discusses some of the ways students may comment on the model itself. The top right box unpacks some of the key scientific ideas related to synaptic plasticity. The bottom left-hand box relates to key scientific ideas of CBT. And the bottom right-hand box provides for assessors some examples of possible evaluations that they may have seen in students' work. </w:t>
      </w:r>
    </w:p>
    <w:p w14:paraId="133DD543" w14:textId="77777777" w:rsidR="00D80699" w:rsidRDefault="008C7926" w:rsidP="008C7926">
      <w:r>
        <w:t xml:space="preserve">This advice was given to the assessors before marking started. It is important that students and teachers are aware that this is holistically marked. The sooner students are introduced to this process, the better. Teachers should not be looking for 10 correct points in responses to award students 10 marks, rather, they should be making use of a rubric-style marking guide that allows students to demonstrate their proficiency in the four criteria being used. The VCAA follows a positive marking principle. This means that teachers should only ever move up the criteria from low to medium to high to very high and not back down the criteria. Inclusion of irrelevant or incorrect information merely prevents students from demonstrating enough knowledge to continue moving up the criteria, it does not turn a high response back down into a medium. </w:t>
      </w:r>
    </w:p>
    <w:p w14:paraId="6E03BE20" w14:textId="67B48421" w:rsidR="008C7926" w:rsidRDefault="008C7926" w:rsidP="008C7926">
      <w:r>
        <w:t>As you can see on the slide, assessors were advised and alerted to the fact that sometimes you do need to average out the final position for that student in a row. For example, students may include aspects of the low criteria and may include some aspects of a very high criteria and are missing some aspects of the middle, and therefore, that aspect of that quality of the response would be averaged out to where you can see that yellow box there.</w:t>
      </w:r>
    </w:p>
    <w:p w14:paraId="65D91EA6" w14:textId="77777777" w:rsidR="00D80699" w:rsidRDefault="00D80699" w:rsidP="008C7926">
      <w:r w:rsidRPr="00D80699">
        <w:rPr>
          <w:b/>
          <w:bCs/>
        </w:rPr>
        <w:t>Alli Lehman</w:t>
      </w:r>
      <w:r>
        <w:t xml:space="preserve"> </w:t>
      </w:r>
      <w:r w:rsidR="008C7926">
        <w:t xml:space="preserve">- This first sample response is quite short, but the response received four marks out of 10. This student began their brief response by identifying and attempting to define or describe some of the relevant key terms for the question, including phobia, CBT, and the amygdala, as we can see in the red boxes. In doing this, the student addressed the first criterion on the rubric. Although they didn't introduce any additional terms that weren't included in the question, it is already shifting them up towards a medium on this criterion. </w:t>
      </w:r>
    </w:p>
    <w:p w14:paraId="3B6DDEA6" w14:textId="77777777" w:rsidR="00D80699" w:rsidRDefault="008C7926" w:rsidP="008C7926">
      <w:r>
        <w:lastRenderedPageBreak/>
        <w:t xml:space="preserve">The sections highlighted in orange indicate where the student attempted a basic evaluation of CBT for a specific phobia as they have outlined that CBT can be used to help an individual with a phobia. And then over the page, staying with the orange highlighting and criterion four, the response continued on to make the connection between the use of CBT and helping with phobias and LTD, and thus enables the response to move just above a low on this criterion. In the next part of their response, the student continued to build on their identification and explanation of appropriate psychology terminology for the first criteria by introducing some additional terms such as catastrophic thinking and relevant plasticity terms. The student provided a basic overview of what CBT is, which we can see in the green highlighting, and that it involves talking through their thoughts or catastrophic thinking and their behaviours or initial emotional responses. </w:t>
      </w:r>
    </w:p>
    <w:p w14:paraId="7A249641" w14:textId="77777777" w:rsidR="00D80699" w:rsidRDefault="008C7926" w:rsidP="008C7926">
      <w:r>
        <w:t xml:space="preserve">It is brief, but it demonstrates a basic understanding and shows an attempt at addressing this criteria, placing them at a low level. While the student has not explicitly referenced the model and hence cannot move up to a medium on the third criterion, they have given a basic overview of synaptic plasticity, demonstrating and understanding that there are changes occurring to the neural connections which help with the phobia and act as a mechanism through which CBT is effective. We can see throughout the answer that the student has moved between addressing aspects of each criteria on the rubric. It's fairly typical that we often don't see students addressing each </w:t>
      </w:r>
      <w:proofErr w:type="gramStart"/>
      <w:r>
        <w:t>criteria</w:t>
      </w:r>
      <w:proofErr w:type="gramEnd"/>
      <w:r>
        <w:t xml:space="preserve"> in a completely segmented manner. When we place everything on the rubric, we can see the student achieved a high on that first criteria about identification and explanation of psych terminology, while they're sitting at a low for criteria two and three and low to medium for criteria four. The high on the first criterion brings their overall score up to a four out of 10. </w:t>
      </w:r>
    </w:p>
    <w:p w14:paraId="27A6AA9C" w14:textId="77777777" w:rsidR="00D80699" w:rsidRDefault="008C7926" w:rsidP="008C7926">
      <w:r>
        <w:t xml:space="preserve">This second sample is an example of a high-scoring response that has been awarded a nine out of 10. It provides an example where a student used subheadings to signpost their response to aid with structure and clarity. While they provided more structure in terms of how they addressed the criteria, there is still integration between the criteria, as we can see here in the red and the yellow. The correct use of terminology is integrated with addressing the second criterion that required analysis and evaluation of the model and/or synaptic plasticity. In this first section of the response, the student correctly used the term synaptic plasticity from the question and continued to build on that with the introduction of other plasticity-related terms. </w:t>
      </w:r>
    </w:p>
    <w:p w14:paraId="59C4B076" w14:textId="77777777" w:rsidR="00D80699" w:rsidRDefault="008C7926" w:rsidP="008C7926">
      <w:r>
        <w:t xml:space="preserve">This relates to the first criterion, and while we would not be moving this student up to a high for this criterion just yet due to them only having used that one term from the question so far, it would definitely move them beyond a low. Here the student also provided a basic overview of synaptic plasticity. They continued on to describe the relevant process of LTD, which is what we are looking for in a medium-level response on the second criterion. In this section, the student went on to introduce and link to some aspects of the model in relation to neural activity and the amygdala. </w:t>
      </w:r>
      <w:r>
        <w:lastRenderedPageBreak/>
        <w:t xml:space="preserve">In this section, the student moved on to CBT, beginning with an overview that included reference to both the cognitive and behavioural components and the identification and replacement of them. They continue to incorporate terminology from the question and to introduce new relevant terminology, as seen in the red boxes, shifting them up to a high on the first criterion. </w:t>
      </w:r>
    </w:p>
    <w:p w14:paraId="0062D732" w14:textId="77777777" w:rsidR="00D80699" w:rsidRDefault="008C7926" w:rsidP="008C7926">
      <w:r>
        <w:t xml:space="preserve">In this section, the student made connections between CBT and plasticity and the model. This shifted their response up to a high and a very high for the second and third criteria respectively. The answer concluded with an evaluation of CBT, stating that it can assist in the treatment of a phobia. The student made an overall statement about the effectiveness of CBT and provided additional depth regarding the strengths of CBT and why it works, addressing what was required of students for a high on the final criterion relating to the evaluation of CBT. However, they did not include a limitation of CBT, preventing their response from moving up to a very high on this last criterion. </w:t>
      </w:r>
    </w:p>
    <w:p w14:paraId="1F2E2BBB" w14:textId="77777777" w:rsidR="00D80699" w:rsidRDefault="008C7926" w:rsidP="008C7926">
      <w:r>
        <w:t xml:space="preserve">Overall, we can see that the student was awarded a high on the first two criteria for their identification and explanation of appropriate psychology terminology and for their analysis and evaluation that related the synaptic plasticity process of LTD to the model, as well as describing their relationship. They provided a very </w:t>
      </w:r>
      <w:proofErr w:type="gramStart"/>
      <w:r>
        <w:t>high quality</w:t>
      </w:r>
      <w:proofErr w:type="gramEnd"/>
      <w:r>
        <w:t xml:space="preserve"> analysis and discussion of CBT that incorporated the connections between CBT and plasticity and then finished with a detailed evaluation relating to a strength of CBT. </w:t>
      </w:r>
    </w:p>
    <w:p w14:paraId="2ABE416C" w14:textId="77777777" w:rsidR="00D80699" w:rsidRDefault="008C7926" w:rsidP="008C7926">
      <w:r>
        <w:t xml:space="preserve">The second sample response to question nine is an example of what we saw from the top 5% in the state on the extended response in 2024. The average mark on this question was 4.4. As we saw in the second sample, the response addressed each part of the question using full sentences and incorporating subheadings to structure their answer effectively. Students are encouraged to always attempt to answer the extended response question, even if time is running out and they're unable to provide a complete response, as we can see with the first sample where the student did not write all that much, but was still able to achieve a four out of 10, which places them at around the average mark for the state. Furthermore, some students who also provided high-scoring responses did not provide an evaluation of the use of CBT, but still scored between six and seven out of 10 due to the strong quality of their work in relation to the other criteria. </w:t>
      </w:r>
    </w:p>
    <w:p w14:paraId="692280C3" w14:textId="49505AF5" w:rsidR="00241251" w:rsidRDefault="008C7926" w:rsidP="008C7926">
      <w:pPr>
        <w:rPr>
          <w:bCs/>
        </w:rPr>
      </w:pPr>
      <w:r>
        <w:t>We ask that you please complete this survey to help us support teachers in the 2025 examination cycle. Thank you.</w:t>
      </w:r>
    </w:p>
    <w:p w14:paraId="0FECC67A" w14:textId="52185D71" w:rsidR="00C44A8F" w:rsidRPr="009961EA" w:rsidRDefault="007F5FB2" w:rsidP="00241251">
      <w:hyperlink r:id="rId9" w:history="1">
        <w:r w:rsidR="00C44A8F" w:rsidRPr="00283640">
          <w:rPr>
            <w:rStyle w:val="Hyperlink"/>
          </w:rPr>
          <w:t xml:space="preserve">Copyright Victorian Curriculum and Assessment Authority </w:t>
        </w:r>
      </w:hyperlink>
      <w:r w:rsidR="00C44A8F">
        <w:rPr>
          <w:rStyle w:val="Hyperlink"/>
        </w:rPr>
        <w:t>202</w:t>
      </w:r>
      <w:r w:rsidR="00E65409">
        <w:rPr>
          <w:rStyle w:val="Hyperlink"/>
        </w:rPr>
        <w:t>5</w:t>
      </w:r>
    </w:p>
    <w:sectPr w:rsidR="00C44A8F" w:rsidRPr="00996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144E" w14:textId="77777777" w:rsidR="00E437BB" w:rsidRDefault="00E437BB" w:rsidP="00283640">
      <w:pPr>
        <w:spacing w:before="0" w:after="0" w:line="240" w:lineRule="auto"/>
      </w:pPr>
      <w:r>
        <w:separator/>
      </w:r>
    </w:p>
  </w:endnote>
  <w:endnote w:type="continuationSeparator" w:id="0">
    <w:p w14:paraId="45C86A37" w14:textId="77777777" w:rsidR="00E437BB" w:rsidRDefault="00E437BB" w:rsidP="002836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7519" w14:textId="77777777" w:rsidR="00E437BB" w:rsidRDefault="00E437BB" w:rsidP="00283640">
      <w:pPr>
        <w:spacing w:before="0" w:after="0" w:line="240" w:lineRule="auto"/>
      </w:pPr>
      <w:r>
        <w:separator/>
      </w:r>
    </w:p>
  </w:footnote>
  <w:footnote w:type="continuationSeparator" w:id="0">
    <w:p w14:paraId="57BBDFE1" w14:textId="77777777" w:rsidR="00E437BB" w:rsidRDefault="00E437BB" w:rsidP="0028364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5"/>
    <w:rsid w:val="00004058"/>
    <w:rsid w:val="000073F2"/>
    <w:rsid w:val="000149D5"/>
    <w:rsid w:val="000177AD"/>
    <w:rsid w:val="00023E22"/>
    <w:rsid w:val="00044992"/>
    <w:rsid w:val="00045242"/>
    <w:rsid w:val="000470B5"/>
    <w:rsid w:val="000607DA"/>
    <w:rsid w:val="000622DC"/>
    <w:rsid w:val="00067C53"/>
    <w:rsid w:val="00081F96"/>
    <w:rsid w:val="000849A2"/>
    <w:rsid w:val="000B0EA3"/>
    <w:rsid w:val="000B5E0A"/>
    <w:rsid w:val="000C22BB"/>
    <w:rsid w:val="000D11BD"/>
    <w:rsid w:val="000F46C5"/>
    <w:rsid w:val="00110C13"/>
    <w:rsid w:val="0013126B"/>
    <w:rsid w:val="00133862"/>
    <w:rsid w:val="00135864"/>
    <w:rsid w:val="00137422"/>
    <w:rsid w:val="00154BFB"/>
    <w:rsid w:val="001656B3"/>
    <w:rsid w:val="00166AD4"/>
    <w:rsid w:val="00170454"/>
    <w:rsid w:val="00195147"/>
    <w:rsid w:val="00196458"/>
    <w:rsid w:val="001A0863"/>
    <w:rsid w:val="001A16D6"/>
    <w:rsid w:val="001A23BC"/>
    <w:rsid w:val="001A3772"/>
    <w:rsid w:val="001A5C7F"/>
    <w:rsid w:val="001D4956"/>
    <w:rsid w:val="001D5204"/>
    <w:rsid w:val="001F456A"/>
    <w:rsid w:val="001F66A3"/>
    <w:rsid w:val="001F6D58"/>
    <w:rsid w:val="002049FD"/>
    <w:rsid w:val="00204DB4"/>
    <w:rsid w:val="00210F1A"/>
    <w:rsid w:val="0021224D"/>
    <w:rsid w:val="00215EAE"/>
    <w:rsid w:val="00231EED"/>
    <w:rsid w:val="00241251"/>
    <w:rsid w:val="00242448"/>
    <w:rsid w:val="00254A02"/>
    <w:rsid w:val="00257838"/>
    <w:rsid w:val="002728B7"/>
    <w:rsid w:val="002747F7"/>
    <w:rsid w:val="00283640"/>
    <w:rsid w:val="0028645B"/>
    <w:rsid w:val="00291FF3"/>
    <w:rsid w:val="002A2983"/>
    <w:rsid w:val="002B1472"/>
    <w:rsid w:val="002B439D"/>
    <w:rsid w:val="002B49D4"/>
    <w:rsid w:val="002B7137"/>
    <w:rsid w:val="002C4913"/>
    <w:rsid w:val="002D1227"/>
    <w:rsid w:val="002D139B"/>
    <w:rsid w:val="002D2682"/>
    <w:rsid w:val="002F28F5"/>
    <w:rsid w:val="00306A2F"/>
    <w:rsid w:val="00306C47"/>
    <w:rsid w:val="0032283E"/>
    <w:rsid w:val="00325B1A"/>
    <w:rsid w:val="00335B1F"/>
    <w:rsid w:val="003543C1"/>
    <w:rsid w:val="00365D0F"/>
    <w:rsid w:val="00383BDF"/>
    <w:rsid w:val="0038772C"/>
    <w:rsid w:val="003904C6"/>
    <w:rsid w:val="00393341"/>
    <w:rsid w:val="003A6048"/>
    <w:rsid w:val="003C6942"/>
    <w:rsid w:val="003C77A0"/>
    <w:rsid w:val="003D1B38"/>
    <w:rsid w:val="003D3D23"/>
    <w:rsid w:val="003D7CE1"/>
    <w:rsid w:val="003E3A08"/>
    <w:rsid w:val="003E6D28"/>
    <w:rsid w:val="003F660A"/>
    <w:rsid w:val="004074C6"/>
    <w:rsid w:val="004160D0"/>
    <w:rsid w:val="00437FAC"/>
    <w:rsid w:val="0044138B"/>
    <w:rsid w:val="004649AB"/>
    <w:rsid w:val="004772B9"/>
    <w:rsid w:val="00484333"/>
    <w:rsid w:val="00486F4C"/>
    <w:rsid w:val="00487B34"/>
    <w:rsid w:val="004C7AA7"/>
    <w:rsid w:val="004E3D83"/>
    <w:rsid w:val="004E5AD3"/>
    <w:rsid w:val="004E5ED6"/>
    <w:rsid w:val="0050065C"/>
    <w:rsid w:val="00510141"/>
    <w:rsid w:val="0052460F"/>
    <w:rsid w:val="00524C41"/>
    <w:rsid w:val="0053233E"/>
    <w:rsid w:val="0054108D"/>
    <w:rsid w:val="00543265"/>
    <w:rsid w:val="0054384B"/>
    <w:rsid w:val="00551F01"/>
    <w:rsid w:val="005558F7"/>
    <w:rsid w:val="00563928"/>
    <w:rsid w:val="0056750A"/>
    <w:rsid w:val="00576BF5"/>
    <w:rsid w:val="00585B22"/>
    <w:rsid w:val="00585F0E"/>
    <w:rsid w:val="00596971"/>
    <w:rsid w:val="005A0AA3"/>
    <w:rsid w:val="005A36A6"/>
    <w:rsid w:val="005B19C9"/>
    <w:rsid w:val="005B5E3C"/>
    <w:rsid w:val="005B6AFD"/>
    <w:rsid w:val="005F0937"/>
    <w:rsid w:val="005F2194"/>
    <w:rsid w:val="00612A2A"/>
    <w:rsid w:val="00633109"/>
    <w:rsid w:val="00640F5A"/>
    <w:rsid w:val="00644D92"/>
    <w:rsid w:val="00664A40"/>
    <w:rsid w:val="00670D67"/>
    <w:rsid w:val="00672530"/>
    <w:rsid w:val="00685CBF"/>
    <w:rsid w:val="00690A6E"/>
    <w:rsid w:val="0069532E"/>
    <w:rsid w:val="006A3D35"/>
    <w:rsid w:val="006C447F"/>
    <w:rsid w:val="006C66BA"/>
    <w:rsid w:val="006F49B3"/>
    <w:rsid w:val="006F6E24"/>
    <w:rsid w:val="00717046"/>
    <w:rsid w:val="007230A5"/>
    <w:rsid w:val="00724103"/>
    <w:rsid w:val="00725E0A"/>
    <w:rsid w:val="0074309A"/>
    <w:rsid w:val="00753556"/>
    <w:rsid w:val="007730CE"/>
    <w:rsid w:val="00783CDB"/>
    <w:rsid w:val="0078468E"/>
    <w:rsid w:val="00786188"/>
    <w:rsid w:val="007868CC"/>
    <w:rsid w:val="0079152D"/>
    <w:rsid w:val="007A1B9D"/>
    <w:rsid w:val="007A5E9C"/>
    <w:rsid w:val="007B487C"/>
    <w:rsid w:val="007C528D"/>
    <w:rsid w:val="007E6052"/>
    <w:rsid w:val="007F5FB2"/>
    <w:rsid w:val="00801A4A"/>
    <w:rsid w:val="00802B8A"/>
    <w:rsid w:val="008037D4"/>
    <w:rsid w:val="008039F3"/>
    <w:rsid w:val="00820971"/>
    <w:rsid w:val="008301AE"/>
    <w:rsid w:val="00837444"/>
    <w:rsid w:val="00842EB4"/>
    <w:rsid w:val="00857907"/>
    <w:rsid w:val="00871144"/>
    <w:rsid w:val="00883BDA"/>
    <w:rsid w:val="00885093"/>
    <w:rsid w:val="00885193"/>
    <w:rsid w:val="00885C2C"/>
    <w:rsid w:val="0088727D"/>
    <w:rsid w:val="00891404"/>
    <w:rsid w:val="008A735B"/>
    <w:rsid w:val="008C7926"/>
    <w:rsid w:val="008C7C38"/>
    <w:rsid w:val="008D4F3F"/>
    <w:rsid w:val="008E3A3F"/>
    <w:rsid w:val="00906B5E"/>
    <w:rsid w:val="009276E7"/>
    <w:rsid w:val="00930E35"/>
    <w:rsid w:val="00937542"/>
    <w:rsid w:val="009437E5"/>
    <w:rsid w:val="00961154"/>
    <w:rsid w:val="0096399A"/>
    <w:rsid w:val="00964B2A"/>
    <w:rsid w:val="009658D4"/>
    <w:rsid w:val="00974C94"/>
    <w:rsid w:val="00980B7B"/>
    <w:rsid w:val="0099601C"/>
    <w:rsid w:val="009961EA"/>
    <w:rsid w:val="009B00BF"/>
    <w:rsid w:val="009B1C2B"/>
    <w:rsid w:val="009B7716"/>
    <w:rsid w:val="009C08FA"/>
    <w:rsid w:val="009C69A4"/>
    <w:rsid w:val="009D26DE"/>
    <w:rsid w:val="009E12D5"/>
    <w:rsid w:val="009E17CC"/>
    <w:rsid w:val="009E4B52"/>
    <w:rsid w:val="009F6716"/>
    <w:rsid w:val="00A02591"/>
    <w:rsid w:val="00A06CAC"/>
    <w:rsid w:val="00A10492"/>
    <w:rsid w:val="00A23CF5"/>
    <w:rsid w:val="00A3299D"/>
    <w:rsid w:val="00A4096D"/>
    <w:rsid w:val="00A41BBF"/>
    <w:rsid w:val="00A43420"/>
    <w:rsid w:val="00A464F3"/>
    <w:rsid w:val="00A53A00"/>
    <w:rsid w:val="00A82FDD"/>
    <w:rsid w:val="00A86016"/>
    <w:rsid w:val="00A87568"/>
    <w:rsid w:val="00A90261"/>
    <w:rsid w:val="00A91B1E"/>
    <w:rsid w:val="00A92791"/>
    <w:rsid w:val="00A975CA"/>
    <w:rsid w:val="00AA3486"/>
    <w:rsid w:val="00AB5470"/>
    <w:rsid w:val="00AC19B8"/>
    <w:rsid w:val="00B033EF"/>
    <w:rsid w:val="00B066DA"/>
    <w:rsid w:val="00B22BD3"/>
    <w:rsid w:val="00B263C0"/>
    <w:rsid w:val="00B4435A"/>
    <w:rsid w:val="00B47FAD"/>
    <w:rsid w:val="00B50A60"/>
    <w:rsid w:val="00B55B46"/>
    <w:rsid w:val="00B75021"/>
    <w:rsid w:val="00B81C63"/>
    <w:rsid w:val="00B82247"/>
    <w:rsid w:val="00B932F4"/>
    <w:rsid w:val="00BA56D6"/>
    <w:rsid w:val="00BA6635"/>
    <w:rsid w:val="00BA7641"/>
    <w:rsid w:val="00BA7BBE"/>
    <w:rsid w:val="00BB29A7"/>
    <w:rsid w:val="00BB72D0"/>
    <w:rsid w:val="00BC0036"/>
    <w:rsid w:val="00BC4972"/>
    <w:rsid w:val="00BD7466"/>
    <w:rsid w:val="00BE2C6B"/>
    <w:rsid w:val="00BE738F"/>
    <w:rsid w:val="00BF2F30"/>
    <w:rsid w:val="00C0743E"/>
    <w:rsid w:val="00C101A3"/>
    <w:rsid w:val="00C11FCB"/>
    <w:rsid w:val="00C16543"/>
    <w:rsid w:val="00C30182"/>
    <w:rsid w:val="00C34C6E"/>
    <w:rsid w:val="00C44A8F"/>
    <w:rsid w:val="00C44D39"/>
    <w:rsid w:val="00C50F08"/>
    <w:rsid w:val="00C5407F"/>
    <w:rsid w:val="00C55D98"/>
    <w:rsid w:val="00C60651"/>
    <w:rsid w:val="00C64E1B"/>
    <w:rsid w:val="00C72BA3"/>
    <w:rsid w:val="00C7751C"/>
    <w:rsid w:val="00C9413A"/>
    <w:rsid w:val="00CA68FC"/>
    <w:rsid w:val="00CB36F3"/>
    <w:rsid w:val="00CB6FEA"/>
    <w:rsid w:val="00CB7BDD"/>
    <w:rsid w:val="00CD1C7A"/>
    <w:rsid w:val="00CE2E73"/>
    <w:rsid w:val="00CF4C14"/>
    <w:rsid w:val="00D07B5F"/>
    <w:rsid w:val="00D240D1"/>
    <w:rsid w:val="00D542F9"/>
    <w:rsid w:val="00D64861"/>
    <w:rsid w:val="00D70A00"/>
    <w:rsid w:val="00D7264B"/>
    <w:rsid w:val="00D80699"/>
    <w:rsid w:val="00D821E7"/>
    <w:rsid w:val="00D93D75"/>
    <w:rsid w:val="00DA11B9"/>
    <w:rsid w:val="00DA7CC9"/>
    <w:rsid w:val="00DA7F0C"/>
    <w:rsid w:val="00DD3389"/>
    <w:rsid w:val="00DE205F"/>
    <w:rsid w:val="00DE359F"/>
    <w:rsid w:val="00E215F3"/>
    <w:rsid w:val="00E35C6A"/>
    <w:rsid w:val="00E437BB"/>
    <w:rsid w:val="00E62DE2"/>
    <w:rsid w:val="00E65409"/>
    <w:rsid w:val="00E711A5"/>
    <w:rsid w:val="00E72B75"/>
    <w:rsid w:val="00E80952"/>
    <w:rsid w:val="00E822A5"/>
    <w:rsid w:val="00E971BC"/>
    <w:rsid w:val="00EA1258"/>
    <w:rsid w:val="00EA6AD4"/>
    <w:rsid w:val="00EB251E"/>
    <w:rsid w:val="00EB2DBC"/>
    <w:rsid w:val="00EC3C43"/>
    <w:rsid w:val="00EC4ACC"/>
    <w:rsid w:val="00EE7689"/>
    <w:rsid w:val="00EF1A77"/>
    <w:rsid w:val="00EF44B4"/>
    <w:rsid w:val="00F16548"/>
    <w:rsid w:val="00F17264"/>
    <w:rsid w:val="00F17D3C"/>
    <w:rsid w:val="00F4108E"/>
    <w:rsid w:val="00F45012"/>
    <w:rsid w:val="00F46FC6"/>
    <w:rsid w:val="00F50D20"/>
    <w:rsid w:val="00F54DE0"/>
    <w:rsid w:val="00F61FFB"/>
    <w:rsid w:val="00F62255"/>
    <w:rsid w:val="00F63A6D"/>
    <w:rsid w:val="00F8614E"/>
    <w:rsid w:val="00F87EC4"/>
    <w:rsid w:val="00FA61AB"/>
    <w:rsid w:val="00FB2733"/>
    <w:rsid w:val="00FB708A"/>
    <w:rsid w:val="00FC1256"/>
    <w:rsid w:val="00FC2BC9"/>
    <w:rsid w:val="00FC3BF6"/>
    <w:rsid w:val="00FC652C"/>
    <w:rsid w:val="00FE55DB"/>
    <w:rsid w:val="00FF11FA"/>
    <w:rsid w:val="00FF2F9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4AC1"/>
  <w15:chartTrackingRefBased/>
  <w15:docId w15:val="{0800D90D-0450-49B8-B295-54AF812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A"/>
    <w:pPr>
      <w:spacing w:before="280" w:after="28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3640"/>
    <w:rPr>
      <w:sz w:val="24"/>
    </w:rPr>
  </w:style>
  <w:style w:type="paragraph" w:styleId="Footer">
    <w:name w:val="footer"/>
    <w:basedOn w:val="Normal"/>
    <w:link w:val="FooterChar"/>
    <w:uiPriority w:val="99"/>
    <w:unhideWhenUsed/>
    <w:rsid w:val="002836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3640"/>
    <w:rPr>
      <w:sz w:val="24"/>
    </w:rPr>
  </w:style>
  <w:style w:type="character" w:styleId="Hyperlink">
    <w:name w:val="Hyperlink"/>
    <w:basedOn w:val="DefaultParagraphFont"/>
    <w:uiPriority w:val="99"/>
    <w:unhideWhenUsed/>
    <w:rsid w:val="00283640"/>
    <w:rPr>
      <w:color w:val="0563C1" w:themeColor="hyperlink"/>
      <w:u w:val="single"/>
    </w:rPr>
  </w:style>
  <w:style w:type="character" w:styleId="FollowedHyperlink">
    <w:name w:val="FollowedHyperlink"/>
    <w:basedOn w:val="DefaultParagraphFont"/>
    <w:uiPriority w:val="99"/>
    <w:semiHidden/>
    <w:unhideWhenUsed/>
    <w:rsid w:val="00B4435A"/>
    <w:rPr>
      <w:color w:val="954F72" w:themeColor="followedHyperlink"/>
      <w:u w:val="single"/>
    </w:rPr>
  </w:style>
  <w:style w:type="character" w:customStyle="1" w:styleId="UnresolvedMention1">
    <w:name w:val="Unresolved Mention1"/>
    <w:basedOn w:val="DefaultParagraphFont"/>
    <w:uiPriority w:val="99"/>
    <w:semiHidden/>
    <w:unhideWhenUsed/>
    <w:rsid w:val="000B5E0A"/>
    <w:rPr>
      <w:color w:val="605E5C"/>
      <w:shd w:val="clear" w:color="auto" w:fill="E1DFDD"/>
    </w:rPr>
  </w:style>
  <w:style w:type="paragraph" w:styleId="ListParagraph">
    <w:name w:val="List Paragraph"/>
    <w:basedOn w:val="Normal"/>
    <w:uiPriority w:val="34"/>
    <w:qFormat/>
    <w:rsid w:val="006A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3EDF8-63D5-48D4-B341-959F0D92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D19013-6A18-4D84-A459-38F6157053DD}">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CE88253-027A-40B4-B253-A62F28FB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20</Pages>
  <Words>9058</Words>
  <Characters>51635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Health_and_Human_Development_2024_Examination</vt:lpstr>
    </vt:vector>
  </TitlesOfParts>
  <Company>Victorian Curriculum and Assessment Authority (VCAA)</Company>
  <LinksUpToDate>false</LinksUpToDate>
  <CharactersWithSpaces>60572</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Psychology_Examination</dc:title>
  <dc:subject>Psychology</dc:subject>
  <dc:creator>VCAA</dc:creator>
  <cp:keywords>Psychology, Examination, VCE</cp:keywords>
  <dc:description/>
  <cp:lastModifiedBy>Mary Rose</cp:lastModifiedBy>
  <cp:revision>12</cp:revision>
  <dcterms:created xsi:type="dcterms:W3CDTF">2025-01-28T04:36:00Z</dcterms:created>
  <dcterms:modified xsi:type="dcterms:W3CDTF">2025-02-25T23:57:00Z</dcterms:modified>
  <cp:category>Psychology, Examination, VCE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