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47EC952C" w:rsidR="00F4525C" w:rsidRPr="00870A89" w:rsidRDefault="006F3E80" w:rsidP="00E7229D">
          <w:pPr>
            <w:pStyle w:val="Title"/>
          </w:pPr>
          <w:r w:rsidRPr="006F3E80">
            <w:t>VCE Classical Studies (From 2025) Assessment Criteria and Expected Qualities</w:t>
          </w:r>
        </w:p>
      </w:sdtContent>
    </w:sdt>
    <w:p w14:paraId="74E62D52" w14:textId="2A0F5193" w:rsidR="00243F0D" w:rsidRPr="00870A89" w:rsidRDefault="006F3E80" w:rsidP="00E7229D">
      <w:pPr>
        <w:pStyle w:val="Heading1"/>
      </w:pPr>
      <w:bookmarkStart w:id="0" w:name="TemplateOverview"/>
      <w:bookmarkEnd w:id="0"/>
      <w:r>
        <w:t>Written examination – End of year</w:t>
      </w:r>
    </w:p>
    <w:p w14:paraId="06559B7C" w14:textId="6D43AA2A" w:rsidR="006F3E80" w:rsidRDefault="006F3E80" w:rsidP="00E7229D">
      <w:pPr>
        <w:pStyle w:val="Heading2"/>
      </w:pPr>
      <w:r>
        <w:t>Section B</w:t>
      </w:r>
      <w:r w:rsidR="00581F23">
        <w:t xml:space="preserve"> </w:t>
      </w:r>
      <w:r w:rsidR="00581F23" w:rsidRPr="00581F23">
        <w:t>–</w:t>
      </w:r>
      <w:r w:rsidR="00581F23">
        <w:t xml:space="preserve"> Classical </w:t>
      </w:r>
      <w:r w:rsidR="005A3FBE">
        <w:t>perspectives</w:t>
      </w:r>
    </w:p>
    <w:p w14:paraId="7D984E1F" w14:textId="39EE4EE6" w:rsidR="00B62480" w:rsidRPr="002B0664" w:rsidRDefault="006F3E80" w:rsidP="00E7229D">
      <w:pPr>
        <w:pStyle w:val="Heading2"/>
      </w:pPr>
      <w:r>
        <w:t>Assessment criteria for Section B</w:t>
      </w:r>
    </w:p>
    <w:p w14:paraId="36BD5A9A" w14:textId="39BAA809" w:rsidR="006F3E80" w:rsidRDefault="006F3E80" w:rsidP="006F3E80">
      <w:pPr>
        <w:pStyle w:val="BodyText"/>
      </w:pPr>
      <w:r>
        <w:t>The essay will be assessed against the following criteria:</w:t>
      </w:r>
    </w:p>
    <w:p w14:paraId="19498EC7" w14:textId="01DD8FD1" w:rsidR="006F3E80" w:rsidRDefault="006F3E80" w:rsidP="006F3E80">
      <w:pPr>
        <w:pStyle w:val="Bullet"/>
      </w:pPr>
      <w:r>
        <w:t xml:space="preserve">knowledge of the two classical works, and their relationships to their socio-historical contexts and the classical concern </w:t>
      </w:r>
    </w:p>
    <w:p w14:paraId="35F7310D" w14:textId="22A4D1DC" w:rsidR="006F3E80" w:rsidRDefault="006F3E80" w:rsidP="006F3E80">
      <w:pPr>
        <w:pStyle w:val="Bullet"/>
      </w:pPr>
      <w:r>
        <w:t xml:space="preserve">analysis of key ideas and the features and techniques used to explore these ideas in the two classical </w:t>
      </w:r>
      <w:proofErr w:type="gramStart"/>
      <w:r>
        <w:t>works</w:t>
      </w:r>
      <w:proofErr w:type="gramEnd"/>
      <w:r>
        <w:t xml:space="preserve"> </w:t>
      </w:r>
    </w:p>
    <w:p w14:paraId="67218182" w14:textId="092407A4" w:rsidR="006F3E80" w:rsidRDefault="006F3E80" w:rsidP="006F3E80">
      <w:pPr>
        <w:pStyle w:val="Bullet"/>
      </w:pPr>
      <w:r>
        <w:t xml:space="preserve">construction of a comparative argument in response to a topic, with a focus on the comparison of key ideas and the features and techniques used to explore these </w:t>
      </w:r>
      <w:proofErr w:type="gramStart"/>
      <w:r>
        <w:t>ideas</w:t>
      </w:r>
      <w:proofErr w:type="gramEnd"/>
      <w:r>
        <w:t xml:space="preserve"> </w:t>
      </w:r>
    </w:p>
    <w:p w14:paraId="043CE095" w14:textId="488E29E4" w:rsidR="00381C75" w:rsidRDefault="006F3E80" w:rsidP="006F3E80">
      <w:pPr>
        <w:pStyle w:val="Bullet"/>
      </w:pPr>
      <w:r>
        <w:t>use of relevant evidence.</w:t>
      </w:r>
    </w:p>
    <w:p w14:paraId="50646837" w14:textId="3FFDA244" w:rsidR="002754C1" w:rsidRPr="00870A89" w:rsidRDefault="006F3E80" w:rsidP="00E7229D">
      <w:pPr>
        <w:pStyle w:val="Heading3"/>
      </w:pPr>
      <w:r w:rsidRPr="006F3E80">
        <w:t>Expected qualities for the mark range</w:t>
      </w:r>
      <w:r w:rsidR="00581F23">
        <w:t xml:space="preserve"> </w:t>
      </w:r>
      <w:r w:rsidR="00581F23" w:rsidRPr="00581F23">
        <w:t>–</w:t>
      </w:r>
      <w:r w:rsidR="00581F23">
        <w:t xml:space="preserve"> Section B</w:t>
      </w:r>
    </w:p>
    <w:tbl>
      <w:tblPr>
        <w:tblStyle w:val="VCAATableClosed"/>
        <w:tblW w:w="9634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129"/>
        <w:gridCol w:w="8505"/>
      </w:tblGrid>
      <w:tr w:rsidR="00581F23" w:rsidRPr="00870A89" w14:paraId="290BC6D7" w14:textId="77777777" w:rsidTr="008F0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129" w:type="dxa"/>
          </w:tcPr>
          <w:p w14:paraId="322E4E0E" w14:textId="5FA8BB80" w:rsidR="00581F23" w:rsidRPr="00870A89" w:rsidRDefault="00581F23" w:rsidP="00C85B60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Marks</w:t>
            </w:r>
            <w:r w:rsidRPr="00870A89">
              <w:rPr>
                <w:lang w:val="en-AU"/>
              </w:rPr>
              <w:t xml:space="preserve"> </w:t>
            </w:r>
          </w:p>
        </w:tc>
        <w:tc>
          <w:tcPr>
            <w:tcW w:w="8505" w:type="dxa"/>
          </w:tcPr>
          <w:p w14:paraId="35753A9D" w14:textId="270DE06A" w:rsidR="00581F23" w:rsidRPr="00870A89" w:rsidRDefault="00581F23" w:rsidP="00C85B60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Expected qualities</w:t>
            </w:r>
          </w:p>
        </w:tc>
      </w:tr>
      <w:tr w:rsidR="00581F23" w:rsidRPr="00870A89" w14:paraId="545116C8" w14:textId="77777777" w:rsidTr="008F087D">
        <w:trPr>
          <w:cantSplit/>
        </w:trPr>
        <w:tc>
          <w:tcPr>
            <w:tcW w:w="1129" w:type="dxa"/>
          </w:tcPr>
          <w:p w14:paraId="7337ABE6" w14:textId="5CBE8B2E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19–20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F853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Demonstrates a thorough and insightful knowledge of the two classical works, with relevant, </w:t>
            </w:r>
            <w:proofErr w:type="gramStart"/>
            <w:r w:rsidRPr="00CE2504">
              <w:t>selective</w:t>
            </w:r>
            <w:proofErr w:type="gramEnd"/>
            <w:r w:rsidRPr="00CE2504">
              <w:t xml:space="preserve"> and integrated connections to their socio-historical contexts and the classical concern</w:t>
            </w:r>
          </w:p>
          <w:p w14:paraId="1A7843F3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Demonstrates a highly sophisticated understanding of classical ideas and the classical world through an insightful analysis of how the features and techniques are used to explore key ideas </w:t>
            </w:r>
          </w:p>
          <w:p w14:paraId="12D372CF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Constructs an in-depth and sustained comparison that has a clear, </w:t>
            </w:r>
            <w:proofErr w:type="gramStart"/>
            <w:r w:rsidRPr="00CE2504">
              <w:t>well-developed</w:t>
            </w:r>
            <w:proofErr w:type="gramEnd"/>
            <w:r w:rsidRPr="00CE2504">
              <w:t xml:space="preserve"> and relevant argument, addresses the specific demands of the topic, and incorporates key ideas and the features and techniques used to explore these ideas in response to the topic </w:t>
            </w:r>
          </w:p>
          <w:p w14:paraId="16145652" w14:textId="77777777" w:rsidR="00581F23" w:rsidRDefault="00581F23" w:rsidP="00581F23">
            <w:pPr>
              <w:pStyle w:val="Tablecondensedbullet"/>
              <w:ind w:left="425" w:hanging="425"/>
            </w:pPr>
            <w:r w:rsidRPr="00CE2504">
              <w:t>Integrates evidence that is accurate, highly relevant to the topic, wide-ranging and integrated into the argument</w:t>
            </w:r>
          </w:p>
          <w:p w14:paraId="2FBAC882" w14:textId="77777777" w:rsidR="0052757E" w:rsidRPr="0052757E" w:rsidRDefault="0052757E" w:rsidP="0052757E">
            <w:pPr>
              <w:rPr>
                <w:lang w:val="en-AU" w:eastAsia="ja-JP"/>
              </w:rPr>
            </w:pPr>
          </w:p>
          <w:p w14:paraId="59FA8400" w14:textId="77777777" w:rsidR="0052757E" w:rsidRPr="0052757E" w:rsidRDefault="0052757E" w:rsidP="0052757E">
            <w:pPr>
              <w:rPr>
                <w:lang w:val="en-AU" w:eastAsia="ja-JP"/>
              </w:rPr>
            </w:pPr>
          </w:p>
          <w:p w14:paraId="6FCB5964" w14:textId="77777777" w:rsidR="0052757E" w:rsidRPr="0052757E" w:rsidRDefault="0052757E" w:rsidP="0052757E">
            <w:pPr>
              <w:rPr>
                <w:lang w:val="en-AU" w:eastAsia="ja-JP"/>
              </w:rPr>
            </w:pPr>
          </w:p>
          <w:p w14:paraId="67DE3980" w14:textId="77777777" w:rsidR="0052757E" w:rsidRDefault="0052757E" w:rsidP="0052757E">
            <w:pPr>
              <w:rPr>
                <w:rFonts w:eastAsia="Times New Roman" w:cs="Arial"/>
                <w:sz w:val="20"/>
                <w:lang w:val="en-AU" w:eastAsia="ja-JP"/>
              </w:rPr>
            </w:pPr>
          </w:p>
          <w:p w14:paraId="28A9ED9F" w14:textId="77777777" w:rsidR="0052757E" w:rsidRDefault="0052757E" w:rsidP="0052757E">
            <w:pPr>
              <w:rPr>
                <w:rFonts w:eastAsia="Times New Roman" w:cs="Arial"/>
                <w:sz w:val="20"/>
                <w:lang w:val="en-AU" w:eastAsia="ja-JP"/>
              </w:rPr>
            </w:pPr>
          </w:p>
          <w:p w14:paraId="2C7F1CCB" w14:textId="65118781" w:rsidR="0052757E" w:rsidRPr="0052757E" w:rsidRDefault="0052757E" w:rsidP="0052757E">
            <w:pPr>
              <w:tabs>
                <w:tab w:val="left" w:pos="2925"/>
              </w:tabs>
              <w:rPr>
                <w:lang w:val="en-AU" w:eastAsia="ja-JP"/>
              </w:rPr>
            </w:pPr>
            <w:r>
              <w:rPr>
                <w:lang w:val="en-AU" w:eastAsia="ja-JP"/>
              </w:rPr>
              <w:tab/>
            </w:r>
          </w:p>
        </w:tc>
      </w:tr>
      <w:tr w:rsidR="00581F23" w:rsidRPr="00870A89" w14:paraId="2595B3C0" w14:textId="77777777" w:rsidTr="008F087D">
        <w:trPr>
          <w:cantSplit/>
        </w:trPr>
        <w:tc>
          <w:tcPr>
            <w:tcW w:w="1129" w:type="dxa"/>
          </w:tcPr>
          <w:p w14:paraId="479B2B99" w14:textId="7B1D90B5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lastRenderedPageBreak/>
              <w:t>17–18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F440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complex knowledge of the two classical works, with relevant and clear connections to their socio-historical contexts and the classical concern</w:t>
            </w:r>
          </w:p>
          <w:p w14:paraId="58D82619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Demonstrates a strong understanding of classical ideas and the classical world through a convincing analysis of key ideas and how the features and techniques are used to explore these ideas </w:t>
            </w:r>
          </w:p>
          <w:p w14:paraId="773A67AB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Constructs a detailed comparison through a sustained argument that embeds key ideas, and the features and techniques used to explore these ideas in response to the topic </w:t>
            </w:r>
          </w:p>
          <w:p w14:paraId="26E47628" w14:textId="16A7FC1E" w:rsidR="00581F23" w:rsidRDefault="00581F23" w:rsidP="00581F23">
            <w:pPr>
              <w:pStyle w:val="Tablecondensedbullet"/>
              <w:ind w:left="425" w:hanging="425"/>
            </w:pPr>
            <w:r w:rsidRPr="00CE2504">
              <w:t>Incorporates evidence that is accurate and highly relevant to the topic</w:t>
            </w:r>
          </w:p>
        </w:tc>
      </w:tr>
      <w:tr w:rsidR="00581F23" w:rsidRPr="00870A89" w14:paraId="21BC6286" w14:textId="77777777" w:rsidTr="008F087D">
        <w:trPr>
          <w:cantSplit/>
        </w:trPr>
        <w:tc>
          <w:tcPr>
            <w:tcW w:w="1129" w:type="dxa"/>
          </w:tcPr>
          <w:p w14:paraId="0756B916" w14:textId="531C7EA1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15–16</w:t>
            </w:r>
          </w:p>
        </w:tc>
        <w:tc>
          <w:tcPr>
            <w:tcW w:w="8505" w:type="dxa"/>
          </w:tcPr>
          <w:p w14:paraId="4B363E85" w14:textId="77777777" w:rsidR="00581F23" w:rsidRPr="00CE2504" w:rsidRDefault="00581F23" w:rsidP="00581F23">
            <w:pPr>
              <w:pStyle w:val="Tablecondensedbullet"/>
              <w:ind w:left="425" w:hanging="425"/>
            </w:pPr>
            <w:r>
              <w:t xml:space="preserve">Demonstrates </w:t>
            </w:r>
            <w:r w:rsidRPr="00CE2504">
              <w:t>strong knowledge of the two classical works, with generally relevant connections to their socio-historical contexts and the classical concern</w:t>
            </w:r>
          </w:p>
          <w:p w14:paraId="7B09612F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Demonstrates a good understanding of classical ideas through an analysis of key ideas, and how the features and techniques are used to explore these ideas </w:t>
            </w:r>
          </w:p>
          <w:p w14:paraId="31E2455B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Constructs a relevant comparison with a considered argument that incorporates key ideas and the features and techniques used to explore these ideas in response to the topic</w:t>
            </w:r>
          </w:p>
          <w:p w14:paraId="25073D03" w14:textId="508B8282" w:rsidR="00581F23" w:rsidRDefault="00581F23" w:rsidP="00581F23">
            <w:pPr>
              <w:pStyle w:val="Tablecondensedbullet"/>
              <w:ind w:left="425" w:hanging="425"/>
            </w:pPr>
            <w:r w:rsidRPr="00CE2504">
              <w:t>Incorporates evidence</w:t>
            </w:r>
            <w:r>
              <w:t xml:space="preserve"> that is accurate and relevant to the topic</w:t>
            </w:r>
          </w:p>
        </w:tc>
      </w:tr>
      <w:tr w:rsidR="00581F23" w:rsidRPr="00870A89" w14:paraId="7DB3847B" w14:textId="77777777" w:rsidTr="008F087D">
        <w:trPr>
          <w:cantSplit/>
        </w:trPr>
        <w:tc>
          <w:tcPr>
            <w:tcW w:w="1129" w:type="dxa"/>
          </w:tcPr>
          <w:p w14:paraId="4EA9736F" w14:textId="6AEE58D8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13–14</w:t>
            </w:r>
          </w:p>
        </w:tc>
        <w:tc>
          <w:tcPr>
            <w:tcW w:w="8505" w:type="dxa"/>
          </w:tcPr>
          <w:p w14:paraId="6E424933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detailed knowledge of the two classical works and their relationships to their socio-historical contexts and the classical concern</w:t>
            </w:r>
          </w:p>
          <w:p w14:paraId="7FFF23F5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an understanding of classical ideas through a discussion of how the features and techniques are used to explore key ideas</w:t>
            </w:r>
          </w:p>
          <w:p w14:paraId="7A1366B6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Develops a clear comparison and argument and incorporates key ideas, and the features and techniques used to explore these ideas in response to the topic</w:t>
            </w:r>
          </w:p>
          <w:p w14:paraId="55BE3992" w14:textId="555845EF" w:rsidR="00581F23" w:rsidRDefault="00581F23" w:rsidP="00581F23">
            <w:pPr>
              <w:pStyle w:val="Tablecondensedbullet"/>
              <w:ind w:left="425" w:hanging="425"/>
            </w:pPr>
            <w:r w:rsidRPr="00CE2504">
              <w:t>Includes evidence</w:t>
            </w:r>
            <w:r>
              <w:t xml:space="preserve"> that is mostly accurate and mostly relevant to the topic</w:t>
            </w:r>
          </w:p>
        </w:tc>
      </w:tr>
      <w:tr w:rsidR="00581F23" w:rsidRPr="00870A89" w14:paraId="6A5C5743" w14:textId="77777777" w:rsidTr="008F087D">
        <w:trPr>
          <w:cantSplit/>
        </w:trPr>
        <w:tc>
          <w:tcPr>
            <w:tcW w:w="1129" w:type="dxa"/>
          </w:tcPr>
          <w:p w14:paraId="0386D0A1" w14:textId="738CA5FD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11–12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E84B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clear knowledge of the two classical works and their connection to their socio-historical contexts and the classical concern</w:t>
            </w:r>
          </w:p>
          <w:p w14:paraId="539370D8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Discusses key classical ideas with discussion of how the features and techniques are used to explore key ideas</w:t>
            </w:r>
          </w:p>
          <w:p w14:paraId="5A5CE203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Develops a clear comparison and argument throughout the response that includes key ideas drawn from the topic</w:t>
            </w:r>
          </w:p>
          <w:p w14:paraId="65FE5DAB" w14:textId="38577B3C" w:rsidR="00581F23" w:rsidRDefault="00581F23" w:rsidP="00581F23">
            <w:pPr>
              <w:pStyle w:val="Tablecondensedbullet"/>
              <w:ind w:left="425" w:hanging="425"/>
            </w:pPr>
            <w:r w:rsidRPr="00CE2504">
              <w:t>Discusses evidence that is mostly accurate and relevant to the topic</w:t>
            </w:r>
          </w:p>
        </w:tc>
      </w:tr>
      <w:tr w:rsidR="00581F23" w:rsidRPr="00870A89" w14:paraId="10494606" w14:textId="77777777" w:rsidTr="008F087D">
        <w:trPr>
          <w:cantSplit/>
        </w:trPr>
        <w:tc>
          <w:tcPr>
            <w:tcW w:w="1129" w:type="dxa"/>
          </w:tcPr>
          <w:p w14:paraId="029BF09C" w14:textId="66100AF3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9–10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8717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knowledge of the two classical works and links them to their socio-historical contexts and the classical concern</w:t>
            </w:r>
          </w:p>
          <w:p w14:paraId="478E2C1C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knowledge of key ideas through a discussion of how the techniques and/or features are used to explore these ideas</w:t>
            </w:r>
          </w:p>
          <w:p w14:paraId="343F1533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Develops a comparison of the two classical works, and an argument in response to the topic using key ideas</w:t>
            </w:r>
          </w:p>
          <w:p w14:paraId="336A4E44" w14:textId="731D15FF" w:rsidR="00581F23" w:rsidRDefault="00581F23" w:rsidP="00581F23">
            <w:pPr>
              <w:pStyle w:val="Tablecondensedbullet"/>
              <w:ind w:left="425" w:hanging="425"/>
            </w:pPr>
            <w:r w:rsidRPr="00CE2504">
              <w:t>Includes evidence that may not be accurate and/or relevant to the topic</w:t>
            </w:r>
          </w:p>
        </w:tc>
      </w:tr>
      <w:tr w:rsidR="00581F23" w:rsidRPr="00870A89" w14:paraId="6D95EB6B" w14:textId="77777777" w:rsidTr="008F087D">
        <w:trPr>
          <w:cantSplit/>
        </w:trPr>
        <w:tc>
          <w:tcPr>
            <w:tcW w:w="1129" w:type="dxa"/>
          </w:tcPr>
          <w:p w14:paraId="1B0E6ACE" w14:textId="2B754E73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7–8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DAFD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a basic knowledge of the two classical works with some connection to their socio-historical contexts and/or the classical concern</w:t>
            </w:r>
          </w:p>
          <w:p w14:paraId="1C9ADF6C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Describes key ideas, and the features and/or techniques in one or </w:t>
            </w:r>
            <w:proofErr w:type="gramStart"/>
            <w:r w:rsidRPr="00CE2504">
              <w:t>both of the classical</w:t>
            </w:r>
            <w:proofErr w:type="gramEnd"/>
            <w:r w:rsidRPr="00CE2504">
              <w:t xml:space="preserve"> works</w:t>
            </w:r>
          </w:p>
          <w:p w14:paraId="7C79FEF5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Develops a response to the topic with elements of argument and comparison</w:t>
            </w:r>
          </w:p>
          <w:p w14:paraId="13242B18" w14:textId="6F36FD34" w:rsidR="00581F23" w:rsidRDefault="00581F23" w:rsidP="00581F23">
            <w:pPr>
              <w:pStyle w:val="Tablecondensedbullet"/>
              <w:ind w:left="425" w:hanging="425"/>
            </w:pPr>
            <w:r w:rsidRPr="00CE2504">
              <w:t>Describes elements from the classical works as evidence</w:t>
            </w:r>
          </w:p>
        </w:tc>
      </w:tr>
      <w:tr w:rsidR="00581F23" w:rsidRPr="00870A89" w14:paraId="2F68B7F6" w14:textId="77777777" w:rsidTr="008F087D">
        <w:trPr>
          <w:cantSplit/>
        </w:trPr>
        <w:tc>
          <w:tcPr>
            <w:tcW w:w="1129" w:type="dxa"/>
          </w:tcPr>
          <w:p w14:paraId="1AC36085" w14:textId="5F66302E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lastRenderedPageBreak/>
              <w:t>5–6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E82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Demonstrates familiarity with one or </w:t>
            </w:r>
            <w:proofErr w:type="gramStart"/>
            <w:r w:rsidRPr="00CE2504">
              <w:t>both of the classical</w:t>
            </w:r>
            <w:proofErr w:type="gramEnd"/>
            <w:r w:rsidRPr="00CE2504">
              <w:t xml:space="preserve"> works with some reference to their socio-historical contexts and/or the classical concern </w:t>
            </w:r>
          </w:p>
          <w:p w14:paraId="00CA4D89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Identifies key ideas and features and/or techniques of one or </w:t>
            </w:r>
            <w:proofErr w:type="gramStart"/>
            <w:r w:rsidRPr="00CE2504">
              <w:t>both of the classical</w:t>
            </w:r>
            <w:proofErr w:type="gramEnd"/>
            <w:r w:rsidRPr="00CE2504">
              <w:t xml:space="preserve"> works</w:t>
            </w:r>
          </w:p>
          <w:p w14:paraId="6C0D416E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Demonstrates an attempt at developing an argument and some elements of comparison</w:t>
            </w:r>
          </w:p>
          <w:p w14:paraId="545A8337" w14:textId="53940FCC" w:rsidR="00581F23" w:rsidRDefault="00581F23" w:rsidP="00581F23">
            <w:pPr>
              <w:pStyle w:val="Tablecondensedbullet"/>
              <w:ind w:left="425" w:hanging="425"/>
            </w:pPr>
            <w:r w:rsidRPr="00CE2504">
              <w:t>Includes basic evidence</w:t>
            </w:r>
          </w:p>
        </w:tc>
      </w:tr>
      <w:tr w:rsidR="00581F23" w:rsidRPr="00870A89" w14:paraId="0AA12162" w14:textId="77777777" w:rsidTr="008F087D">
        <w:trPr>
          <w:cantSplit/>
        </w:trPr>
        <w:tc>
          <w:tcPr>
            <w:tcW w:w="1129" w:type="dxa"/>
          </w:tcPr>
          <w:p w14:paraId="0F082950" w14:textId="628A5BA8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3–4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DA2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 xml:space="preserve">Demonstrates some familiarity with one or </w:t>
            </w:r>
            <w:proofErr w:type="gramStart"/>
            <w:r w:rsidRPr="00CE2504">
              <w:t>both of the classical</w:t>
            </w:r>
            <w:proofErr w:type="gramEnd"/>
            <w:r w:rsidRPr="00CE2504">
              <w:t xml:space="preserve"> works with little or no knowledge of their socio-historical contexts and/or the classical concern</w:t>
            </w:r>
          </w:p>
          <w:p w14:paraId="0D5F489B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Identifies ideas, features and/or techniques that are loosely relevant to one or both classical works</w:t>
            </w:r>
          </w:p>
          <w:p w14:paraId="1B711364" w14:textId="77777777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Attempts some superficial argument and/or comparison in a general discussion that is unfocused</w:t>
            </w:r>
          </w:p>
          <w:p w14:paraId="4725A7BF" w14:textId="5C0195D4" w:rsidR="00581F23" w:rsidRDefault="00581F23" w:rsidP="00581F23">
            <w:pPr>
              <w:pStyle w:val="Tablecondensedbullet"/>
              <w:ind w:left="425" w:hanging="425"/>
            </w:pPr>
            <w:r w:rsidRPr="00CE2504">
              <w:t>Includes limited evidence</w:t>
            </w:r>
          </w:p>
        </w:tc>
      </w:tr>
      <w:tr w:rsidR="00581F23" w:rsidRPr="00870A89" w14:paraId="4498FFD2" w14:textId="77777777" w:rsidTr="008F087D">
        <w:trPr>
          <w:cantSplit/>
        </w:trPr>
        <w:tc>
          <w:tcPr>
            <w:tcW w:w="1129" w:type="dxa"/>
          </w:tcPr>
          <w:p w14:paraId="3BD6402E" w14:textId="3C9B017E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1–2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E800" w14:textId="43DDD030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The response is very brief, with some attempt to meet the assessment criteria</w:t>
            </w:r>
          </w:p>
        </w:tc>
      </w:tr>
      <w:tr w:rsidR="00581F23" w:rsidRPr="00870A89" w14:paraId="6C2F1FFD" w14:textId="77777777" w:rsidTr="008F087D">
        <w:trPr>
          <w:cantSplit/>
        </w:trPr>
        <w:tc>
          <w:tcPr>
            <w:tcW w:w="1129" w:type="dxa"/>
          </w:tcPr>
          <w:p w14:paraId="4B187EB3" w14:textId="66EB0BD8" w:rsidR="00581F23" w:rsidRPr="00581F23" w:rsidRDefault="00581F23" w:rsidP="00581F23">
            <w:pPr>
              <w:pStyle w:val="Tablecondensed"/>
              <w:rPr>
                <w:lang w:val="en-AU"/>
              </w:rPr>
            </w:pPr>
            <w:r w:rsidRPr="00581F23">
              <w:rPr>
                <w:lang w:val="en-AU"/>
              </w:rPr>
              <w:t>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859A" w14:textId="2F88AA0A" w:rsidR="00581F23" w:rsidRPr="00CE2504" w:rsidRDefault="00581F23" w:rsidP="00581F23">
            <w:pPr>
              <w:pStyle w:val="Tablecondensedbullet"/>
              <w:ind w:left="425" w:hanging="425"/>
            </w:pPr>
            <w:r w:rsidRPr="00CE2504">
              <w:t>No evidence of addressing the assessment criteria</w:t>
            </w:r>
          </w:p>
        </w:tc>
      </w:tr>
    </w:tbl>
    <w:p w14:paraId="2B976676" w14:textId="0641F71A" w:rsidR="002647BB" w:rsidRPr="00870A89" w:rsidRDefault="002647BB" w:rsidP="00581F23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870A89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F6E00F7" w:rsidR="00FD29D3" w:rsidRPr="00D06414" w:rsidRDefault="0052757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A19862C" w:rsidR="00FD29D3" w:rsidRPr="00D06414" w:rsidRDefault="0052757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B08545E" w:rsidR="00FD29D3" w:rsidRPr="002B0664" w:rsidRDefault="00E82CB5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F3E80">
          <w:rPr>
            <w:color w:val="auto"/>
          </w:rPr>
          <w:t>VCE Classical Studies (From 2025) Assessment Criteria and Expected Qualities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F8D46EE0"/>
    <w:lvl w:ilvl="0" w:tplc="1848CBDA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784083154">
    <w:abstractNumId w:val="10"/>
  </w:num>
  <w:num w:numId="17" w16cid:durableId="1123885710">
    <w:abstractNumId w:val="10"/>
  </w:num>
  <w:num w:numId="18" w16cid:durableId="597637609">
    <w:abstractNumId w:val="10"/>
  </w:num>
  <w:num w:numId="19" w16cid:durableId="268658929">
    <w:abstractNumId w:val="10"/>
  </w:num>
  <w:num w:numId="20" w16cid:durableId="851649687">
    <w:abstractNumId w:val="10"/>
  </w:num>
  <w:num w:numId="21" w16cid:durableId="1893418855">
    <w:abstractNumId w:val="10"/>
  </w:num>
  <w:num w:numId="22" w16cid:durableId="982930121">
    <w:abstractNumId w:val="10"/>
  </w:num>
  <w:num w:numId="23" w16cid:durableId="483200428">
    <w:abstractNumId w:val="10"/>
  </w:num>
  <w:num w:numId="24" w16cid:durableId="941457292">
    <w:abstractNumId w:val="10"/>
  </w:num>
  <w:num w:numId="25" w16cid:durableId="687635959">
    <w:abstractNumId w:val="10"/>
  </w:num>
  <w:num w:numId="26" w16cid:durableId="1556044577">
    <w:abstractNumId w:val="10"/>
  </w:num>
  <w:num w:numId="27" w16cid:durableId="1939286041">
    <w:abstractNumId w:val="10"/>
  </w:num>
  <w:num w:numId="28" w16cid:durableId="559829494">
    <w:abstractNumId w:val="10"/>
  </w:num>
  <w:num w:numId="29" w16cid:durableId="1149977085">
    <w:abstractNumId w:val="10"/>
  </w:num>
  <w:num w:numId="30" w16cid:durableId="510146227">
    <w:abstractNumId w:val="10"/>
  </w:num>
  <w:num w:numId="31" w16cid:durableId="1020200815">
    <w:abstractNumId w:val="10"/>
  </w:num>
  <w:num w:numId="32" w16cid:durableId="1991399183">
    <w:abstractNumId w:val="10"/>
  </w:num>
  <w:num w:numId="33" w16cid:durableId="257256289">
    <w:abstractNumId w:val="10"/>
  </w:num>
  <w:num w:numId="34" w16cid:durableId="2057897322">
    <w:abstractNumId w:val="10"/>
  </w:num>
  <w:num w:numId="35" w16cid:durableId="601033257">
    <w:abstractNumId w:val="10"/>
  </w:num>
  <w:num w:numId="36" w16cid:durableId="1355762105">
    <w:abstractNumId w:val="10"/>
  </w:num>
  <w:num w:numId="37" w16cid:durableId="1258636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2757E"/>
    <w:rsid w:val="00537A1F"/>
    <w:rsid w:val="00566029"/>
    <w:rsid w:val="00581F23"/>
    <w:rsid w:val="005923CB"/>
    <w:rsid w:val="005A3FBE"/>
    <w:rsid w:val="005B391B"/>
    <w:rsid w:val="005D3D78"/>
    <w:rsid w:val="005E2EF0"/>
    <w:rsid w:val="005F4092"/>
    <w:rsid w:val="0068471E"/>
    <w:rsid w:val="00684F98"/>
    <w:rsid w:val="00693FFD"/>
    <w:rsid w:val="006D2159"/>
    <w:rsid w:val="006F3E80"/>
    <w:rsid w:val="006F787C"/>
    <w:rsid w:val="00702636"/>
    <w:rsid w:val="00724507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F087D"/>
    <w:rsid w:val="009370BC"/>
    <w:rsid w:val="00970580"/>
    <w:rsid w:val="00981C17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E2504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82CB5"/>
    <w:rsid w:val="00EB0C8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581F23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 Narrow" w:eastAsia="Times New Roman" w:hAnsi="Arial Narrow" w:cs="Arial"/>
      <w:color w:val="000000" w:themeColor="text1"/>
      <w:sz w:val="20"/>
      <w:lang w:val="en-AU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411253"/>
    <w:rsid w:val="00425F90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297EF-C301-4613-8219-452EF32B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91390586-87fb-46cf-92ab-e8c7138719e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f77e68f7-c052-4667-a1a6-124cfe860c7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Classical Studies (From 2025) Assessment Criteria and Expected Qualities</vt:lpstr>
    </vt:vector>
  </TitlesOfParts>
  <Company>Victorian Curriculum and Assessment Authority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Classical Studies (From 2025) Assessment Criteria and Expected Qualities</dc:title>
  <dc:creator>Derek Tolan</dc:creator>
  <cp:lastModifiedBy>Emily Glen 2</cp:lastModifiedBy>
  <cp:revision>2</cp:revision>
  <cp:lastPrinted>2025-02-17T04:16:00Z</cp:lastPrinted>
  <dcterms:created xsi:type="dcterms:W3CDTF">2025-03-26T07:35:00Z</dcterms:created>
  <dcterms:modified xsi:type="dcterms:W3CDTF">2025-03-26T07:35:00Z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