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54C0BA04" w:rsidR="00287C4E" w:rsidRDefault="00287C4E" w:rsidP="00287C4E">
      <w:pPr>
        <w:pStyle w:val="Documenttitle"/>
      </w:pPr>
      <w:bookmarkStart w:id="0" w:name="TemplateOverview"/>
      <w:bookmarkEnd w:id="0"/>
      <w:r>
        <w:t xml:space="preserve">VCE </w:t>
      </w:r>
      <w:r w:rsidR="00B17ED5">
        <w:t>History: Ancient History</w:t>
      </w:r>
      <w:r w:rsidR="00B17ED5">
        <w:br/>
      </w:r>
      <w:r>
        <w:t>(From 202</w:t>
      </w:r>
      <w:r w:rsidR="00B17ED5">
        <w:t>2</w:t>
      </w:r>
      <w:r>
        <w:t>)</w:t>
      </w:r>
    </w:p>
    <w:p w14:paraId="1C433C30" w14:textId="77777777" w:rsidR="007D7C71" w:rsidRPr="00823962" w:rsidRDefault="007D7C71" w:rsidP="007D7C71">
      <w:pPr>
        <w:pStyle w:val="Heading1"/>
      </w:pPr>
      <w:r>
        <w:t>Written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45D6DBBA" w14:textId="77777777" w:rsidR="00804EDB" w:rsidRPr="002E3512" w:rsidRDefault="00804EDB" w:rsidP="00804EDB">
      <w:pPr>
        <w:pStyle w:val="BodyText"/>
      </w:pPr>
      <w:r w:rsidRPr="002E3512">
        <w:t xml:space="preserve">The examination will be sat at a time and date to be set annually by the Victorian Curriculum and Assessment Authority (VCAA). </w:t>
      </w:r>
      <w:hyperlink r:id="rId8" w:history="1">
        <w:r w:rsidRPr="002E3512">
          <w:rPr>
            <w:rStyle w:val="Hyperlink"/>
          </w:rPr>
          <w:t>VCAA examination rules</w:t>
        </w:r>
      </w:hyperlink>
      <w:r w:rsidRPr="002E3512">
        <w:t xml:space="preserve"> will apply. </w:t>
      </w:r>
    </w:p>
    <w:p w14:paraId="5EB84A48" w14:textId="0996D593" w:rsidR="00804EDB" w:rsidRPr="002E3512" w:rsidRDefault="00804EDB" w:rsidP="00804EDB">
      <w:pPr>
        <w:pStyle w:val="BodyText"/>
      </w:pPr>
      <w:r w:rsidRPr="002E3512">
        <w:t xml:space="preserve">There will be 15 minutes of reading time and </w:t>
      </w:r>
      <w:r w:rsidR="00B17ED5">
        <w:t>2</w:t>
      </w:r>
      <w:r w:rsidRPr="002E3512">
        <w:t xml:space="preserve"> hours of writing time.</w:t>
      </w:r>
    </w:p>
    <w:p w14:paraId="5F069E0C" w14:textId="77777777" w:rsidR="00804EDB" w:rsidRPr="002E3512" w:rsidRDefault="00804EDB" w:rsidP="00804EDB">
      <w:pPr>
        <w:pStyle w:val="BodyText"/>
      </w:pPr>
      <w:r w:rsidRPr="002E3512">
        <w:t>The examination will be assessed by a panel appointed by the VCAA.</w:t>
      </w:r>
    </w:p>
    <w:p w14:paraId="1BEA0FCC" w14:textId="77777777" w:rsidR="00804EDB" w:rsidRPr="002E3512" w:rsidRDefault="00804EDB" w:rsidP="00804EDB">
      <w:pPr>
        <w:pStyle w:val="BodyText"/>
      </w:pPr>
      <w:r w:rsidRPr="002E3512">
        <w:t>The examination will contribute 50 per cent to the study score.</w:t>
      </w:r>
    </w:p>
    <w:p w14:paraId="7D6CCBFD" w14:textId="77777777" w:rsidR="00804EDB" w:rsidRPr="002E3512" w:rsidRDefault="00804EDB" w:rsidP="00804EDB">
      <w:pPr>
        <w:pStyle w:val="Heading3"/>
      </w:pPr>
      <w:r w:rsidRPr="002E3512">
        <w:t>Content</w:t>
      </w:r>
    </w:p>
    <w:p w14:paraId="3CE0B4DE" w14:textId="6914D26D" w:rsidR="00B17ED5" w:rsidRPr="00256C65" w:rsidRDefault="00B17ED5" w:rsidP="00B17ED5">
      <w:pPr>
        <w:pStyle w:val="BodyText"/>
      </w:pPr>
      <w:r w:rsidRPr="00256C65">
        <w:t xml:space="preserve">The </w:t>
      </w:r>
      <w:r w:rsidRPr="00B17ED5">
        <w:rPr>
          <w:rStyle w:val="italic"/>
        </w:rPr>
        <w:t xml:space="preserve">VCE History Study Design </w:t>
      </w:r>
      <w:r>
        <w:rPr>
          <w:rStyle w:val="italic"/>
        </w:rPr>
        <w:t xml:space="preserve">(From </w:t>
      </w:r>
      <w:r w:rsidRPr="00B17ED5">
        <w:rPr>
          <w:rStyle w:val="italic"/>
        </w:rPr>
        <w:t>2022</w:t>
      </w:r>
      <w:r>
        <w:rPr>
          <w:rStyle w:val="italic"/>
        </w:rPr>
        <w:t>)</w:t>
      </w:r>
      <w:r w:rsidRPr="00B17ED5">
        <w:rPr>
          <w:rStyle w:val="italic"/>
        </w:rPr>
        <w:t xml:space="preserve"> </w:t>
      </w:r>
      <w:r w:rsidRPr="00C33860">
        <w:rPr>
          <w:iCs/>
        </w:rPr>
        <w:t>(</w:t>
      </w:r>
      <w:r>
        <w:rPr>
          <w:iCs/>
        </w:rPr>
        <w:t>‘</w:t>
      </w:r>
      <w:r w:rsidRPr="00C33860">
        <w:rPr>
          <w:iCs/>
        </w:rPr>
        <w:t xml:space="preserve">Units 3 and 4: </w:t>
      </w:r>
      <w:r>
        <w:rPr>
          <w:iCs/>
        </w:rPr>
        <w:t>Ancient History’</w:t>
      </w:r>
      <w:r w:rsidRPr="00C33860">
        <w:rPr>
          <w:iCs/>
        </w:rPr>
        <w:t>)</w:t>
      </w:r>
      <w:r w:rsidRPr="00B17ED5">
        <w:rPr>
          <w:rStyle w:val="italic"/>
        </w:rPr>
        <w:t xml:space="preserve"> </w:t>
      </w:r>
      <w:r w:rsidRPr="00256C65">
        <w:t xml:space="preserve">is the document for the development of the examination. The study design includes a section on </w:t>
      </w:r>
      <w:r>
        <w:t>characteristics of the study</w:t>
      </w:r>
      <w:r w:rsidRPr="00256C65">
        <w:t xml:space="preserve"> (pages</w:t>
      </w:r>
      <w:r w:rsidR="0010144C">
        <w:t> </w:t>
      </w:r>
      <w:r>
        <w:t>6 and 7)</w:t>
      </w:r>
      <w:r w:rsidRPr="00256C65">
        <w:t xml:space="preserve">. </w:t>
      </w:r>
      <w:r>
        <w:t xml:space="preserve">The </w:t>
      </w:r>
      <w:hyperlink r:id="rId9" w:history="1">
        <w:r w:rsidRPr="00AE6D1E">
          <w:rPr>
            <w:rStyle w:val="Hyperlink"/>
          </w:rPr>
          <w:t>characteristics of the study</w:t>
        </w:r>
      </w:hyperlink>
      <w:r>
        <w:t xml:space="preserve"> are elaborated on in the </w:t>
      </w:r>
      <w:hyperlink r:id="rId10" w:history="1">
        <w:r w:rsidRPr="00AE6D1E">
          <w:rPr>
            <w:rStyle w:val="Hyperlink"/>
          </w:rPr>
          <w:t>Advice for teachers – History</w:t>
        </w:r>
      </w:hyperlink>
      <w:r>
        <w:t>.</w:t>
      </w:r>
    </w:p>
    <w:p w14:paraId="138780B1" w14:textId="77777777" w:rsidR="00B17ED5" w:rsidRPr="00256C65" w:rsidRDefault="00B17ED5" w:rsidP="00B17ED5">
      <w:pPr>
        <w:pStyle w:val="BodyText"/>
      </w:pPr>
      <w:r w:rsidRPr="00256C65">
        <w:t xml:space="preserve">All outcomes in </w:t>
      </w:r>
      <w:r>
        <w:t>‘</w:t>
      </w:r>
      <w:r w:rsidRPr="00256C65">
        <w:t>Units 3 and 4</w:t>
      </w:r>
      <w:r>
        <w:t>: Ancient History’</w:t>
      </w:r>
      <w:r w:rsidRPr="00256C65">
        <w:t xml:space="preserve"> will be examined.</w:t>
      </w:r>
      <w:r>
        <w:t xml:space="preserve"> </w:t>
      </w:r>
      <w:r w:rsidRPr="00256C65">
        <w:t xml:space="preserve">All of the key knowledge and </w:t>
      </w:r>
      <w:r>
        <w:t xml:space="preserve">key </w:t>
      </w:r>
      <w:r w:rsidRPr="00256C65">
        <w:t xml:space="preserve">skills that underpin the outcomes in </w:t>
      </w:r>
      <w:r>
        <w:t>‘</w:t>
      </w:r>
      <w:r w:rsidRPr="00256C65">
        <w:t>Units 3 and 4</w:t>
      </w:r>
      <w:r>
        <w:t>: Ancient History’</w:t>
      </w:r>
      <w:r w:rsidRPr="00256C65">
        <w:t xml:space="preserve"> are examinable. </w:t>
      </w:r>
    </w:p>
    <w:p w14:paraId="3B5C0AEB" w14:textId="77777777" w:rsidR="00804EDB" w:rsidRPr="002E3512" w:rsidRDefault="00804EDB" w:rsidP="00804EDB">
      <w:pPr>
        <w:pStyle w:val="Heading3"/>
      </w:pPr>
      <w:r w:rsidRPr="002E3512">
        <w:t>Format</w:t>
      </w:r>
    </w:p>
    <w:p w14:paraId="4886C118" w14:textId="144C7BBC" w:rsidR="00B17ED5" w:rsidRPr="00256C65" w:rsidRDefault="00B17ED5" w:rsidP="00B17ED5">
      <w:pPr>
        <w:pStyle w:val="BodyText"/>
      </w:pPr>
      <w:r w:rsidRPr="00256C65">
        <w:t xml:space="preserve">The examination will be in the form of a </w:t>
      </w:r>
      <w:r w:rsidR="00DD30B0">
        <w:t>Q</w:t>
      </w:r>
      <w:r w:rsidRPr="00256C65">
        <w:t xml:space="preserve">uestion and </w:t>
      </w:r>
      <w:r w:rsidR="00DD30B0">
        <w:t>A</w:t>
      </w:r>
      <w:r w:rsidRPr="00256C65">
        <w:t xml:space="preserve">nswer </w:t>
      </w:r>
      <w:r w:rsidR="00DD30B0">
        <w:t>B</w:t>
      </w:r>
      <w:r w:rsidRPr="00256C65">
        <w:t>ook.</w:t>
      </w:r>
    </w:p>
    <w:p w14:paraId="74AA9FBD" w14:textId="77777777" w:rsidR="00B17ED5" w:rsidRDefault="00B17ED5" w:rsidP="00B17ED5">
      <w:pPr>
        <w:pStyle w:val="BodyText"/>
      </w:pPr>
      <w:r>
        <w:t>The examination will consist of two sections. Each section will have questions on each of the three ancient societies: Egypt, Greece and Rome.</w:t>
      </w:r>
    </w:p>
    <w:p w14:paraId="50BF16B0" w14:textId="49F1BD9D" w:rsidR="00B17ED5" w:rsidRDefault="00B17ED5" w:rsidP="00B17ED5">
      <w:pPr>
        <w:pStyle w:val="BodyText"/>
      </w:pPr>
      <w:r w:rsidRPr="00B17ED5">
        <w:rPr>
          <w:rStyle w:val="EmphasisBold"/>
        </w:rPr>
        <w:t>Section A</w:t>
      </w:r>
      <w:r>
        <w:t xml:space="preserve"> will consist of three questions – one question for each ancient society. Each question will consist of multiple parts (short-answer questions and one extended-answer question) and will be worth a total </w:t>
      </w:r>
      <w:r>
        <w:br/>
        <w:t xml:space="preserve">of 25 marks. The questions may require analysis of three to four visual and/or written sources. The </w:t>
      </w:r>
      <w:r>
        <w:br/>
        <w:t xml:space="preserve">extended-answer question will be worth 8–10 marks. The questions and sources will draw from Area of Study 1, Area of Study 2 or both areas of study. The sources will be presented in a separate </w:t>
      </w:r>
      <w:r w:rsidR="00DD30B0">
        <w:t>S</w:t>
      </w:r>
      <w:r>
        <w:t xml:space="preserve">ources </w:t>
      </w:r>
      <w:r w:rsidR="00DD30B0">
        <w:t>B</w:t>
      </w:r>
      <w:r>
        <w:t xml:space="preserve">ook and may be presented in colour. Students must respond to all parts of the </w:t>
      </w:r>
      <w:r w:rsidRPr="00B17ED5">
        <w:rPr>
          <w:rStyle w:val="EmphasisBold"/>
        </w:rPr>
        <w:t>two</w:t>
      </w:r>
      <w:r>
        <w:t xml:space="preserve"> questions in this section that correspond to the two ancient societies that they have studied. Section A will be worth a total of 50 marks.</w:t>
      </w:r>
    </w:p>
    <w:p w14:paraId="53626F96" w14:textId="77777777" w:rsidR="00B17ED5" w:rsidRDefault="00B17ED5">
      <w:pPr>
        <w:spacing w:line="276" w:lineRule="auto"/>
        <w:rPr>
          <w:rStyle w:val="EmphasisBold"/>
          <w:rFonts w:ascii="Arial" w:hAnsi="Arial" w:cs="Arial"/>
          <w:color w:val="000000" w:themeColor="text1"/>
          <w:sz w:val="20"/>
          <w:lang w:val="en-AU" w:eastAsia="en-AU"/>
        </w:rPr>
      </w:pPr>
      <w:r>
        <w:rPr>
          <w:rStyle w:val="EmphasisBold"/>
        </w:rPr>
        <w:br w:type="page"/>
      </w:r>
    </w:p>
    <w:p w14:paraId="03C45CD7" w14:textId="1C49B99D" w:rsidR="00B17ED5" w:rsidRDefault="00B17ED5" w:rsidP="00B17ED5">
      <w:pPr>
        <w:pStyle w:val="BodyText"/>
      </w:pPr>
      <w:r w:rsidRPr="00B17ED5">
        <w:rPr>
          <w:rStyle w:val="EmphasisBold"/>
        </w:rPr>
        <w:lastRenderedPageBreak/>
        <w:t>Section B</w:t>
      </w:r>
      <w:r>
        <w:t xml:space="preserve"> will consist of three essay questions – one essay question for each ancient society. The essay topics will be drawn from Area of Study 1, Area of Study 2 or both areas of study. Students must respond to </w:t>
      </w:r>
      <w:r w:rsidRPr="00B17ED5">
        <w:rPr>
          <w:rStyle w:val="EmphasisBold"/>
        </w:rPr>
        <w:t>one</w:t>
      </w:r>
      <w:r>
        <w:t xml:space="preserve"> question in this section that corresponds to one of the two ancient societies that they have studied. Section B will be worth a total of 20 marks.</w:t>
      </w:r>
    </w:p>
    <w:p w14:paraId="1F2A4D78" w14:textId="77777777" w:rsidR="00B17ED5" w:rsidRDefault="00B17ED5" w:rsidP="00B17ED5">
      <w:pPr>
        <w:pStyle w:val="BodyText"/>
      </w:pPr>
      <w:r w:rsidRPr="00256C65">
        <w:t xml:space="preserve">The total marks for the examination will be </w:t>
      </w:r>
      <w:r>
        <w:t>70</w:t>
      </w:r>
      <w:r w:rsidRPr="00256C65">
        <w:t>.</w:t>
      </w:r>
    </w:p>
    <w:p w14:paraId="34EAB243" w14:textId="7EDF475F" w:rsidR="00B17ED5" w:rsidRDefault="00B17ED5" w:rsidP="00B17ED5">
      <w:pPr>
        <w:pStyle w:val="BodyText"/>
      </w:pPr>
      <w:r>
        <w:t xml:space="preserve">Answers are to be recorded in the spaces provided in the </w:t>
      </w:r>
      <w:r w:rsidR="00DD30B0">
        <w:t>Q</w:t>
      </w:r>
      <w:r>
        <w:t xml:space="preserve">uestion and </w:t>
      </w:r>
      <w:r w:rsidR="00DD30B0">
        <w:t>A</w:t>
      </w:r>
      <w:r>
        <w:t xml:space="preserve">nswer </w:t>
      </w:r>
      <w:r w:rsidR="00DD30B0">
        <w:t>B</w:t>
      </w:r>
      <w:r>
        <w:t>ook.</w:t>
      </w:r>
    </w:p>
    <w:p w14:paraId="6D8401F1" w14:textId="61137166" w:rsidR="00804EDB" w:rsidRPr="002E3512" w:rsidRDefault="00B17ED5" w:rsidP="00804EDB">
      <w:pPr>
        <w:pStyle w:val="Heading3"/>
      </w:pPr>
      <w:r>
        <w:t>Assessment c</w:t>
      </w:r>
      <w:r w:rsidR="00804EDB" w:rsidRPr="002E3512">
        <w:t>riteria</w:t>
      </w:r>
    </w:p>
    <w:p w14:paraId="529AE5A3" w14:textId="77777777" w:rsidR="00B17ED5" w:rsidRPr="00074668" w:rsidRDefault="00B17ED5" w:rsidP="00B17ED5">
      <w:pPr>
        <w:pStyle w:val="BodyText"/>
      </w:pPr>
      <w:r w:rsidRPr="00626FD2">
        <w:t>The essay in Section B will be assessed against the following criteria:</w:t>
      </w:r>
    </w:p>
    <w:p w14:paraId="1B688971" w14:textId="77777777" w:rsidR="00B17ED5" w:rsidRPr="00B17ED5" w:rsidRDefault="00B17ED5" w:rsidP="009B43DF">
      <w:pPr>
        <w:pStyle w:val="Bullet"/>
      </w:pPr>
      <w:r w:rsidRPr="00C33860">
        <w:t>construction of a coherent and relevant historical argument that addresses the specific demands of the essay question</w:t>
      </w:r>
    </w:p>
    <w:p w14:paraId="146D64C2" w14:textId="77777777" w:rsidR="00B17ED5" w:rsidRPr="00B17ED5" w:rsidRDefault="00B17ED5" w:rsidP="009B43DF">
      <w:pPr>
        <w:pStyle w:val="Bullet"/>
      </w:pPr>
      <w:r w:rsidRPr="00C33860">
        <w:t xml:space="preserve">demonstration of historical knowledge that is accurate and appropriate for the essay question </w:t>
      </w:r>
    </w:p>
    <w:p w14:paraId="43BF1C80" w14:textId="77777777" w:rsidR="00B17ED5" w:rsidRPr="00B17ED5" w:rsidRDefault="00B17ED5" w:rsidP="009B43DF">
      <w:pPr>
        <w:pStyle w:val="Bullet"/>
      </w:pPr>
      <w:r w:rsidRPr="00C33860">
        <w:t>application of historical thinking concepts such as cause and consequence, continuity and change, and/or historical significance</w:t>
      </w:r>
    </w:p>
    <w:p w14:paraId="15B532EB" w14:textId="77777777" w:rsidR="00B17ED5" w:rsidRDefault="00B17ED5" w:rsidP="009B43DF">
      <w:pPr>
        <w:pStyle w:val="Bullet"/>
      </w:pPr>
      <w:r w:rsidRPr="00C33860">
        <w:t>use of sources as evidence to support a historical argument, including a range of primary sources, perspectives and historical interpretations</w:t>
      </w:r>
    </w:p>
    <w:p w14:paraId="029878CB" w14:textId="77777777" w:rsidR="00804EDB" w:rsidRPr="002E3512" w:rsidRDefault="00804EDB" w:rsidP="00804EDB">
      <w:pPr>
        <w:pStyle w:val="Heading3"/>
      </w:pPr>
      <w:r w:rsidRPr="002E3512">
        <w:t>Approved materials and equipment</w:t>
      </w:r>
    </w:p>
    <w:p w14:paraId="3ADD6B0F" w14:textId="77777777" w:rsidR="00B17ED5" w:rsidRPr="004D08E8" w:rsidRDefault="00B17ED5" w:rsidP="00B17ED5">
      <w:pPr>
        <w:pStyle w:val="BodyText"/>
      </w:pPr>
      <w:r>
        <w:t>N</w:t>
      </w:r>
      <w:r w:rsidRPr="004D08E8">
        <w:t>ormal stationery requirements (pens, pencils, highlighters, erasers, sharpeners and rulers)</w:t>
      </w:r>
      <w:r>
        <w:t xml:space="preserve"> </w:t>
      </w:r>
    </w:p>
    <w:p w14:paraId="462DBC9E" w14:textId="77777777" w:rsidR="00804EDB" w:rsidRPr="002E3512" w:rsidRDefault="00804EDB" w:rsidP="00804EDB">
      <w:pPr>
        <w:pStyle w:val="Heading3"/>
        <w:rPr>
          <w:noProof/>
        </w:rPr>
      </w:pPr>
      <w:r w:rsidRPr="002E3512">
        <w:rPr>
          <w:noProof/>
        </w:rPr>
        <w:t>Relevant references</w:t>
      </w:r>
    </w:p>
    <w:p w14:paraId="7AB22A61" w14:textId="77777777" w:rsidR="00B17ED5" w:rsidRPr="00256C65" w:rsidRDefault="00B17ED5" w:rsidP="00B17ED5">
      <w:pPr>
        <w:pStyle w:val="BodyText"/>
      </w:pPr>
      <w:r w:rsidRPr="00256C65">
        <w:t xml:space="preserve">The following </w:t>
      </w:r>
      <w:r>
        <w:t>resources</w:t>
      </w:r>
      <w:r w:rsidRPr="00256C65">
        <w:t xml:space="preserve"> should be referred to in relation to the VCE </w:t>
      </w:r>
      <w:r>
        <w:t>History: Ancient History</w:t>
      </w:r>
      <w:r w:rsidRPr="00256C65">
        <w:t xml:space="preserve"> examination:</w:t>
      </w:r>
    </w:p>
    <w:p w14:paraId="2010B56A" w14:textId="3F2A406C" w:rsidR="00B17ED5" w:rsidRPr="00C33860" w:rsidRDefault="009B43DF" w:rsidP="009B43DF">
      <w:pPr>
        <w:pStyle w:val="Bullet"/>
      </w:pPr>
      <w:hyperlink r:id="rId11" w:history="1">
        <w:r w:rsidR="00B17ED5" w:rsidRPr="00DD30B0">
          <w:rPr>
            <w:rStyle w:val="Hyperlink"/>
          </w:rPr>
          <w:t>VCE History Study Design (From 2022)</w:t>
        </w:r>
      </w:hyperlink>
      <w:r w:rsidR="00B17ED5">
        <w:t xml:space="preserve"> </w:t>
      </w:r>
      <w:r w:rsidR="00B17ED5" w:rsidRPr="00C33860">
        <w:t xml:space="preserve">(‘Units 3 and 4: </w:t>
      </w:r>
      <w:r w:rsidR="00B17ED5">
        <w:t>Ancient History</w:t>
      </w:r>
      <w:r w:rsidR="00B17ED5" w:rsidRPr="00C33860">
        <w:t>’)</w:t>
      </w:r>
    </w:p>
    <w:p w14:paraId="68803492" w14:textId="32A8AEAC" w:rsidR="004A7DB8" w:rsidRPr="009B43DF" w:rsidRDefault="009B43DF" w:rsidP="009B43DF">
      <w:pPr>
        <w:pStyle w:val="Bullet"/>
      </w:pPr>
      <w:hyperlink r:id="rId12" w:history="1">
        <w:r w:rsidR="00B17ED5" w:rsidRPr="009B43DF">
          <w:rPr>
            <w:rStyle w:val="Hyperlink"/>
            <w:i w:val="0"/>
            <w:iCs w:val="0"/>
          </w:rPr>
          <w:t>Advice for teachers – History</w:t>
        </w:r>
      </w:hyperlink>
    </w:p>
    <w:p w14:paraId="02486B39" w14:textId="1CB96368" w:rsidR="004A7DB8" w:rsidRPr="004A7DB8" w:rsidRDefault="009B43DF" w:rsidP="009B43DF">
      <w:pPr>
        <w:pStyle w:val="Bullet"/>
        <w:rPr>
          <w:rStyle w:val="italic"/>
          <w:i/>
          <w:iCs/>
        </w:rPr>
      </w:pPr>
      <w:hyperlink r:id="rId13" w:history="1">
        <w:r w:rsidR="004A7DB8" w:rsidRPr="004A7DB8">
          <w:rPr>
            <w:rStyle w:val="Hyperlink"/>
          </w:rPr>
          <w:t>VCAA Bulletin</w:t>
        </w:r>
      </w:hyperlink>
    </w:p>
    <w:p w14:paraId="42AAF99D" w14:textId="62D10997" w:rsidR="00B17ED5" w:rsidRPr="009B43DF" w:rsidRDefault="009B43DF" w:rsidP="009B43DF">
      <w:pPr>
        <w:pStyle w:val="Bullet"/>
        <w:rPr>
          <w:rStyle w:val="italic"/>
          <w:i/>
          <w:iCs/>
        </w:rPr>
      </w:pPr>
      <w:hyperlink r:id="rId14" w:history="1">
        <w:r w:rsidR="00AD67A6" w:rsidRPr="009B43DF">
          <w:rPr>
            <w:rStyle w:val="Hyperlink"/>
            <w:i w:val="0"/>
            <w:iCs w:val="0"/>
          </w:rPr>
          <w:t>VCAA Notices to Schools</w:t>
        </w:r>
      </w:hyperlink>
    </w:p>
    <w:p w14:paraId="5F0D9B6F" w14:textId="77777777" w:rsidR="00804EDB" w:rsidRPr="002E3512" w:rsidRDefault="00804EDB" w:rsidP="00804EDB">
      <w:pPr>
        <w:pStyle w:val="Heading3"/>
        <w:rPr>
          <w:noProof/>
        </w:rPr>
      </w:pPr>
      <w:r w:rsidRPr="002E3512">
        <w:rPr>
          <w:noProof/>
        </w:rPr>
        <w:t>Advice</w:t>
      </w:r>
    </w:p>
    <w:p w14:paraId="33D93F18" w14:textId="0EA4C148" w:rsidR="00B17ED5" w:rsidRDefault="00B17ED5" w:rsidP="00B17ED5">
      <w:pPr>
        <w:pStyle w:val="BodyText"/>
      </w:pPr>
      <w:r>
        <w:t>From</w:t>
      </w:r>
      <w:r w:rsidRPr="00256C65">
        <w:t xml:space="preserve"> 20</w:t>
      </w:r>
      <w:r>
        <w:t>22,</w:t>
      </w:r>
      <w:r w:rsidRPr="00256C65">
        <w:t xml:space="preserve"> VCE </w:t>
      </w:r>
      <w:r>
        <w:t>History: Ancient History</w:t>
      </w:r>
      <w:r w:rsidRPr="00256C65">
        <w:t xml:space="preserve"> examinations will be prepared according to the examination specifications above. Each examination will conform to these specifications and will test a representative sample of the key knowledge and </w:t>
      </w:r>
      <w:r>
        <w:t xml:space="preserve">key </w:t>
      </w:r>
      <w:r w:rsidRPr="00256C65">
        <w:t>skills from</w:t>
      </w:r>
      <w:r>
        <w:t xml:space="preserve"> all outcomes in Units 3 and 4.</w:t>
      </w:r>
    </w:p>
    <w:p w14:paraId="30563B8F" w14:textId="77777777" w:rsidR="00B17ED5" w:rsidRDefault="00B17ED5" w:rsidP="00B17ED5">
      <w:pPr>
        <w:pStyle w:val="BodyText"/>
      </w:pPr>
      <w:r>
        <w:t xml:space="preserve">Teachers and students should be aware of the characteristics of the study, as described on pages 6 and 7 </w:t>
      </w:r>
      <w:r>
        <w:br/>
        <w:t xml:space="preserve">of the study design and elaborated on in the </w:t>
      </w:r>
      <w:hyperlink r:id="rId15" w:history="1">
        <w:r w:rsidRPr="00AE6D1E">
          <w:rPr>
            <w:rStyle w:val="Hyperlink"/>
          </w:rPr>
          <w:t>Advice for teachers – History</w:t>
        </w:r>
      </w:hyperlink>
      <w:r>
        <w:t xml:space="preserve">. </w:t>
      </w:r>
      <w:r w:rsidRPr="00626FD2">
        <w:t>In VCE History, evidence may be drawn from primary</w:t>
      </w:r>
      <w:r>
        <w:t xml:space="preserve"> </w:t>
      </w:r>
      <w:r w:rsidRPr="00626FD2">
        <w:t xml:space="preserve">and/or secondary sources, and </w:t>
      </w:r>
      <w:r>
        <w:t xml:space="preserve">may </w:t>
      </w:r>
      <w:r w:rsidRPr="00626FD2">
        <w:t>include factual detail related to the key knowledge stated in the study design, historical perspectives and historical interpretations.</w:t>
      </w:r>
      <w:r>
        <w:t xml:space="preserve"> </w:t>
      </w:r>
    </w:p>
    <w:p w14:paraId="7737AD7E" w14:textId="67A381EB" w:rsidR="00B17ED5" w:rsidRDefault="00B17ED5" w:rsidP="00B17ED5">
      <w:pPr>
        <w:pStyle w:val="BodyText"/>
      </w:pPr>
      <w:r>
        <w:t xml:space="preserve">Students should use </w:t>
      </w:r>
      <w:hyperlink r:id="rId16" w:history="1">
        <w:r w:rsidRPr="002F7F16">
          <w:rPr>
            <w:rStyle w:val="Hyperlink"/>
          </w:rPr>
          <w:t>command/task words</w:t>
        </w:r>
      </w:hyperlink>
      <w:r>
        <w:t>, other instructional information within questions and corresponding mark allocations to guide their responses.</w:t>
      </w:r>
    </w:p>
    <w:p w14:paraId="44A07FE7" w14:textId="0E340020" w:rsidR="00B17ED5" w:rsidRPr="00B17ED5" w:rsidRDefault="00B17ED5" w:rsidP="00B17ED5">
      <w:pPr>
        <w:pStyle w:val="BodyText"/>
        <w:rPr>
          <w:noProof/>
        </w:rPr>
      </w:pPr>
      <w:r>
        <w:rPr>
          <w:noProof/>
        </w:rPr>
        <w:t>A separate document containing a sample examination has been published on the VCE History: Ancient History ‘</w:t>
      </w:r>
      <w:hyperlink r:id="rId17" w:history="1">
        <w:r w:rsidRPr="006128CA">
          <w:rPr>
            <w:rStyle w:val="Hyperlink"/>
          </w:rPr>
          <w:t>Examination specifications, past examinations and examination reports</w:t>
        </w:r>
      </w:hyperlink>
      <w:r>
        <w:rPr>
          <w:noProof/>
        </w:rPr>
        <w:t>’ page on the VCAA website.</w:t>
      </w:r>
    </w:p>
    <w:p w14:paraId="7B20E92E" w14:textId="77777777" w:rsidR="00B17ED5" w:rsidRDefault="00B17ED5" w:rsidP="00B17ED5">
      <w:pPr>
        <w:pStyle w:val="BodyText"/>
        <w:rPr>
          <w:noProof/>
        </w:rPr>
      </w:pPr>
      <w:r>
        <w:rPr>
          <w:noProof/>
        </w:rPr>
        <w:t>The sample examination provides an indication of the format of the examination, and the types of questions teachers and students can expect until the current accreditation period is over. It demonstrates a range of source configurations that could appear on the examination.</w:t>
      </w:r>
    </w:p>
    <w:p w14:paraId="34810B5F" w14:textId="7BF57C53" w:rsidR="009C3F2C" w:rsidRDefault="00B17ED5" w:rsidP="00B17ED5">
      <w:pPr>
        <w:pStyle w:val="BodyText"/>
        <w:rPr>
          <w:noProof/>
        </w:rPr>
      </w:pPr>
      <w:r>
        <w:rPr>
          <w:noProof/>
        </w:rPr>
        <w:t>The VCAA does not provide answers to sample examinations.</w:t>
      </w:r>
    </w:p>
    <w:sectPr w:rsidR="009C3F2C" w:rsidSect="00B230DB">
      <w:headerReference w:type="default"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A31BB" w:rsidRPr="00D06414" w14:paraId="6474FD3B" w14:textId="77777777" w:rsidTr="00BB3BAB">
      <w:trPr>
        <w:trHeight w:val="476"/>
      </w:trPr>
      <w:tc>
        <w:tcPr>
          <w:tcW w:w="1667" w:type="pct"/>
          <w:tcMar>
            <w:left w:w="0" w:type="dxa"/>
            <w:right w:w="0" w:type="dxa"/>
          </w:tcMar>
        </w:tcPr>
        <w:p w14:paraId="0EC15F2D" w14:textId="0CD10396" w:rsidR="003A31BB" w:rsidRPr="00D06414" w:rsidRDefault="003A31BB" w:rsidP="003A31BB">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4A7DB8">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27B97814" w:rsidR="003A31BB" w:rsidRPr="00D06414" w:rsidRDefault="004A7DB8" w:rsidP="003A31BB">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March 2025</w:t>
          </w:r>
        </w:p>
      </w:tc>
      <w:tc>
        <w:tcPr>
          <w:tcW w:w="1666" w:type="pct"/>
          <w:tcMar>
            <w:left w:w="0" w:type="dxa"/>
            <w:right w:w="0" w:type="dxa"/>
          </w:tcMar>
        </w:tcPr>
        <w:p w14:paraId="0ED38A80" w14:textId="388A096B" w:rsidR="003A31BB" w:rsidRPr="002B0664" w:rsidRDefault="003A31BB" w:rsidP="003A31BB">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3AA50B94"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4A7DB8">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4B76F53A" w:rsidR="00FD29D3" w:rsidRPr="00D06414" w:rsidRDefault="004A7DB8"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AEE9637" w:rsidR="00FD29D3" w:rsidRPr="00DA0BF0" w:rsidRDefault="00AD67A6" w:rsidP="00DA0BF0">
    <w:pPr>
      <w:pStyle w:val="Header"/>
    </w:pPr>
    <w:r>
      <w:rPr>
        <w:noProof/>
      </w:rPr>
      <w:t xml:space="preserve">VCE HISTORY: </w:t>
    </w:r>
    <w:r w:rsidR="00B17ED5">
      <w:rPr>
        <w:noProof/>
      </w:rPr>
      <w:t>ANCIENT HISTORY</w:t>
    </w:r>
    <w:r w:rsidR="007D7C71">
      <w:rPr>
        <w:noProof/>
      </w:rPr>
      <w:t xml:space="preserve"> </w:t>
    </w:r>
    <w:r w:rsidR="002332A8">
      <w:rPr>
        <w:noProof/>
      </w:rPr>
      <w:t>(</w:t>
    </w:r>
    <w:r w:rsidR="007D7C71">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10BEA3E2"/>
    <w:lvl w:ilvl="0" w:tplc="C072484E">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proofState w:spelling="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144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0144C"/>
    <w:rsid w:val="00143520"/>
    <w:rsid w:val="00153AD2"/>
    <w:rsid w:val="001779EA"/>
    <w:rsid w:val="001968F4"/>
    <w:rsid w:val="001D3246"/>
    <w:rsid w:val="002279BA"/>
    <w:rsid w:val="002329F3"/>
    <w:rsid w:val="002332A8"/>
    <w:rsid w:val="00243F0D"/>
    <w:rsid w:val="00260767"/>
    <w:rsid w:val="002647BB"/>
    <w:rsid w:val="00273CE4"/>
    <w:rsid w:val="002754C1"/>
    <w:rsid w:val="002841C8"/>
    <w:rsid w:val="0028516B"/>
    <w:rsid w:val="00287C4E"/>
    <w:rsid w:val="002B0664"/>
    <w:rsid w:val="002C6F90"/>
    <w:rsid w:val="002E4FB5"/>
    <w:rsid w:val="002F7F16"/>
    <w:rsid w:val="00302FB8"/>
    <w:rsid w:val="00304EA1"/>
    <w:rsid w:val="00314D81"/>
    <w:rsid w:val="00322FC6"/>
    <w:rsid w:val="0035293F"/>
    <w:rsid w:val="00381C75"/>
    <w:rsid w:val="00391986"/>
    <w:rsid w:val="003A00B4"/>
    <w:rsid w:val="003A06B2"/>
    <w:rsid w:val="003A31BB"/>
    <w:rsid w:val="003A5141"/>
    <w:rsid w:val="003C47EE"/>
    <w:rsid w:val="003C5E71"/>
    <w:rsid w:val="003E0D70"/>
    <w:rsid w:val="00417AA3"/>
    <w:rsid w:val="00422FEC"/>
    <w:rsid w:val="00425DFE"/>
    <w:rsid w:val="00434EDB"/>
    <w:rsid w:val="00440B32"/>
    <w:rsid w:val="0046078D"/>
    <w:rsid w:val="004668F5"/>
    <w:rsid w:val="004907AC"/>
    <w:rsid w:val="00495C80"/>
    <w:rsid w:val="004A2ED8"/>
    <w:rsid w:val="004A7DB8"/>
    <w:rsid w:val="004C37BD"/>
    <w:rsid w:val="004F5BDA"/>
    <w:rsid w:val="0051631E"/>
    <w:rsid w:val="00537A1F"/>
    <w:rsid w:val="005639CF"/>
    <w:rsid w:val="00566029"/>
    <w:rsid w:val="005923CB"/>
    <w:rsid w:val="005B391B"/>
    <w:rsid w:val="005D3D78"/>
    <w:rsid w:val="005E2EF0"/>
    <w:rsid w:val="005F4092"/>
    <w:rsid w:val="0068471E"/>
    <w:rsid w:val="00684F98"/>
    <w:rsid w:val="00693FFD"/>
    <w:rsid w:val="006D2159"/>
    <w:rsid w:val="006F787C"/>
    <w:rsid w:val="00702636"/>
    <w:rsid w:val="00720AC9"/>
    <w:rsid w:val="00724507"/>
    <w:rsid w:val="00773E6C"/>
    <w:rsid w:val="00781FB1"/>
    <w:rsid w:val="007D1B6D"/>
    <w:rsid w:val="007D7C71"/>
    <w:rsid w:val="007E07E9"/>
    <w:rsid w:val="00804EDB"/>
    <w:rsid w:val="00813C37"/>
    <w:rsid w:val="008154B5"/>
    <w:rsid w:val="00823962"/>
    <w:rsid w:val="0083562E"/>
    <w:rsid w:val="00850410"/>
    <w:rsid w:val="00852719"/>
    <w:rsid w:val="00860115"/>
    <w:rsid w:val="00870A89"/>
    <w:rsid w:val="00873C36"/>
    <w:rsid w:val="0088783C"/>
    <w:rsid w:val="009370BC"/>
    <w:rsid w:val="00970580"/>
    <w:rsid w:val="0098739B"/>
    <w:rsid w:val="009B43DF"/>
    <w:rsid w:val="009B61E5"/>
    <w:rsid w:val="009C3F2C"/>
    <w:rsid w:val="009D1E89"/>
    <w:rsid w:val="009E5707"/>
    <w:rsid w:val="00A17661"/>
    <w:rsid w:val="00A24B2D"/>
    <w:rsid w:val="00A40966"/>
    <w:rsid w:val="00A921E0"/>
    <w:rsid w:val="00A922F4"/>
    <w:rsid w:val="00AD3A30"/>
    <w:rsid w:val="00AD67A6"/>
    <w:rsid w:val="00AE5526"/>
    <w:rsid w:val="00AE7C43"/>
    <w:rsid w:val="00AF051B"/>
    <w:rsid w:val="00AF5A66"/>
    <w:rsid w:val="00B01578"/>
    <w:rsid w:val="00B0738F"/>
    <w:rsid w:val="00B13D3B"/>
    <w:rsid w:val="00B17ED5"/>
    <w:rsid w:val="00B230DB"/>
    <w:rsid w:val="00B26601"/>
    <w:rsid w:val="00B41951"/>
    <w:rsid w:val="00B47D19"/>
    <w:rsid w:val="00B53229"/>
    <w:rsid w:val="00B62480"/>
    <w:rsid w:val="00B81B70"/>
    <w:rsid w:val="00B82A65"/>
    <w:rsid w:val="00B92ACA"/>
    <w:rsid w:val="00BB3BAB"/>
    <w:rsid w:val="00BD0724"/>
    <w:rsid w:val="00BD2B91"/>
    <w:rsid w:val="00BE5521"/>
    <w:rsid w:val="00BF6C23"/>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D30B0"/>
    <w:rsid w:val="00DE1909"/>
    <w:rsid w:val="00DE51DB"/>
    <w:rsid w:val="00DE5920"/>
    <w:rsid w:val="00E208DF"/>
    <w:rsid w:val="00E23F1D"/>
    <w:rsid w:val="00E30E05"/>
    <w:rsid w:val="00E36361"/>
    <w:rsid w:val="00E47F28"/>
    <w:rsid w:val="00E55AE9"/>
    <w:rsid w:val="00E7229D"/>
    <w:rsid w:val="00EB0C84"/>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4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9B43DF"/>
    <w:pPr>
      <w:numPr>
        <w:numId w:val="1"/>
      </w:numPr>
      <w:tabs>
        <w:tab w:val="left" w:pos="425"/>
      </w:tabs>
      <w:spacing w:before="60" w:after="60"/>
      <w:ind w:left="425" w:hanging="425"/>
      <w:contextualSpacing/>
    </w:pPr>
    <w:rPr>
      <w:rFonts w:ascii="Arial" w:eastAsia="Times New Roman" w:hAnsi="Arial" w:cs="Arial"/>
      <w:i/>
      <w:iCs/>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DD3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mailto:https://www.vcaa.vic.edu.au/news-and-events/bulletins-and-updates/bulletin/Pages/index.aspx"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vcaa.vic.edu.au/curriculum/vce/vce-study-designs/history/advice-for-teachers/Pages/Index.aspx" TargetMode="External"/><Relationship Id="rId17" Type="http://schemas.openxmlformats.org/officeDocument/2006/relationships/hyperlink" Target="https://www.vcaa.vic.edu.au/assessment/vce-assessment/past-examinations/Pages/Ancient-History.aspx"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vcaa.vic.edu.au/assessment/vce-assessment/Pages/GlossaryofCommandTerm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curriculum/vce/vce-study-designs/history/Pages/Index.aspx"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vcaa.vic.edu.au/curriculum/vce/vce-study-designs/history/advice-for-teachers/Pages/Index.aspx" TargetMode="External"/><Relationship Id="rId23" Type="http://schemas.openxmlformats.org/officeDocument/2006/relationships/theme" Target="theme/theme1.xml"/><Relationship Id="rId10" Type="http://schemas.openxmlformats.org/officeDocument/2006/relationships/hyperlink" Target="https://www.vcaa.vic.edu.au/curriculum/vce/vce-study-designs/history/advice-for-teachers/Pages/Index.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caa.vic.edu.au/curriculum/vce/vce-study-designs/history/advice-for-teachers/Pages/CharacteristicsoftheStudy.aspx" TargetMode="External"/><Relationship Id="rId14" Type="http://schemas.openxmlformats.org/officeDocument/2006/relationships/hyperlink" Target="https://www.vcaa.vic.edu.au/administration/schooladministration/notices/Pages/index.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62C952C-1C8F-40A1-B230-1D31FC18F601}"/>
</file>

<file path=customXml/itemProps3.xml><?xml version="1.0" encoding="utf-8"?>
<ds:datastoreItem xmlns:ds="http://schemas.openxmlformats.org/officeDocument/2006/customXml" ds:itemID="{AF98C972-0E53-42E9-8A28-0BE21C5652D4}"/>
</file>

<file path=customXml/itemProps4.xml><?xml version="1.0" encoding="utf-8"?>
<ds:datastoreItem xmlns:ds="http://schemas.openxmlformats.org/officeDocument/2006/customXml" ds:itemID="{6F1BFC81-81E1-40CD-84DB-77FC21E8F7A9}"/>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VCE HISTORY: ANCIENT HISTORY (SPECIFICATIONS)</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HISTORY: ANCIENT HISTORY (SPECIFICATIONS)</dc:title>
  <dc:creator/>
  <cp:lastModifiedBy/>
  <cp:revision>1</cp:revision>
  <dcterms:created xsi:type="dcterms:W3CDTF">2025-03-03T04:51:00Z</dcterms:created>
  <dcterms:modified xsi:type="dcterms:W3CDTF">2025-03-03T05:09:00Z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