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FF82" w14:textId="7696CA73" w:rsidR="00302FB8" w:rsidRPr="00E53BCB" w:rsidRDefault="00B45F0C" w:rsidP="00E53BCB">
      <w:pPr>
        <w:pStyle w:val="Heading1"/>
      </w:pPr>
      <w:r w:rsidRPr="00E53BCB">
        <w:t xml:space="preserve">VCE Politics Units 3 and 4: Performance descriptors </w:t>
      </w:r>
    </w:p>
    <w:tbl>
      <w:tblPr>
        <w:tblStyle w:val="VCAATableClosed"/>
        <w:tblW w:w="14596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4596"/>
      </w:tblGrid>
      <w:tr w:rsidR="00B45F0C" w:rsidRPr="007C29E4" w14:paraId="27BFE34A" w14:textId="77777777" w:rsidTr="0065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96" w:type="dxa"/>
          </w:tcPr>
          <w:p w14:paraId="748150AA" w14:textId="77777777" w:rsidR="00B45F0C" w:rsidRDefault="00B45F0C" w:rsidP="008A5045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Politics </w:t>
            </w:r>
          </w:p>
          <w:p w14:paraId="318DCB60" w14:textId="2401CF7A" w:rsidR="00B45F0C" w:rsidRPr="00B45F0C" w:rsidRDefault="00B45F0C" w:rsidP="008A5045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 w:rsidRPr="00C80EEF">
              <w:rPr>
                <w:sz w:val="20"/>
                <w:szCs w:val="20"/>
                <w:lang w:eastAsia="en-AU"/>
              </w:rPr>
              <w:t xml:space="preserve">School-assessed </w:t>
            </w:r>
            <w:r>
              <w:rPr>
                <w:sz w:val="20"/>
                <w:szCs w:val="20"/>
                <w:lang w:eastAsia="en-AU"/>
              </w:rPr>
              <w:t>C</w:t>
            </w:r>
            <w:r w:rsidRPr="00C80EEF">
              <w:rPr>
                <w:sz w:val="20"/>
                <w:szCs w:val="20"/>
                <w:lang w:eastAsia="en-AU"/>
              </w:rPr>
              <w:t>oursework</w:t>
            </w:r>
          </w:p>
        </w:tc>
      </w:tr>
      <w:tr w:rsidR="00B45F0C" w:rsidRPr="007C29E4" w14:paraId="5BE52DCE" w14:textId="77777777" w:rsidTr="0065086C">
        <w:tc>
          <w:tcPr>
            <w:tcW w:w="14596" w:type="dxa"/>
          </w:tcPr>
          <w:p w14:paraId="723AFC12" w14:textId="6AE2CE93" w:rsidR="00B45F0C" w:rsidRPr="00B45F0C" w:rsidRDefault="00B45F0C" w:rsidP="00B45F0C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B45F0C">
              <w:rPr>
                <w:b/>
                <w:bCs/>
                <w:lang w:val="en-AU"/>
              </w:rPr>
              <w:t>Performance descriptors</w:t>
            </w:r>
          </w:p>
        </w:tc>
      </w:tr>
    </w:tbl>
    <w:p w14:paraId="321111D6" w14:textId="35D504C7" w:rsidR="00B45F0C" w:rsidRPr="00B45F0C" w:rsidRDefault="00B45F0C" w:rsidP="00B45F0C">
      <w:pPr>
        <w:spacing w:after="0"/>
        <w:rPr>
          <w:noProof/>
          <w:lang w:val="en-AU"/>
        </w:rPr>
      </w:pP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824"/>
        <w:gridCol w:w="1825"/>
        <w:gridCol w:w="1824"/>
        <w:gridCol w:w="1825"/>
        <w:gridCol w:w="1824"/>
        <w:gridCol w:w="1825"/>
        <w:gridCol w:w="1824"/>
        <w:gridCol w:w="1825"/>
      </w:tblGrid>
      <w:tr w:rsidR="00B45F0C" w:rsidRPr="007C29E4" w14:paraId="2A0E3E44" w14:textId="76D89E15" w:rsidTr="00E53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 w:val="0"/>
        </w:trPr>
        <w:tc>
          <w:tcPr>
            <w:tcW w:w="14596" w:type="dxa"/>
            <w:gridSpan w:val="8"/>
          </w:tcPr>
          <w:p w14:paraId="56CF5E0D" w14:textId="4275BA79" w:rsidR="00B45F0C" w:rsidRPr="00B45F0C" w:rsidRDefault="00B45F0C" w:rsidP="00B45F0C">
            <w:pPr>
              <w:pStyle w:val="Tablecondensedheading"/>
              <w:jc w:val="center"/>
              <w:rPr>
                <w:b w:val="0"/>
                <w:lang w:val="en-AU"/>
              </w:rPr>
            </w:pPr>
            <w:r>
              <w:rPr>
                <w:lang w:val="en-AU"/>
              </w:rPr>
              <w:t>DESCRIPTOR: typical performance in each range</w:t>
            </w:r>
          </w:p>
        </w:tc>
      </w:tr>
      <w:tr w:rsidR="002944FC" w:rsidRPr="007C29E4" w14:paraId="7BB098BE" w14:textId="6C58055E" w:rsidTr="00E53BCB">
        <w:trPr>
          <w:cantSplit/>
          <w:trHeight w:val="461"/>
        </w:trPr>
        <w:tc>
          <w:tcPr>
            <w:tcW w:w="1824" w:type="dxa"/>
            <w:vMerge w:val="restart"/>
          </w:tcPr>
          <w:p w14:paraId="69566530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348D716D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D4418CD" w14:textId="15CFB11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Unit </w:t>
            </w:r>
            <w:r w:rsidR="009C14E0">
              <w:rPr>
                <w:rFonts w:cs="Cordia New"/>
                <w:b/>
                <w:color w:val="221E1F"/>
                <w:sz w:val="18"/>
                <w:szCs w:val="18"/>
              </w:rPr>
              <w:t>4</w:t>
            </w:r>
          </w:p>
          <w:p w14:paraId="48785301" w14:textId="68344891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</w:t>
            </w:r>
            <w:r w:rsidR="008357DC">
              <w:rPr>
                <w:rFonts w:cs="Cordia New"/>
                <w:b/>
                <w:color w:val="221E1F"/>
                <w:sz w:val="18"/>
                <w:szCs w:val="18"/>
              </w:rPr>
              <w:t>2</w:t>
            </w: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58342821" w14:textId="7D2084E0" w:rsidR="0065086C" w:rsidRDefault="008357DC" w:rsidP="0065086C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8357DC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8357DC">
              <w:rPr>
                <w:rFonts w:cs="Cordia New"/>
                <w:bCs/>
                <w:color w:val="221E1F"/>
                <w:sz w:val="18"/>
                <w:szCs w:val="18"/>
              </w:rPr>
              <w:t xml:space="preserve"> different perspectives on Australia’s national interests in the Indo-Pacific region and evaluate the degree to which Australia’s pursuit of its national interests has resulted in cooperation or conflict with three states in the region.</w:t>
            </w:r>
          </w:p>
          <w:p w14:paraId="314066AB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E3C42D4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4FC5B0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0061FFF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0C2275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DF0B6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EACCB12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54156DE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09C2FD39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C2AC87E" w14:textId="0A493D53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Unit </w:t>
            </w:r>
            <w:r w:rsidR="009C14E0">
              <w:rPr>
                <w:rFonts w:cs="Cordia New"/>
                <w:b/>
                <w:color w:val="221E1F"/>
                <w:sz w:val="18"/>
                <w:szCs w:val="18"/>
              </w:rPr>
              <w:t>4</w:t>
            </w:r>
          </w:p>
          <w:p w14:paraId="405A6A5B" w14:textId="3DBFA464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</w:t>
            </w:r>
            <w:r w:rsidR="008357DC">
              <w:rPr>
                <w:rFonts w:cs="Cordia New"/>
                <w:b/>
                <w:color w:val="221E1F"/>
                <w:sz w:val="18"/>
                <w:szCs w:val="18"/>
              </w:rPr>
              <w:t>2</w:t>
            </w: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7F7779D6" w14:textId="7643FEC4" w:rsidR="0065086C" w:rsidRPr="008357DC" w:rsidRDefault="008357DC" w:rsidP="0065086C">
            <w:pPr>
              <w:pStyle w:val="Tablecondensed"/>
              <w:rPr>
                <w:bCs/>
              </w:rPr>
            </w:pPr>
            <w:proofErr w:type="spellStart"/>
            <w:r w:rsidRPr="008357DC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8357DC">
              <w:rPr>
                <w:rFonts w:cs="Cordia New"/>
                <w:bCs/>
                <w:color w:val="221E1F"/>
                <w:sz w:val="18"/>
                <w:szCs w:val="18"/>
              </w:rPr>
              <w:t xml:space="preserve"> different perspectives on Australia’s national interests in the Indo-Pacific region and evaluate the degree to which Australia’s pursuit of its national interests has resulted in cooperation or conflict with three states in the </w:t>
            </w:r>
            <w:proofErr w:type="gramStart"/>
            <w:r w:rsidRPr="008357DC">
              <w:rPr>
                <w:rFonts w:cs="Cordia New"/>
                <w:bCs/>
                <w:color w:val="221E1F"/>
                <w:sz w:val="18"/>
                <w:szCs w:val="18"/>
              </w:rPr>
              <w:t>region.</w:t>
            </w:r>
            <w:r w:rsidR="009C14E0" w:rsidRPr="009C14E0">
              <w:rPr>
                <w:rFonts w:cs="Cordia New"/>
                <w:bCs/>
                <w:color w:val="221E1F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825" w:type="dxa"/>
          </w:tcPr>
          <w:p w14:paraId="2589FD5B" w14:textId="46933CCD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lastRenderedPageBreak/>
              <w:t>Characteristics of the study</w:t>
            </w:r>
          </w:p>
        </w:tc>
        <w:tc>
          <w:tcPr>
            <w:tcW w:w="1824" w:type="dxa"/>
          </w:tcPr>
          <w:p w14:paraId="39C95437" w14:textId="6060E1E5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Key Skill</w:t>
            </w:r>
          </w:p>
        </w:tc>
        <w:tc>
          <w:tcPr>
            <w:tcW w:w="1825" w:type="dxa"/>
          </w:tcPr>
          <w:p w14:paraId="6DEC7712" w14:textId="28E23BE9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low</w:t>
            </w:r>
          </w:p>
        </w:tc>
        <w:tc>
          <w:tcPr>
            <w:tcW w:w="1824" w:type="dxa"/>
          </w:tcPr>
          <w:p w14:paraId="07D2CF87" w14:textId="43F8CD63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Low</w:t>
            </w:r>
          </w:p>
        </w:tc>
        <w:tc>
          <w:tcPr>
            <w:tcW w:w="1825" w:type="dxa"/>
          </w:tcPr>
          <w:p w14:paraId="3D702291" w14:textId="1CAEA93E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Medium</w:t>
            </w:r>
          </w:p>
        </w:tc>
        <w:tc>
          <w:tcPr>
            <w:tcW w:w="1824" w:type="dxa"/>
          </w:tcPr>
          <w:p w14:paraId="11EAFB2E" w14:textId="56A98343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High</w:t>
            </w:r>
          </w:p>
        </w:tc>
        <w:tc>
          <w:tcPr>
            <w:tcW w:w="1825" w:type="dxa"/>
          </w:tcPr>
          <w:p w14:paraId="7EB2D9C4" w14:textId="1DF67F67" w:rsidR="002944FC" w:rsidRPr="0080447F" w:rsidRDefault="002944FC" w:rsidP="00312B82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High</w:t>
            </w:r>
          </w:p>
        </w:tc>
      </w:tr>
      <w:tr w:rsidR="008357DC" w:rsidRPr="007C29E4" w14:paraId="3BACBE95" w14:textId="2E592E0A" w:rsidTr="00E53BCB">
        <w:trPr>
          <w:cantSplit/>
          <w:trHeight w:val="1435"/>
        </w:trPr>
        <w:tc>
          <w:tcPr>
            <w:tcW w:w="1824" w:type="dxa"/>
            <w:vMerge/>
          </w:tcPr>
          <w:p w14:paraId="08EFF951" w14:textId="5F8FA76B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  <w:vMerge w:val="restart"/>
          </w:tcPr>
          <w:p w14:paraId="1BF8EEE8" w14:textId="3AAB1030" w:rsidR="008357DC" w:rsidRPr="00B45F0C" w:rsidRDefault="008357DC" w:rsidP="008357DC">
            <w:pPr>
              <w:pStyle w:val="Tablecondensed"/>
            </w:pPr>
            <w:r w:rsidRPr="0080447F">
              <w:rPr>
                <w:b/>
                <w:bCs/>
              </w:rPr>
              <w:t>Undertaking political inquiry</w:t>
            </w:r>
          </w:p>
        </w:tc>
        <w:tc>
          <w:tcPr>
            <w:tcW w:w="1824" w:type="dxa"/>
          </w:tcPr>
          <w:p w14:paraId="5B17D0A9" w14:textId="028884B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 xml:space="preserve">Use and </w:t>
            </w: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a range of political questions to investigate how Australia acts in the region to achieve its national interests</w:t>
            </w:r>
          </w:p>
        </w:tc>
        <w:tc>
          <w:tcPr>
            <w:tcW w:w="1825" w:type="dxa"/>
          </w:tcPr>
          <w:p w14:paraId="6D9CDCE9" w14:textId="4472044E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Ask relevant questions</w:t>
            </w:r>
          </w:p>
        </w:tc>
        <w:tc>
          <w:tcPr>
            <w:tcW w:w="1824" w:type="dxa"/>
          </w:tcPr>
          <w:p w14:paraId="2E47F699" w14:textId="7E68B0B7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Ask specific, open-ended questions</w:t>
            </w:r>
          </w:p>
        </w:tc>
        <w:tc>
          <w:tcPr>
            <w:tcW w:w="1825" w:type="dxa"/>
          </w:tcPr>
          <w:p w14:paraId="19CC1191" w14:textId="509C32F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questions that investigate how Australia acts in the region to achieve its national interests</w:t>
            </w:r>
          </w:p>
        </w:tc>
        <w:tc>
          <w:tcPr>
            <w:tcW w:w="1824" w:type="dxa"/>
          </w:tcPr>
          <w:p w14:paraId="44CAB42D" w14:textId="2B72DB9D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Use questions to direct inquiry, including sub-questions that help answer a central question</w:t>
            </w:r>
          </w:p>
        </w:tc>
        <w:tc>
          <w:tcPr>
            <w:tcW w:w="1825" w:type="dxa"/>
          </w:tcPr>
          <w:p w14:paraId="2F6F0DA5" w14:textId="26F04AAF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how effectively questions guide the political inquiry</w:t>
            </w:r>
          </w:p>
        </w:tc>
      </w:tr>
      <w:tr w:rsidR="008357DC" w:rsidRPr="007C29E4" w14:paraId="4464AEDF" w14:textId="77777777" w:rsidTr="00E53BCB">
        <w:trPr>
          <w:cantSplit/>
          <w:trHeight w:val="624"/>
        </w:trPr>
        <w:tc>
          <w:tcPr>
            <w:tcW w:w="1824" w:type="dxa"/>
            <w:vMerge/>
          </w:tcPr>
          <w:p w14:paraId="51DCE012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  <w:vMerge/>
          </w:tcPr>
          <w:p w14:paraId="218CE1E4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4" w:type="dxa"/>
          </w:tcPr>
          <w:p w14:paraId="34C2A904" w14:textId="72C3485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and interpret a range of sources on Australia’s national interests</w:t>
            </w:r>
          </w:p>
        </w:tc>
        <w:tc>
          <w:tcPr>
            <w:tcW w:w="1825" w:type="dxa"/>
          </w:tcPr>
          <w:p w14:paraId="2ADAD958" w14:textId="2D53387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content of sources</w:t>
            </w:r>
          </w:p>
        </w:tc>
        <w:tc>
          <w:tcPr>
            <w:tcW w:w="1824" w:type="dxa"/>
          </w:tcPr>
          <w:p w14:paraId="28D0C51C" w14:textId="642E5C47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content of sources</w:t>
            </w:r>
          </w:p>
        </w:tc>
        <w:tc>
          <w:tcPr>
            <w:tcW w:w="1825" w:type="dxa"/>
          </w:tcPr>
          <w:p w14:paraId="6C26893A" w14:textId="7A114988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context of sources</w:t>
            </w:r>
          </w:p>
        </w:tc>
        <w:tc>
          <w:tcPr>
            <w:tcW w:w="1824" w:type="dxa"/>
          </w:tcPr>
          <w:p w14:paraId="1D6B6FE8" w14:textId="7B024D59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interpretations of sources</w:t>
            </w:r>
          </w:p>
        </w:tc>
        <w:tc>
          <w:tcPr>
            <w:tcW w:w="1825" w:type="dxa"/>
          </w:tcPr>
          <w:p w14:paraId="3DB0D83F" w14:textId="169CB26A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relationship between content, context, and purpose of sources</w:t>
            </w:r>
          </w:p>
        </w:tc>
      </w:tr>
      <w:tr w:rsidR="008357DC" w:rsidRPr="008357DC" w14:paraId="78ED21DF" w14:textId="77777777" w:rsidTr="00E53BCB">
        <w:trPr>
          <w:cantSplit/>
          <w:trHeight w:val="1134"/>
        </w:trPr>
        <w:tc>
          <w:tcPr>
            <w:tcW w:w="1824" w:type="dxa"/>
            <w:vMerge/>
          </w:tcPr>
          <w:p w14:paraId="5D0A00E5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63D12DBA" w14:textId="4B3F2B23" w:rsidR="008357DC" w:rsidRPr="00B45F0C" w:rsidRDefault="008357DC" w:rsidP="008357DC">
            <w:pPr>
              <w:pStyle w:val="Tablecondensed"/>
            </w:pPr>
            <w:r w:rsidRPr="0080447F">
              <w:rPr>
                <w:b/>
                <w:bCs/>
              </w:rPr>
              <w:t>Applying political concepts</w:t>
            </w:r>
          </w:p>
        </w:tc>
        <w:tc>
          <w:tcPr>
            <w:tcW w:w="1824" w:type="dxa"/>
          </w:tcPr>
          <w:p w14:paraId="6AD41EEC" w14:textId="2FC23572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Evaluate the effectiveness of Australia’s cooperation with three states in the region</w:t>
            </w:r>
          </w:p>
        </w:tc>
        <w:tc>
          <w:tcPr>
            <w:tcW w:w="1825" w:type="dxa"/>
          </w:tcPr>
          <w:p w14:paraId="66B32238" w14:textId="51B1036C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Australia’s relationship with three states in the region in pursuit of cooperation</w:t>
            </w:r>
          </w:p>
        </w:tc>
        <w:tc>
          <w:tcPr>
            <w:tcW w:w="1824" w:type="dxa"/>
          </w:tcPr>
          <w:p w14:paraId="01349A23" w14:textId="5696EE6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Australia’s relationship with three states in the region in pursuit of cooperation</w:t>
            </w:r>
          </w:p>
        </w:tc>
        <w:tc>
          <w:tcPr>
            <w:tcW w:w="1825" w:type="dxa"/>
          </w:tcPr>
          <w:p w14:paraId="5A09D162" w14:textId="0433002E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Australia’s relationship with three states in the region in pursuit of cooperation, with examples</w:t>
            </w:r>
          </w:p>
        </w:tc>
        <w:tc>
          <w:tcPr>
            <w:tcW w:w="1824" w:type="dxa"/>
          </w:tcPr>
          <w:p w14:paraId="45B27DEF" w14:textId="4AA553F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Compare Australia’s relationship with each of the three states in the region in achieving cooperation</w:t>
            </w:r>
          </w:p>
        </w:tc>
        <w:tc>
          <w:tcPr>
            <w:tcW w:w="1825" w:type="dxa"/>
          </w:tcPr>
          <w:p w14:paraId="6B961D40" w14:textId="556B8D9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Evaluate the effectiveness of Australia’s relationship with three states in the region in achieving cooperation</w:t>
            </w:r>
          </w:p>
        </w:tc>
      </w:tr>
      <w:tr w:rsidR="008357DC" w:rsidRPr="007C29E4" w14:paraId="2D23F927" w14:textId="77777777" w:rsidTr="00E53BCB">
        <w:trPr>
          <w:cantSplit/>
          <w:trHeight w:val="1134"/>
        </w:trPr>
        <w:tc>
          <w:tcPr>
            <w:tcW w:w="1824" w:type="dxa"/>
            <w:vMerge/>
          </w:tcPr>
          <w:p w14:paraId="3C397181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02C447B2" w14:textId="1AF632C3" w:rsidR="008357DC" w:rsidRPr="00B45F0C" w:rsidRDefault="008357DC" w:rsidP="008357DC">
            <w:pPr>
              <w:pStyle w:val="Tablecondensed"/>
            </w:pP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causes and consequences</w:t>
            </w:r>
          </w:p>
        </w:tc>
        <w:tc>
          <w:tcPr>
            <w:tcW w:w="1824" w:type="dxa"/>
          </w:tcPr>
          <w:p w14:paraId="3EFF255F" w14:textId="0B6169D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the causes and consequences of Australia’s use of power and foreign policy instruments in the region</w:t>
            </w:r>
          </w:p>
        </w:tc>
        <w:tc>
          <w:tcPr>
            <w:tcW w:w="1825" w:type="dxa"/>
          </w:tcPr>
          <w:p w14:paraId="5D497FB5" w14:textId="6BF73CB7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a cause of Australia’s use of power or foreign policy instrument</w:t>
            </w:r>
          </w:p>
        </w:tc>
        <w:tc>
          <w:tcPr>
            <w:tcW w:w="1824" w:type="dxa"/>
          </w:tcPr>
          <w:p w14:paraId="67B53D8F" w14:textId="09D25D1E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causes of Australia’s use of power and foreign policy instruments</w:t>
            </w:r>
          </w:p>
        </w:tc>
        <w:tc>
          <w:tcPr>
            <w:tcW w:w="1825" w:type="dxa"/>
          </w:tcPr>
          <w:p w14:paraId="2F078BFD" w14:textId="65AE82A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causes of Australia’s use of power and foreign policy instruments</w:t>
            </w:r>
          </w:p>
        </w:tc>
        <w:tc>
          <w:tcPr>
            <w:tcW w:w="1824" w:type="dxa"/>
          </w:tcPr>
          <w:p w14:paraId="4F92381C" w14:textId="72D6B07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the causes and consequences of Australia’s use of power and foreign policy instruments</w:t>
            </w:r>
          </w:p>
        </w:tc>
        <w:tc>
          <w:tcPr>
            <w:tcW w:w="1825" w:type="dxa"/>
          </w:tcPr>
          <w:p w14:paraId="377F63C9" w14:textId="19150BBC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the causes and consequences of Australia’s use of power and foreign policy instruments in the region</w:t>
            </w:r>
          </w:p>
        </w:tc>
      </w:tr>
      <w:tr w:rsidR="008357DC" w:rsidRPr="008357DC" w14:paraId="2591E346" w14:textId="77777777" w:rsidTr="00E53BCB">
        <w:trPr>
          <w:cantSplit/>
          <w:trHeight w:val="1134"/>
        </w:trPr>
        <w:tc>
          <w:tcPr>
            <w:tcW w:w="1824" w:type="dxa"/>
            <w:vMerge/>
          </w:tcPr>
          <w:p w14:paraId="0825666D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1DD713DB" w14:textId="20BE47E0" w:rsidR="008357DC" w:rsidRPr="00976596" w:rsidRDefault="008357DC" w:rsidP="008357DC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interests</w:t>
            </w:r>
          </w:p>
        </w:tc>
        <w:tc>
          <w:tcPr>
            <w:tcW w:w="1824" w:type="dxa"/>
          </w:tcPr>
          <w:p w14:paraId="5F216B22" w14:textId="13BE5E2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the impact of Australia’s pursuit of its national interests on other regional actors</w:t>
            </w:r>
          </w:p>
        </w:tc>
        <w:tc>
          <w:tcPr>
            <w:tcW w:w="1825" w:type="dxa"/>
          </w:tcPr>
          <w:p w14:paraId="2017E87F" w14:textId="4013C12D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the impact of Australia’s pursuit of at least one national interest on the region</w:t>
            </w:r>
          </w:p>
        </w:tc>
        <w:tc>
          <w:tcPr>
            <w:tcW w:w="1824" w:type="dxa"/>
          </w:tcPr>
          <w:p w14:paraId="503F0E40" w14:textId="3AC52683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the impact of Australia’s pursuit of its national interests on other regional actors, with examples</w:t>
            </w:r>
          </w:p>
        </w:tc>
        <w:tc>
          <w:tcPr>
            <w:tcW w:w="1825" w:type="dxa"/>
          </w:tcPr>
          <w:p w14:paraId="1E129D58" w14:textId="5180EF9A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the impact of Australia’s pursuit of its national interests on other regional actors</w:t>
            </w:r>
          </w:p>
        </w:tc>
        <w:tc>
          <w:tcPr>
            <w:tcW w:w="1824" w:type="dxa"/>
          </w:tcPr>
          <w:p w14:paraId="4B2B089E" w14:textId="4C5F6D5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Compare the impact of Australia’s pursuit of its national interests on different regional actors</w:t>
            </w:r>
          </w:p>
        </w:tc>
        <w:tc>
          <w:tcPr>
            <w:tcW w:w="1825" w:type="dxa"/>
          </w:tcPr>
          <w:p w14:paraId="4CF67275" w14:textId="787D2CC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the reasons for the impact of Australia’s pursuit of its national interests on other regional actors</w:t>
            </w:r>
          </w:p>
        </w:tc>
      </w:tr>
      <w:tr w:rsidR="008357DC" w:rsidRPr="007C29E4" w14:paraId="2392A43D" w14:textId="77777777" w:rsidTr="00E53BCB">
        <w:trPr>
          <w:cantSplit/>
          <w:trHeight w:val="1134"/>
        </w:trPr>
        <w:tc>
          <w:tcPr>
            <w:tcW w:w="1824" w:type="dxa"/>
            <w:vMerge/>
          </w:tcPr>
          <w:p w14:paraId="6002FE64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6DE63AF6" w14:textId="6948063B" w:rsidR="008357DC" w:rsidRPr="0080447F" w:rsidRDefault="008357DC" w:rsidP="008357DC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perspectives</w:t>
            </w:r>
          </w:p>
        </w:tc>
        <w:tc>
          <w:tcPr>
            <w:tcW w:w="1824" w:type="dxa"/>
          </w:tcPr>
          <w:p w14:paraId="3470DA24" w14:textId="4506D6B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different perspectives on Australia’s national interests and actions in the region</w:t>
            </w:r>
          </w:p>
        </w:tc>
        <w:tc>
          <w:tcPr>
            <w:tcW w:w="1825" w:type="dxa"/>
          </w:tcPr>
          <w:p w14:paraId="686D6AC5" w14:textId="7062DEA7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 xml:space="preserve">Identify more than one perspective for each national interest of Australia </w:t>
            </w:r>
          </w:p>
        </w:tc>
        <w:tc>
          <w:tcPr>
            <w:tcW w:w="1824" w:type="dxa"/>
          </w:tcPr>
          <w:p w14:paraId="48A603A6" w14:textId="7A3ABAD3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differing perspectives in the region for each national interest of Australia, with examples</w:t>
            </w:r>
          </w:p>
        </w:tc>
        <w:tc>
          <w:tcPr>
            <w:tcW w:w="1825" w:type="dxa"/>
          </w:tcPr>
          <w:p w14:paraId="23E6C95A" w14:textId="32A13AC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differing perspectives for each national interest of Australia</w:t>
            </w:r>
          </w:p>
        </w:tc>
        <w:tc>
          <w:tcPr>
            <w:tcW w:w="1824" w:type="dxa"/>
          </w:tcPr>
          <w:p w14:paraId="67C75790" w14:textId="37FF401A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the reasons for the differing perspectives on Australia’s national interests and actions in the region</w:t>
            </w:r>
          </w:p>
        </w:tc>
        <w:tc>
          <w:tcPr>
            <w:tcW w:w="1825" w:type="dxa"/>
          </w:tcPr>
          <w:p w14:paraId="65770F4B" w14:textId="1589ACB2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the connections between perspectives across the national interests and actions in the region by Australia</w:t>
            </w:r>
          </w:p>
        </w:tc>
      </w:tr>
      <w:tr w:rsidR="008357DC" w:rsidRPr="007C29E4" w14:paraId="297DC7AF" w14:textId="77777777" w:rsidTr="00E53BCB">
        <w:trPr>
          <w:cantSplit/>
          <w:trHeight w:val="624"/>
        </w:trPr>
        <w:tc>
          <w:tcPr>
            <w:tcW w:w="1824" w:type="dxa"/>
            <w:vMerge/>
          </w:tcPr>
          <w:p w14:paraId="7E9B3667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20DBE27A" w14:textId="77777777" w:rsidR="008357DC" w:rsidRPr="0080447F" w:rsidRDefault="008357DC" w:rsidP="008357DC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>Discussing political stability and change</w:t>
            </w:r>
          </w:p>
          <w:p w14:paraId="238309CE" w14:textId="77777777" w:rsidR="008357DC" w:rsidRPr="0080447F" w:rsidRDefault="008357DC" w:rsidP="008357DC">
            <w:pPr>
              <w:pStyle w:val="Tablecondensed"/>
              <w:rPr>
                <w:b/>
                <w:bCs/>
              </w:rPr>
            </w:pPr>
          </w:p>
        </w:tc>
        <w:tc>
          <w:tcPr>
            <w:tcW w:w="1824" w:type="dxa"/>
          </w:tcPr>
          <w:p w14:paraId="751BDC1B" w14:textId="1B9AE2EC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Discuss the extent to which Australia has contributed to political stability and/or change in the region</w:t>
            </w:r>
          </w:p>
        </w:tc>
        <w:tc>
          <w:tcPr>
            <w:tcW w:w="1825" w:type="dxa"/>
          </w:tcPr>
          <w:p w14:paraId="48D7E175" w14:textId="436692B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actions of Australia in the region</w:t>
            </w:r>
          </w:p>
        </w:tc>
        <w:tc>
          <w:tcPr>
            <w:tcW w:w="1824" w:type="dxa"/>
          </w:tcPr>
          <w:p w14:paraId="1CF123D7" w14:textId="643A958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how the actions of Australia contributed to political stability and/or change in the region, with examples</w:t>
            </w:r>
          </w:p>
        </w:tc>
        <w:tc>
          <w:tcPr>
            <w:tcW w:w="1825" w:type="dxa"/>
          </w:tcPr>
          <w:p w14:paraId="69F8BCE1" w14:textId="6CA9435F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how Australia has contributed to political stability and/or change in the region</w:t>
            </w:r>
          </w:p>
        </w:tc>
        <w:tc>
          <w:tcPr>
            <w:tcW w:w="1824" w:type="dxa"/>
          </w:tcPr>
          <w:p w14:paraId="0672F269" w14:textId="3F8330FE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how Australia has contributed to political stability and/or change in the region</w:t>
            </w:r>
          </w:p>
        </w:tc>
        <w:tc>
          <w:tcPr>
            <w:tcW w:w="1825" w:type="dxa"/>
          </w:tcPr>
          <w:p w14:paraId="02CA647D" w14:textId="160FE170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 xml:space="preserve">Discuss the extent of change in the region </w:t>
            </w:r>
            <w:proofErr w:type="gramStart"/>
            <w:r w:rsidRPr="00E53BCB">
              <w:rPr>
                <w:color w:val="000000" w:themeColor="text1"/>
                <w:sz w:val="18"/>
                <w:szCs w:val="18"/>
              </w:rPr>
              <w:t>as a consequence of</w:t>
            </w:r>
            <w:proofErr w:type="gramEnd"/>
            <w:r w:rsidRPr="00E53BCB">
              <w:rPr>
                <w:color w:val="000000" w:themeColor="text1"/>
                <w:sz w:val="18"/>
                <w:szCs w:val="18"/>
              </w:rPr>
              <w:t xml:space="preserve"> the actions of Australia</w:t>
            </w:r>
          </w:p>
        </w:tc>
      </w:tr>
      <w:tr w:rsidR="008357DC" w:rsidRPr="007C29E4" w14:paraId="4F3BC483" w14:textId="77777777" w:rsidTr="00E53BCB">
        <w:trPr>
          <w:cantSplit/>
          <w:trHeight w:val="1134"/>
        </w:trPr>
        <w:tc>
          <w:tcPr>
            <w:tcW w:w="1824" w:type="dxa"/>
            <w:vMerge/>
          </w:tcPr>
          <w:p w14:paraId="1A2F3013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1F53FFC1" w14:textId="0A47E72D" w:rsidR="008357DC" w:rsidRPr="00976596" w:rsidRDefault="008357DC" w:rsidP="008357DC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Evaluating political significance</w:t>
            </w:r>
          </w:p>
        </w:tc>
        <w:tc>
          <w:tcPr>
            <w:tcW w:w="1824" w:type="dxa"/>
          </w:tcPr>
          <w:p w14:paraId="74874116" w14:textId="4418802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Evaluate the political significance of Australia’s actions in the region</w:t>
            </w:r>
          </w:p>
        </w:tc>
        <w:tc>
          <w:tcPr>
            <w:tcW w:w="1825" w:type="dxa"/>
          </w:tcPr>
          <w:p w14:paraId="03D8EF1E" w14:textId="31A4A75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the political significance of Australia’s actions in the region</w:t>
            </w:r>
          </w:p>
        </w:tc>
        <w:tc>
          <w:tcPr>
            <w:tcW w:w="1824" w:type="dxa"/>
          </w:tcPr>
          <w:p w14:paraId="345A0AC5" w14:textId="05DC67D1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Describe the political significance of Australia’s actions in the region</w:t>
            </w:r>
          </w:p>
        </w:tc>
        <w:tc>
          <w:tcPr>
            <w:tcW w:w="1825" w:type="dxa"/>
          </w:tcPr>
          <w:p w14:paraId="7D5BFC3B" w14:textId="2C12C68F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 the political significance of Australia’s actions in the region, using explicit criteria</w:t>
            </w:r>
          </w:p>
        </w:tc>
        <w:tc>
          <w:tcPr>
            <w:tcW w:w="1824" w:type="dxa"/>
          </w:tcPr>
          <w:p w14:paraId="4CE86D60" w14:textId="3D0BE3F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53BCB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53BCB">
              <w:rPr>
                <w:color w:val="000000" w:themeColor="text1"/>
                <w:sz w:val="18"/>
                <w:szCs w:val="18"/>
              </w:rPr>
              <w:t xml:space="preserve"> the political significance of Australia’s actions in the region, using multiple sources of evidence </w:t>
            </w:r>
          </w:p>
        </w:tc>
        <w:tc>
          <w:tcPr>
            <w:tcW w:w="1825" w:type="dxa"/>
          </w:tcPr>
          <w:p w14:paraId="0BB8E527" w14:textId="62FD45E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Evaluate the political significance of Australia’s actions in the region, drawing on explicit criteria and sources</w:t>
            </w:r>
          </w:p>
        </w:tc>
      </w:tr>
      <w:tr w:rsidR="008357DC" w:rsidRPr="007C29E4" w14:paraId="224ABD84" w14:textId="77777777" w:rsidTr="00E53BCB">
        <w:trPr>
          <w:cantSplit/>
          <w:trHeight w:val="70"/>
        </w:trPr>
        <w:tc>
          <w:tcPr>
            <w:tcW w:w="1824" w:type="dxa"/>
            <w:vMerge/>
          </w:tcPr>
          <w:p w14:paraId="50DB5E94" w14:textId="77777777" w:rsidR="008357DC" w:rsidRPr="00B45F0C" w:rsidRDefault="008357DC" w:rsidP="008357DC">
            <w:pPr>
              <w:pStyle w:val="Tablecondensed"/>
            </w:pPr>
          </w:p>
        </w:tc>
        <w:tc>
          <w:tcPr>
            <w:tcW w:w="1825" w:type="dxa"/>
          </w:tcPr>
          <w:p w14:paraId="0AC84540" w14:textId="740F5597" w:rsidR="008357DC" w:rsidRPr="00976596" w:rsidRDefault="008357DC" w:rsidP="008357DC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Constructing reasoned and evidence-informed arguments</w:t>
            </w:r>
          </w:p>
        </w:tc>
        <w:tc>
          <w:tcPr>
            <w:tcW w:w="1824" w:type="dxa"/>
          </w:tcPr>
          <w:p w14:paraId="40154C37" w14:textId="26120D9F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Construct an argument to evaluate the significance and effectiveness of Australia’s pursuit of its national interests, using evidence from sources</w:t>
            </w:r>
          </w:p>
        </w:tc>
        <w:tc>
          <w:tcPr>
            <w:tcW w:w="1825" w:type="dxa"/>
          </w:tcPr>
          <w:p w14:paraId="0C19BB04" w14:textId="5223C80D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accurate knowledge concerning Australia’s pursuit of its national interests</w:t>
            </w:r>
          </w:p>
        </w:tc>
        <w:tc>
          <w:tcPr>
            <w:tcW w:w="1824" w:type="dxa"/>
          </w:tcPr>
          <w:p w14:paraId="5228448B" w14:textId="42510C92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Identify key ideas for an argument about the significance and effectiveness of Australia’s pursuit of its national interests</w:t>
            </w:r>
          </w:p>
        </w:tc>
        <w:tc>
          <w:tcPr>
            <w:tcW w:w="1825" w:type="dxa"/>
          </w:tcPr>
          <w:p w14:paraId="6DDA7C42" w14:textId="7AAFBE5B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Uses relevant knowledge and evidence in response to a question about the significance and effectiveness of Australia’s pursuit of its national interests</w:t>
            </w:r>
          </w:p>
        </w:tc>
        <w:tc>
          <w:tcPr>
            <w:tcW w:w="1824" w:type="dxa"/>
          </w:tcPr>
          <w:p w14:paraId="71DDE22A" w14:textId="3A2A6444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Explains the relationship between key knowledge, evidence, and concepts in response to a question about the significance and effectiveness of Australia’s pursuit of its national interests</w:t>
            </w:r>
          </w:p>
        </w:tc>
        <w:tc>
          <w:tcPr>
            <w:tcW w:w="1825" w:type="dxa"/>
          </w:tcPr>
          <w:p w14:paraId="683A5E91" w14:textId="6D9514A5" w:rsidR="008357DC" w:rsidRPr="00E53BCB" w:rsidRDefault="008357DC" w:rsidP="00E53BCB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53BCB">
              <w:rPr>
                <w:color w:val="000000" w:themeColor="text1"/>
                <w:sz w:val="18"/>
                <w:szCs w:val="18"/>
              </w:rPr>
              <w:t>Synthesis of key knowledge, evidence, and concepts into a reasoned argument concerning the significance and effectiveness of Australia’s pursuit of its national interests</w:t>
            </w:r>
          </w:p>
        </w:tc>
      </w:tr>
    </w:tbl>
    <w:p w14:paraId="5D510EA3" w14:textId="77777777" w:rsidR="002944FC" w:rsidRPr="00850356" w:rsidRDefault="002944FC" w:rsidP="002944FC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5</w:t>
      </w:r>
      <w:r w:rsidRPr="00850356">
        <w:rPr>
          <w:rFonts w:ascii="Arial Narrow" w:hAnsi="Arial Narrow" w:cs="Arial"/>
          <w:sz w:val="20"/>
          <w:szCs w:val="20"/>
        </w:rPr>
        <w:t xml:space="preserve">0 </w:t>
      </w:r>
      <w:proofErr w:type="gramStart"/>
      <w:r w:rsidRPr="00850356">
        <w:rPr>
          <w:rFonts w:ascii="Arial Narrow" w:hAnsi="Arial Narrow" w:cs="Arial"/>
          <w:sz w:val="20"/>
          <w:szCs w:val="20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2944FC" w:rsidRPr="007D0AF8" w14:paraId="2D8CEB00" w14:textId="77777777" w:rsidTr="00D50006">
        <w:trPr>
          <w:trHeight w:val="170"/>
        </w:trPr>
        <w:tc>
          <w:tcPr>
            <w:tcW w:w="2318" w:type="dxa"/>
            <w:vAlign w:val="center"/>
          </w:tcPr>
          <w:p w14:paraId="09AB6BD2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1053FA49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00B56F55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4B7CB4D1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0A31A4D3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2B976676" w14:textId="1C769FBE" w:rsidR="002647BB" w:rsidRPr="007C29E4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BCD49E1" w:rsidR="00FD29D3" w:rsidRPr="00FB42AE" w:rsidRDefault="00E53BCB" w:rsidP="00D86DE4">
    <w:pPr>
      <w:pStyle w:val="Captionsandfootnotes"/>
      <w:rPr>
        <w:color w:val="auto"/>
      </w:rPr>
    </w:pPr>
    <w:r>
      <w:rPr>
        <w:color w:val="auto"/>
      </w:rPr>
      <w:t xml:space="preserve"> </w:t>
    </w: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auto"/>
            <w:lang w:val="en-AU"/>
          </w:rPr>
          <w:t>VCE Politics: Unit 4 Outcome 2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03BE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B1622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944FC"/>
    <w:rsid w:val="002C6F90"/>
    <w:rsid w:val="002E4FB5"/>
    <w:rsid w:val="00302FB8"/>
    <w:rsid w:val="00304EA1"/>
    <w:rsid w:val="00310F00"/>
    <w:rsid w:val="00312B82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5086C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0447F"/>
    <w:rsid w:val="00813C37"/>
    <w:rsid w:val="008154B5"/>
    <w:rsid w:val="008163CD"/>
    <w:rsid w:val="00823962"/>
    <w:rsid w:val="008357DC"/>
    <w:rsid w:val="00852719"/>
    <w:rsid w:val="00860115"/>
    <w:rsid w:val="0088783C"/>
    <w:rsid w:val="00897B23"/>
    <w:rsid w:val="008A5045"/>
    <w:rsid w:val="009370BC"/>
    <w:rsid w:val="00970580"/>
    <w:rsid w:val="0098739B"/>
    <w:rsid w:val="009B61E5"/>
    <w:rsid w:val="009C14E0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45F0C"/>
    <w:rsid w:val="00B53229"/>
    <w:rsid w:val="00B62480"/>
    <w:rsid w:val="00B81B70"/>
    <w:rsid w:val="00BB3BAB"/>
    <w:rsid w:val="00BD0724"/>
    <w:rsid w:val="00BD2B91"/>
    <w:rsid w:val="00BE5521"/>
    <w:rsid w:val="00BF051B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3BCB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2">
    <w:name w:val="VCAA Heading 2"/>
    <w:next w:val="Normal"/>
    <w:qFormat/>
    <w:rsid w:val="00B45F0C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numbers">
    <w:name w:val="VCAA numbers"/>
    <w:basedOn w:val="Normal"/>
    <w:qFormat/>
    <w:rsid w:val="00B45F0C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customStyle="1" w:styleId="VCAAHeading1">
    <w:name w:val="VCAA Heading 1"/>
    <w:qFormat/>
    <w:rsid w:val="0065086C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5D2B3D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f77e68f7-c052-4667-a1a6-124cfe860c79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91390586-87fb-46cf-92ab-e8c7138719e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Politics: Unit 4 Outcome 2 Performance Descriptors</vt:lpstr>
    </vt:vector>
  </TitlesOfParts>
  <Company>Victorian Curriculum and Assessment Authority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Politics: Unit 4 Outcome 2 Performance Descriptors</dc:title>
  <dc:subject/>
  <dc:creator>Derek Tolan</dc:creator>
  <cp:keywords/>
  <cp:lastModifiedBy>Vanessa Flores</cp:lastModifiedBy>
  <cp:revision>13</cp:revision>
  <cp:lastPrinted>2015-05-15T02:36:00Z</cp:lastPrinted>
  <dcterms:created xsi:type="dcterms:W3CDTF">2025-05-29T03:49:00Z</dcterms:created>
  <dcterms:modified xsi:type="dcterms:W3CDTF">2025-06-03T03:35:00Z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