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485F8B8D" w:rsidR="00F4525C" w:rsidRPr="00332F76" w:rsidRDefault="00FD10A9" w:rsidP="00F178F3">
      <w:pPr>
        <w:pStyle w:val="Documenttitle"/>
        <w:rPr>
          <w:noProof w:val="0"/>
        </w:rPr>
      </w:pPr>
      <w:r w:rsidRPr="00332F76">
        <w:rPr>
          <w:noProof w:val="0"/>
        </w:rPr>
        <w:t>2025 VCE Art Creative Practice external assessment report</w:t>
      </w:r>
    </w:p>
    <w:p w14:paraId="676ABC72" w14:textId="77777777" w:rsidR="00C37031" w:rsidRPr="00332F76" w:rsidRDefault="00C37031" w:rsidP="00DF7107">
      <w:pPr>
        <w:pStyle w:val="BodyText"/>
      </w:pPr>
      <w:r w:rsidRPr="00332F76">
        <w:t>Note: Student responses reproduced in this report have not been corrected for grammar, spelling or factual information.</w:t>
      </w:r>
    </w:p>
    <w:p w14:paraId="59D26C60" w14:textId="0BE4E67B" w:rsidR="00DF7107" w:rsidRPr="00332F76" w:rsidRDefault="00DF7107" w:rsidP="00DF7107">
      <w:pPr>
        <w:pStyle w:val="BodyText"/>
      </w:pPr>
      <w:r w:rsidRPr="00332F76">
        <w:t>This report provides sample answers or an indication of what answers may have included. Unless otherwise stated, these are not intended to be exemplary or complete responses</w:t>
      </w:r>
      <w:r w:rsidR="00F178F3" w:rsidRPr="00332F76">
        <w:t>.</w:t>
      </w:r>
      <w:r w:rsidRPr="00332F76">
        <w:rPr>
          <w:highlight w:val="lightGray"/>
        </w:rPr>
        <w:t xml:space="preserve"> </w:t>
      </w:r>
    </w:p>
    <w:p w14:paraId="78948898" w14:textId="35EAFAAD" w:rsidR="00DF7107" w:rsidRPr="00332F76" w:rsidRDefault="00DF7107" w:rsidP="00DF7107">
      <w:pPr>
        <w:pStyle w:val="BodyText"/>
      </w:pPr>
      <w:r w:rsidRPr="00332F76">
        <w:t>The statistics in this report may be subject to rounding</w:t>
      </w:r>
      <w:r w:rsidR="00F45FFD" w:rsidRPr="00332F76">
        <w:t>,</w:t>
      </w:r>
      <w:r w:rsidRPr="00332F76">
        <w:t xml:space="preserve"> resulting in a total </w:t>
      </w:r>
      <w:r w:rsidR="00F45FFD" w:rsidRPr="00332F76">
        <w:t xml:space="preserve">of </w:t>
      </w:r>
      <w:r w:rsidRPr="00332F76">
        <w:t>more or less than 100 per cent.</w:t>
      </w:r>
    </w:p>
    <w:p w14:paraId="47340580" w14:textId="657229C4" w:rsidR="000079FF" w:rsidRPr="00332F76" w:rsidRDefault="000079FF" w:rsidP="00A23DEA">
      <w:pPr>
        <w:pStyle w:val="Heading1"/>
      </w:pPr>
      <w:r w:rsidRPr="00332F76">
        <w:t>Question 1</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864"/>
      </w:tblGrid>
      <w:tr w:rsidR="00271CF5" w:rsidRPr="00332F76" w14:paraId="54D9625F" w14:textId="77777777" w:rsidTr="00113C44">
        <w:trPr>
          <w:cnfStyle w:val="100000000000" w:firstRow="1" w:lastRow="0" w:firstColumn="0" w:lastColumn="0" w:oddVBand="0" w:evenVBand="0" w:oddHBand="0" w:evenHBand="0" w:firstRowFirstColumn="0" w:firstRowLastColumn="0" w:lastRowFirstColumn="0" w:lastRowLastColumn="0"/>
        </w:trPr>
        <w:tc>
          <w:tcPr>
            <w:tcW w:w="599" w:type="dxa"/>
          </w:tcPr>
          <w:p w14:paraId="23061602" w14:textId="77777777" w:rsidR="00271CF5" w:rsidRPr="00332F76" w:rsidRDefault="00271CF5" w:rsidP="00271CF5">
            <w:pPr>
              <w:pStyle w:val="Tablecondensedheading"/>
              <w:rPr>
                <w:lang w:val="en-AU"/>
              </w:rPr>
            </w:pPr>
            <w:r w:rsidRPr="00332F76">
              <w:rPr>
                <w:lang w:val="en-AU"/>
              </w:rPr>
              <w:t>Mark</w:t>
            </w:r>
          </w:p>
        </w:tc>
        <w:tc>
          <w:tcPr>
            <w:tcW w:w="576" w:type="dxa"/>
          </w:tcPr>
          <w:p w14:paraId="3B8720AB" w14:textId="77777777" w:rsidR="00271CF5" w:rsidRPr="00332F76" w:rsidRDefault="00271CF5" w:rsidP="00271CF5">
            <w:pPr>
              <w:pStyle w:val="Tablecondensedheading"/>
              <w:rPr>
                <w:lang w:val="en-AU"/>
              </w:rPr>
            </w:pPr>
            <w:r w:rsidRPr="00332F76">
              <w:rPr>
                <w:lang w:val="en-AU"/>
              </w:rPr>
              <w:t>0</w:t>
            </w:r>
          </w:p>
        </w:tc>
        <w:tc>
          <w:tcPr>
            <w:tcW w:w="576" w:type="dxa"/>
          </w:tcPr>
          <w:p w14:paraId="49FD2713" w14:textId="77777777" w:rsidR="00271CF5" w:rsidRPr="00332F76" w:rsidRDefault="00271CF5" w:rsidP="00271CF5">
            <w:pPr>
              <w:pStyle w:val="Tablecondensedheading"/>
              <w:rPr>
                <w:lang w:val="en-AU"/>
              </w:rPr>
            </w:pPr>
            <w:r w:rsidRPr="00332F76">
              <w:rPr>
                <w:lang w:val="en-AU"/>
              </w:rPr>
              <w:t>1</w:t>
            </w:r>
          </w:p>
        </w:tc>
        <w:tc>
          <w:tcPr>
            <w:tcW w:w="576" w:type="dxa"/>
          </w:tcPr>
          <w:p w14:paraId="0FD0CD69" w14:textId="77777777" w:rsidR="00271CF5" w:rsidRPr="00332F76" w:rsidRDefault="00271CF5" w:rsidP="00271CF5">
            <w:pPr>
              <w:pStyle w:val="Tablecondensedheading"/>
              <w:rPr>
                <w:lang w:val="en-AU"/>
              </w:rPr>
            </w:pPr>
            <w:r w:rsidRPr="00332F76">
              <w:rPr>
                <w:lang w:val="en-AU"/>
              </w:rPr>
              <w:t>2</w:t>
            </w:r>
          </w:p>
        </w:tc>
        <w:tc>
          <w:tcPr>
            <w:tcW w:w="576" w:type="dxa"/>
          </w:tcPr>
          <w:p w14:paraId="5864EFE3" w14:textId="77777777" w:rsidR="00271CF5" w:rsidRPr="00332F76" w:rsidRDefault="00271CF5" w:rsidP="00271CF5">
            <w:pPr>
              <w:pStyle w:val="Tablecondensedheading"/>
              <w:rPr>
                <w:lang w:val="en-AU"/>
              </w:rPr>
            </w:pPr>
            <w:r w:rsidRPr="00332F76">
              <w:rPr>
                <w:lang w:val="en-AU"/>
              </w:rPr>
              <w:t>3</w:t>
            </w:r>
          </w:p>
        </w:tc>
        <w:tc>
          <w:tcPr>
            <w:tcW w:w="576" w:type="dxa"/>
          </w:tcPr>
          <w:p w14:paraId="7BD34333" w14:textId="01050154" w:rsidR="00271CF5" w:rsidRPr="00332F76" w:rsidRDefault="00271CF5" w:rsidP="00271CF5">
            <w:pPr>
              <w:pStyle w:val="Tablecondensedheading"/>
              <w:rPr>
                <w:lang w:val="en-AU"/>
              </w:rPr>
            </w:pPr>
            <w:r w:rsidRPr="00332F76">
              <w:rPr>
                <w:lang w:val="en-AU"/>
              </w:rPr>
              <w:t>4</w:t>
            </w:r>
          </w:p>
        </w:tc>
        <w:tc>
          <w:tcPr>
            <w:tcW w:w="576" w:type="dxa"/>
          </w:tcPr>
          <w:p w14:paraId="3353C0E4" w14:textId="70FA5A6B" w:rsidR="00271CF5" w:rsidRPr="00332F76" w:rsidRDefault="00271CF5" w:rsidP="00271CF5">
            <w:pPr>
              <w:pStyle w:val="Tablecondensedheading"/>
              <w:rPr>
                <w:lang w:val="en-AU"/>
              </w:rPr>
            </w:pPr>
            <w:r w:rsidRPr="00332F76">
              <w:rPr>
                <w:lang w:val="en-AU"/>
              </w:rPr>
              <w:t>5</w:t>
            </w:r>
          </w:p>
        </w:tc>
        <w:tc>
          <w:tcPr>
            <w:tcW w:w="864" w:type="dxa"/>
          </w:tcPr>
          <w:p w14:paraId="2F1BB41C" w14:textId="77777777" w:rsidR="00271CF5" w:rsidRPr="00332F76" w:rsidRDefault="00271CF5" w:rsidP="00271CF5">
            <w:pPr>
              <w:pStyle w:val="Tablecondensedheading"/>
              <w:rPr>
                <w:lang w:val="en-AU"/>
              </w:rPr>
            </w:pPr>
            <w:r w:rsidRPr="00332F76">
              <w:rPr>
                <w:lang w:val="en-AU"/>
              </w:rPr>
              <w:t>Average</w:t>
            </w:r>
          </w:p>
        </w:tc>
      </w:tr>
      <w:tr w:rsidR="00271CF5" w:rsidRPr="00332F76" w14:paraId="2EDF1933" w14:textId="77777777" w:rsidTr="00113C44">
        <w:tc>
          <w:tcPr>
            <w:tcW w:w="599" w:type="dxa"/>
          </w:tcPr>
          <w:p w14:paraId="329FCC4D" w14:textId="77777777" w:rsidR="00271CF5" w:rsidRPr="00332F76" w:rsidRDefault="00271CF5" w:rsidP="00271CF5">
            <w:pPr>
              <w:pStyle w:val="Tablecondensed"/>
              <w:rPr>
                <w:lang w:val="en-AU"/>
              </w:rPr>
            </w:pPr>
            <w:r w:rsidRPr="00332F76">
              <w:rPr>
                <w:lang w:val="en-AU"/>
              </w:rPr>
              <w:t>%</w:t>
            </w:r>
          </w:p>
        </w:tc>
        <w:tc>
          <w:tcPr>
            <w:tcW w:w="576" w:type="dxa"/>
          </w:tcPr>
          <w:p w14:paraId="376D6E21" w14:textId="53B2B66F" w:rsidR="00271CF5" w:rsidRPr="00332F76" w:rsidRDefault="00271CF5" w:rsidP="00271CF5">
            <w:pPr>
              <w:pStyle w:val="Tablecondensed"/>
              <w:rPr>
                <w:lang w:val="en-AU"/>
              </w:rPr>
            </w:pPr>
            <w:r w:rsidRPr="00332F76">
              <w:rPr>
                <w:lang w:val="en-AU"/>
              </w:rPr>
              <w:t>1</w:t>
            </w:r>
          </w:p>
        </w:tc>
        <w:tc>
          <w:tcPr>
            <w:tcW w:w="576" w:type="dxa"/>
          </w:tcPr>
          <w:p w14:paraId="7C26BEC0" w14:textId="6F56F158" w:rsidR="00271CF5" w:rsidRPr="00332F76" w:rsidRDefault="00271CF5" w:rsidP="00271CF5">
            <w:pPr>
              <w:pStyle w:val="Tablecondensed"/>
              <w:rPr>
                <w:lang w:val="en-AU"/>
              </w:rPr>
            </w:pPr>
            <w:r w:rsidRPr="00332F76">
              <w:rPr>
                <w:lang w:val="en-AU"/>
              </w:rPr>
              <w:t>0.4</w:t>
            </w:r>
          </w:p>
        </w:tc>
        <w:tc>
          <w:tcPr>
            <w:tcW w:w="576" w:type="dxa"/>
          </w:tcPr>
          <w:p w14:paraId="7570D8FD" w14:textId="45843E94" w:rsidR="00271CF5" w:rsidRPr="00332F76" w:rsidRDefault="00271CF5" w:rsidP="00271CF5">
            <w:pPr>
              <w:pStyle w:val="Tablecondensed"/>
              <w:rPr>
                <w:lang w:val="en-AU"/>
              </w:rPr>
            </w:pPr>
            <w:r w:rsidRPr="00332F76">
              <w:rPr>
                <w:lang w:val="en-AU"/>
              </w:rPr>
              <w:t>3</w:t>
            </w:r>
          </w:p>
        </w:tc>
        <w:tc>
          <w:tcPr>
            <w:tcW w:w="576" w:type="dxa"/>
          </w:tcPr>
          <w:p w14:paraId="05414AE3" w14:textId="7D618D14" w:rsidR="00271CF5" w:rsidRPr="00332F76" w:rsidRDefault="00271CF5" w:rsidP="00271CF5">
            <w:pPr>
              <w:pStyle w:val="Tablecondensed"/>
              <w:rPr>
                <w:lang w:val="en-AU"/>
              </w:rPr>
            </w:pPr>
            <w:r w:rsidRPr="00332F76">
              <w:rPr>
                <w:lang w:val="en-AU"/>
              </w:rPr>
              <w:t>16</w:t>
            </w:r>
          </w:p>
        </w:tc>
        <w:tc>
          <w:tcPr>
            <w:tcW w:w="576" w:type="dxa"/>
          </w:tcPr>
          <w:p w14:paraId="2D65E891" w14:textId="226E25E3" w:rsidR="00271CF5" w:rsidRPr="00332F76" w:rsidRDefault="00271CF5" w:rsidP="00271CF5">
            <w:pPr>
              <w:pStyle w:val="Tablecondensed"/>
              <w:rPr>
                <w:lang w:val="en-AU"/>
              </w:rPr>
            </w:pPr>
            <w:r w:rsidRPr="00332F76">
              <w:rPr>
                <w:lang w:val="en-AU"/>
              </w:rPr>
              <w:t>45</w:t>
            </w:r>
          </w:p>
        </w:tc>
        <w:tc>
          <w:tcPr>
            <w:tcW w:w="576" w:type="dxa"/>
          </w:tcPr>
          <w:p w14:paraId="34E2AC60" w14:textId="76B04569" w:rsidR="00271CF5" w:rsidRPr="00332F76" w:rsidRDefault="00271CF5" w:rsidP="00271CF5">
            <w:pPr>
              <w:pStyle w:val="Tablecondensed"/>
              <w:rPr>
                <w:lang w:val="en-AU"/>
              </w:rPr>
            </w:pPr>
            <w:r w:rsidRPr="00332F76">
              <w:rPr>
                <w:lang w:val="en-AU"/>
              </w:rPr>
              <w:t>35</w:t>
            </w:r>
          </w:p>
        </w:tc>
        <w:tc>
          <w:tcPr>
            <w:tcW w:w="864" w:type="dxa"/>
          </w:tcPr>
          <w:p w14:paraId="76FBA468" w14:textId="54014DD5" w:rsidR="00271CF5" w:rsidRPr="00332F76" w:rsidRDefault="00271CF5" w:rsidP="00271CF5">
            <w:pPr>
              <w:pStyle w:val="Tablecondensed"/>
              <w:rPr>
                <w:lang w:val="en-AU"/>
              </w:rPr>
            </w:pPr>
            <w:r w:rsidRPr="00332F76">
              <w:rPr>
                <w:lang w:val="en-AU"/>
              </w:rPr>
              <w:t>4</w:t>
            </w:r>
          </w:p>
        </w:tc>
      </w:tr>
    </w:tbl>
    <w:p w14:paraId="099AFE27" w14:textId="1D2E2689" w:rsidR="00C63CF8" w:rsidRPr="00332F76" w:rsidRDefault="00F45FFD" w:rsidP="00F178F3">
      <w:pPr>
        <w:pStyle w:val="BodyText"/>
      </w:pPr>
      <w:r w:rsidRPr="00332F76">
        <w:t>This question</w:t>
      </w:r>
      <w:r w:rsidR="0002511C" w:rsidRPr="00332F76">
        <w:t xml:space="preserve"> required students to describe how line was used as an art element in an artwork. Students used descriptive and accurate terminology relating to line, linked this to meanings and messages, and were specific about where the lines appeared in the artwork</w:t>
      </w:r>
      <w:r w:rsidR="003455B8" w:rsidRPr="00332F76">
        <w:t xml:space="preserve"> and how they were used</w:t>
      </w:r>
      <w:r w:rsidR="0002511C" w:rsidRPr="00332F76">
        <w:t xml:space="preserve">. </w:t>
      </w:r>
      <w:r w:rsidR="000E46AF" w:rsidRPr="00332F76">
        <w:t>Responses that</w:t>
      </w:r>
      <w:r w:rsidR="0002511C" w:rsidRPr="00332F76">
        <w:t xml:space="preserve"> scored highly </w:t>
      </w:r>
      <w:r w:rsidR="000E46AF" w:rsidRPr="00332F76">
        <w:t>used</w:t>
      </w:r>
      <w:r w:rsidR="0002511C" w:rsidRPr="00332F76">
        <w:t xml:space="preserve"> descriptive art terminology with clear and </w:t>
      </w:r>
      <w:r w:rsidR="008B5027" w:rsidRPr="00332F76">
        <w:t xml:space="preserve">frequent </w:t>
      </w:r>
      <w:r w:rsidR="0002511C" w:rsidRPr="00332F76">
        <w:t>references to the artwork.</w:t>
      </w:r>
      <w:r w:rsidR="00AA0B34" w:rsidRPr="00332F76">
        <w:t xml:space="preserve"> Some students were able to identify line, but </w:t>
      </w:r>
      <w:r w:rsidR="0090358C" w:rsidRPr="00332F76">
        <w:t>high-scoring</w:t>
      </w:r>
      <w:r w:rsidR="00AA0B34" w:rsidRPr="00332F76">
        <w:t xml:space="preserve"> responses</w:t>
      </w:r>
      <w:r w:rsidR="000B6551" w:rsidRPr="00332F76">
        <w:t xml:space="preserve"> were able to</w:t>
      </w:r>
      <w:r w:rsidR="00AA0B34" w:rsidRPr="00332F76">
        <w:t xml:space="preserve"> effectivel</w:t>
      </w:r>
      <w:r w:rsidR="000B6551" w:rsidRPr="00332F76">
        <w:t>y</w:t>
      </w:r>
      <w:r w:rsidR="00AA0B34" w:rsidRPr="00332F76">
        <w:t xml:space="preserve"> </w:t>
      </w:r>
      <w:r w:rsidR="00D35224" w:rsidRPr="00332F76">
        <w:t>describe</w:t>
      </w:r>
      <w:r w:rsidR="00AA0B34" w:rsidRPr="00332F76">
        <w:t xml:space="preserve"> line, </w:t>
      </w:r>
      <w:r w:rsidR="000B6551" w:rsidRPr="00332F76">
        <w:t xml:space="preserve">and how it contributed to the </w:t>
      </w:r>
      <w:r w:rsidR="304D5D09" w:rsidRPr="00332F76">
        <w:t>artwork's</w:t>
      </w:r>
      <w:r w:rsidR="000B6551" w:rsidRPr="00332F76">
        <w:t xml:space="preserve"> formal organi</w:t>
      </w:r>
      <w:r w:rsidR="3CC372AF" w:rsidRPr="00332F76">
        <w:t>s</w:t>
      </w:r>
      <w:r w:rsidR="000B6551" w:rsidRPr="00332F76">
        <w:t>ation, either style or symbolism and/or ideas</w:t>
      </w:r>
      <w:r w:rsidR="2542235C" w:rsidRPr="00332F76">
        <w:t>,</w:t>
      </w:r>
      <w:r w:rsidR="000B6551" w:rsidRPr="00332F76">
        <w:t xml:space="preserve"> </w:t>
      </w:r>
      <w:r w:rsidR="00AA0B34" w:rsidRPr="00332F76">
        <w:t>providing explicit examples to justify their answers.</w:t>
      </w:r>
      <w:r w:rsidR="0CCDC92B" w:rsidRPr="00332F76">
        <w:t xml:space="preserve"> Students were required to apply the Structural </w:t>
      </w:r>
      <w:r w:rsidR="0090358C" w:rsidRPr="00332F76">
        <w:t>L</w:t>
      </w:r>
      <w:r w:rsidR="0CCDC92B" w:rsidRPr="00332F76">
        <w:t>ens in discussing line and should have a thorough understa</w:t>
      </w:r>
      <w:r w:rsidR="581A2099" w:rsidRPr="00332F76">
        <w:t>nding of the Interpretive Lenses listed</w:t>
      </w:r>
      <w:r w:rsidR="07AD09E7" w:rsidRPr="00332F76">
        <w:t xml:space="preserve"> in the </w:t>
      </w:r>
      <w:r w:rsidR="00843FEF">
        <w:t>‘S</w:t>
      </w:r>
      <w:r w:rsidRPr="00332F76">
        <w:t xml:space="preserve">tudy </w:t>
      </w:r>
      <w:r w:rsidR="0090358C" w:rsidRPr="00332F76">
        <w:t>s</w:t>
      </w:r>
      <w:r w:rsidR="07AD09E7" w:rsidRPr="00332F76">
        <w:t>pecifications</w:t>
      </w:r>
      <w:r w:rsidR="00843FEF">
        <w:t>’ section</w:t>
      </w:r>
      <w:r w:rsidR="07AD09E7" w:rsidRPr="00332F76">
        <w:t xml:space="preserve"> on pages 14</w:t>
      </w:r>
      <w:r w:rsidR="0090358C" w:rsidRPr="00332F76">
        <w:t>–</w:t>
      </w:r>
      <w:r w:rsidR="07AD09E7" w:rsidRPr="00332F76">
        <w:t>15 of</w:t>
      </w:r>
      <w:r w:rsidR="581A2099" w:rsidRPr="00332F76">
        <w:t xml:space="preserve"> the Art Creative Practice </w:t>
      </w:r>
      <w:r w:rsidRPr="00332F76">
        <w:t>Study Design</w:t>
      </w:r>
      <w:r w:rsidR="0090358C" w:rsidRPr="00332F76">
        <w:t>.</w:t>
      </w:r>
      <w:r w:rsidR="00C63CF8" w:rsidRPr="00332F76">
        <w:t xml:space="preserve"> </w:t>
      </w:r>
    </w:p>
    <w:p w14:paraId="209D8E40" w14:textId="3676E0CE" w:rsidR="0002511C" w:rsidRPr="00A23DEA" w:rsidRDefault="0002511C" w:rsidP="00E61466">
      <w:pPr>
        <w:pStyle w:val="BodyText"/>
      </w:pPr>
      <w:r w:rsidRPr="00A23DEA">
        <w:t xml:space="preserve">The following is an example of a </w:t>
      </w:r>
      <w:r w:rsidR="0090358C" w:rsidRPr="00A23DEA">
        <w:t>high-</w:t>
      </w:r>
      <w:r w:rsidRPr="00A23DEA">
        <w:t>scoring response.</w:t>
      </w:r>
    </w:p>
    <w:p w14:paraId="47B86195" w14:textId="56D3EC7A" w:rsidR="00696209" w:rsidRPr="00332F76" w:rsidRDefault="00696209" w:rsidP="00CE5FE6">
      <w:pPr>
        <w:pStyle w:val="Studentresponse"/>
      </w:pPr>
      <w:r w:rsidRPr="00332F76">
        <w:t>Thorpe’s rapid and sharp use of line communicates energy and movement. The twisting, ovular lines dancing from one point of the lamp to another captures the sporadic and natural movement of moths towards the light. There is a sense of buoyancy and playfulness embodied by the quickness of the lines as the moth changes direction to return to the light. The varying line weight, with the moth lines transitioning from broader to thin and sharp further emphasizes the rapid speed of the moth’s travel. These more spontaneous lines of movement contrast with the more geometric, angular lines of the background Westminster steps; the steps show predictable, architectural precision, which emphasizes the beauty of the natural movement of the moths.</w:t>
      </w:r>
    </w:p>
    <w:p w14:paraId="70273164" w14:textId="2C3F7A4C" w:rsidR="000079FF" w:rsidRPr="00332F76" w:rsidRDefault="000079FF" w:rsidP="00A23DEA">
      <w:pPr>
        <w:pStyle w:val="Heading1"/>
      </w:pPr>
      <w:bookmarkStart w:id="0" w:name="gottohere"/>
      <w:bookmarkEnd w:id="0"/>
      <w:r w:rsidRPr="00332F76">
        <w:t>Question 2</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271CF5" w:rsidRPr="00332F76" w14:paraId="26838231" w14:textId="77777777" w:rsidTr="00113C44">
        <w:trPr>
          <w:cnfStyle w:val="100000000000" w:firstRow="1" w:lastRow="0" w:firstColumn="0" w:lastColumn="0" w:oddVBand="0" w:evenVBand="0" w:oddHBand="0" w:evenHBand="0" w:firstRowFirstColumn="0" w:firstRowLastColumn="0" w:lastRowFirstColumn="0" w:lastRowLastColumn="0"/>
        </w:trPr>
        <w:tc>
          <w:tcPr>
            <w:tcW w:w="599" w:type="dxa"/>
          </w:tcPr>
          <w:p w14:paraId="55A47D0B" w14:textId="77777777" w:rsidR="00271CF5" w:rsidRPr="00332F76" w:rsidRDefault="00271CF5" w:rsidP="008E6F30">
            <w:pPr>
              <w:pStyle w:val="Tablecondensedheading"/>
              <w:rPr>
                <w:lang w:val="en-AU"/>
              </w:rPr>
            </w:pPr>
            <w:r w:rsidRPr="00332F76">
              <w:rPr>
                <w:lang w:val="en-AU"/>
              </w:rPr>
              <w:t>Mark</w:t>
            </w:r>
          </w:p>
        </w:tc>
        <w:tc>
          <w:tcPr>
            <w:tcW w:w="576" w:type="dxa"/>
          </w:tcPr>
          <w:p w14:paraId="225DE7A3" w14:textId="77777777" w:rsidR="00271CF5" w:rsidRPr="00332F76" w:rsidRDefault="00271CF5" w:rsidP="008E6F30">
            <w:pPr>
              <w:pStyle w:val="Tablecondensedheading"/>
              <w:rPr>
                <w:lang w:val="en-AU"/>
              </w:rPr>
            </w:pPr>
            <w:r w:rsidRPr="00332F76">
              <w:rPr>
                <w:lang w:val="en-AU"/>
              </w:rPr>
              <w:t>0</w:t>
            </w:r>
          </w:p>
        </w:tc>
        <w:tc>
          <w:tcPr>
            <w:tcW w:w="576" w:type="dxa"/>
          </w:tcPr>
          <w:p w14:paraId="078C2D7D" w14:textId="77777777" w:rsidR="00271CF5" w:rsidRPr="00332F76" w:rsidRDefault="00271CF5" w:rsidP="008E6F30">
            <w:pPr>
              <w:pStyle w:val="Tablecondensedheading"/>
              <w:rPr>
                <w:lang w:val="en-AU"/>
              </w:rPr>
            </w:pPr>
            <w:r w:rsidRPr="00332F76">
              <w:rPr>
                <w:lang w:val="en-AU"/>
              </w:rPr>
              <w:t>1</w:t>
            </w:r>
          </w:p>
        </w:tc>
        <w:tc>
          <w:tcPr>
            <w:tcW w:w="576" w:type="dxa"/>
          </w:tcPr>
          <w:p w14:paraId="27B9BCA6" w14:textId="77777777" w:rsidR="00271CF5" w:rsidRPr="00332F76" w:rsidRDefault="00271CF5" w:rsidP="008E6F30">
            <w:pPr>
              <w:pStyle w:val="Tablecondensedheading"/>
              <w:rPr>
                <w:lang w:val="en-AU"/>
              </w:rPr>
            </w:pPr>
            <w:r w:rsidRPr="00332F76">
              <w:rPr>
                <w:lang w:val="en-AU"/>
              </w:rPr>
              <w:t>2</w:t>
            </w:r>
          </w:p>
        </w:tc>
        <w:tc>
          <w:tcPr>
            <w:tcW w:w="576" w:type="dxa"/>
          </w:tcPr>
          <w:p w14:paraId="1B86F48A" w14:textId="77777777" w:rsidR="00271CF5" w:rsidRPr="00332F76" w:rsidRDefault="00271CF5" w:rsidP="008E6F30">
            <w:pPr>
              <w:pStyle w:val="Tablecondensedheading"/>
              <w:rPr>
                <w:lang w:val="en-AU"/>
              </w:rPr>
            </w:pPr>
            <w:r w:rsidRPr="00332F76">
              <w:rPr>
                <w:lang w:val="en-AU"/>
              </w:rPr>
              <w:t>3</w:t>
            </w:r>
          </w:p>
        </w:tc>
        <w:tc>
          <w:tcPr>
            <w:tcW w:w="576" w:type="dxa"/>
          </w:tcPr>
          <w:p w14:paraId="23600982" w14:textId="77777777" w:rsidR="00271CF5" w:rsidRPr="00332F76" w:rsidRDefault="00271CF5" w:rsidP="008E6F30">
            <w:pPr>
              <w:pStyle w:val="Tablecondensedheading"/>
              <w:rPr>
                <w:lang w:val="en-AU"/>
              </w:rPr>
            </w:pPr>
            <w:r w:rsidRPr="00332F76">
              <w:rPr>
                <w:lang w:val="en-AU"/>
              </w:rPr>
              <w:t>4</w:t>
            </w:r>
          </w:p>
        </w:tc>
        <w:tc>
          <w:tcPr>
            <w:tcW w:w="576" w:type="dxa"/>
          </w:tcPr>
          <w:p w14:paraId="13D73900" w14:textId="3595497D" w:rsidR="00271CF5" w:rsidRPr="00332F76" w:rsidRDefault="00271CF5" w:rsidP="008E6F30">
            <w:pPr>
              <w:pStyle w:val="Tablecondensedheading"/>
              <w:rPr>
                <w:lang w:val="en-AU"/>
              </w:rPr>
            </w:pPr>
            <w:r w:rsidRPr="00332F76">
              <w:rPr>
                <w:lang w:val="en-AU"/>
              </w:rPr>
              <w:t>5</w:t>
            </w:r>
          </w:p>
        </w:tc>
        <w:tc>
          <w:tcPr>
            <w:tcW w:w="576" w:type="dxa"/>
          </w:tcPr>
          <w:p w14:paraId="36597C9F" w14:textId="65E2B9C2" w:rsidR="00271CF5" w:rsidRPr="00332F76" w:rsidRDefault="00271CF5" w:rsidP="008E6F30">
            <w:pPr>
              <w:pStyle w:val="Tablecondensedheading"/>
              <w:rPr>
                <w:lang w:val="en-AU"/>
              </w:rPr>
            </w:pPr>
            <w:r w:rsidRPr="00332F76">
              <w:rPr>
                <w:lang w:val="en-AU"/>
              </w:rPr>
              <w:t>6</w:t>
            </w:r>
          </w:p>
        </w:tc>
        <w:tc>
          <w:tcPr>
            <w:tcW w:w="864" w:type="dxa"/>
          </w:tcPr>
          <w:p w14:paraId="220EA2AD" w14:textId="77777777" w:rsidR="00271CF5" w:rsidRPr="00332F76" w:rsidRDefault="00271CF5" w:rsidP="008E6F30">
            <w:pPr>
              <w:pStyle w:val="Tablecondensedheading"/>
              <w:rPr>
                <w:lang w:val="en-AU"/>
              </w:rPr>
            </w:pPr>
            <w:r w:rsidRPr="00332F76">
              <w:rPr>
                <w:lang w:val="en-AU"/>
              </w:rPr>
              <w:t>Average</w:t>
            </w:r>
          </w:p>
        </w:tc>
      </w:tr>
      <w:tr w:rsidR="00271CF5" w:rsidRPr="00332F76" w14:paraId="2E7FCF16" w14:textId="77777777" w:rsidTr="00113C44">
        <w:tc>
          <w:tcPr>
            <w:tcW w:w="599" w:type="dxa"/>
          </w:tcPr>
          <w:p w14:paraId="1E26663F" w14:textId="77777777" w:rsidR="00271CF5" w:rsidRPr="00332F76" w:rsidRDefault="00271CF5" w:rsidP="00271CF5">
            <w:pPr>
              <w:pStyle w:val="Tablecondensed"/>
              <w:rPr>
                <w:lang w:val="en-AU"/>
              </w:rPr>
            </w:pPr>
            <w:r w:rsidRPr="00332F76">
              <w:rPr>
                <w:lang w:val="en-AU"/>
              </w:rPr>
              <w:t>%</w:t>
            </w:r>
          </w:p>
        </w:tc>
        <w:tc>
          <w:tcPr>
            <w:tcW w:w="576" w:type="dxa"/>
          </w:tcPr>
          <w:p w14:paraId="422D4D90" w14:textId="34EA3A52" w:rsidR="00271CF5" w:rsidRPr="00332F76" w:rsidRDefault="00271CF5" w:rsidP="00271CF5">
            <w:pPr>
              <w:pStyle w:val="Tablecondensed"/>
              <w:rPr>
                <w:lang w:val="en-AU"/>
              </w:rPr>
            </w:pPr>
            <w:r w:rsidRPr="00332F76">
              <w:rPr>
                <w:lang w:val="en-AU"/>
              </w:rPr>
              <w:t>3</w:t>
            </w:r>
          </w:p>
        </w:tc>
        <w:tc>
          <w:tcPr>
            <w:tcW w:w="576" w:type="dxa"/>
          </w:tcPr>
          <w:p w14:paraId="5F055C83" w14:textId="0310BF01" w:rsidR="00271CF5" w:rsidRPr="00332F76" w:rsidRDefault="00271CF5" w:rsidP="00271CF5">
            <w:pPr>
              <w:pStyle w:val="Tablecondensed"/>
              <w:rPr>
                <w:lang w:val="en-AU"/>
              </w:rPr>
            </w:pPr>
            <w:r w:rsidRPr="00332F76">
              <w:rPr>
                <w:lang w:val="en-AU"/>
              </w:rPr>
              <w:t>0.8</w:t>
            </w:r>
          </w:p>
        </w:tc>
        <w:tc>
          <w:tcPr>
            <w:tcW w:w="576" w:type="dxa"/>
          </w:tcPr>
          <w:p w14:paraId="6BBAE734" w14:textId="4D92341D" w:rsidR="00271CF5" w:rsidRPr="00332F76" w:rsidRDefault="00271CF5" w:rsidP="00271CF5">
            <w:pPr>
              <w:pStyle w:val="Tablecondensed"/>
              <w:rPr>
                <w:lang w:val="en-AU"/>
              </w:rPr>
            </w:pPr>
            <w:r w:rsidRPr="00332F76">
              <w:rPr>
                <w:lang w:val="en-AU"/>
              </w:rPr>
              <w:t>3</w:t>
            </w:r>
          </w:p>
        </w:tc>
        <w:tc>
          <w:tcPr>
            <w:tcW w:w="576" w:type="dxa"/>
          </w:tcPr>
          <w:p w14:paraId="7C449904" w14:textId="213A5AF5" w:rsidR="00271CF5" w:rsidRPr="00332F76" w:rsidRDefault="00271CF5" w:rsidP="00271CF5">
            <w:pPr>
              <w:pStyle w:val="Tablecondensed"/>
              <w:rPr>
                <w:lang w:val="en-AU"/>
              </w:rPr>
            </w:pPr>
            <w:r w:rsidRPr="00332F76">
              <w:rPr>
                <w:lang w:val="en-AU"/>
              </w:rPr>
              <w:t>12</w:t>
            </w:r>
          </w:p>
        </w:tc>
        <w:tc>
          <w:tcPr>
            <w:tcW w:w="576" w:type="dxa"/>
          </w:tcPr>
          <w:p w14:paraId="6EAF3AA4" w14:textId="22E92E2B" w:rsidR="00271CF5" w:rsidRPr="00332F76" w:rsidRDefault="00271CF5" w:rsidP="00271CF5">
            <w:pPr>
              <w:pStyle w:val="Tablecondensed"/>
              <w:rPr>
                <w:lang w:val="en-AU"/>
              </w:rPr>
            </w:pPr>
            <w:r w:rsidRPr="00332F76">
              <w:rPr>
                <w:lang w:val="en-AU"/>
              </w:rPr>
              <w:t>29</w:t>
            </w:r>
          </w:p>
        </w:tc>
        <w:tc>
          <w:tcPr>
            <w:tcW w:w="576" w:type="dxa"/>
          </w:tcPr>
          <w:p w14:paraId="55303605" w14:textId="669CEDFA" w:rsidR="00271CF5" w:rsidRPr="00332F76" w:rsidRDefault="00271CF5" w:rsidP="00271CF5">
            <w:pPr>
              <w:pStyle w:val="Tablecondensed"/>
              <w:rPr>
                <w:lang w:val="en-AU"/>
              </w:rPr>
            </w:pPr>
            <w:r w:rsidRPr="00332F76">
              <w:rPr>
                <w:lang w:val="en-AU"/>
              </w:rPr>
              <w:t>34</w:t>
            </w:r>
          </w:p>
        </w:tc>
        <w:tc>
          <w:tcPr>
            <w:tcW w:w="576" w:type="dxa"/>
          </w:tcPr>
          <w:p w14:paraId="5369A016" w14:textId="36B544F3" w:rsidR="00271CF5" w:rsidRPr="00332F76" w:rsidRDefault="00271CF5" w:rsidP="00271CF5">
            <w:pPr>
              <w:pStyle w:val="Tablecondensed"/>
              <w:rPr>
                <w:lang w:val="en-AU"/>
              </w:rPr>
            </w:pPr>
            <w:r w:rsidRPr="00332F76">
              <w:rPr>
                <w:lang w:val="en-AU"/>
              </w:rPr>
              <w:t>18</w:t>
            </w:r>
          </w:p>
        </w:tc>
        <w:tc>
          <w:tcPr>
            <w:tcW w:w="864" w:type="dxa"/>
          </w:tcPr>
          <w:p w14:paraId="162F453C" w14:textId="3125A098" w:rsidR="00271CF5" w:rsidRPr="00332F76" w:rsidRDefault="00271CF5" w:rsidP="00271CF5">
            <w:pPr>
              <w:pStyle w:val="Tablecondensed"/>
              <w:rPr>
                <w:lang w:val="en-AU"/>
              </w:rPr>
            </w:pPr>
            <w:r w:rsidRPr="00332F76">
              <w:rPr>
                <w:lang w:val="en-AU"/>
              </w:rPr>
              <w:t>4.</w:t>
            </w:r>
            <w:r w:rsidR="00113C44" w:rsidRPr="00332F76">
              <w:rPr>
                <w:lang w:val="en-AU"/>
              </w:rPr>
              <w:t>4</w:t>
            </w:r>
          </w:p>
        </w:tc>
      </w:tr>
    </w:tbl>
    <w:p w14:paraId="68180638" w14:textId="4BA7DA0F" w:rsidR="00497A37" w:rsidRPr="00332F76" w:rsidRDefault="009C49BD" w:rsidP="00F178F3">
      <w:pPr>
        <w:pStyle w:val="BodyText"/>
      </w:pPr>
      <w:r w:rsidRPr="00332F76">
        <w:lastRenderedPageBreak/>
        <w:t>Students were</w:t>
      </w:r>
      <w:r w:rsidR="00497A37" w:rsidRPr="00332F76">
        <w:t xml:space="preserve"> required to describe how emphasis (focal point) was used as an art principle in an artwork. For the most part, students were able to correctly identify the focal point and used examples throughout the artwork to support their description. Students who scored highly were able to use descriptive art terminology with clear and </w:t>
      </w:r>
      <w:r w:rsidR="008B5027" w:rsidRPr="00332F76">
        <w:t xml:space="preserve">frequent </w:t>
      </w:r>
      <w:r w:rsidR="00497A37" w:rsidRPr="00332F76">
        <w:t>references to the artwork.</w:t>
      </w:r>
      <w:r w:rsidR="000B6551" w:rsidRPr="00332F76">
        <w:t xml:space="preserve"> </w:t>
      </w:r>
      <w:bookmarkStart w:id="1" w:name="_Hlk219907119"/>
      <w:r w:rsidR="000B6551" w:rsidRPr="00332F76">
        <w:t xml:space="preserve">They were able to effectively describe </w:t>
      </w:r>
      <w:r w:rsidR="001C5F7E" w:rsidRPr="00332F76">
        <w:t>emphasis</w:t>
      </w:r>
      <w:r w:rsidR="000B6551" w:rsidRPr="00332F76">
        <w:t>, and how it contributed to the artwork</w:t>
      </w:r>
      <w:r w:rsidR="0090358C" w:rsidRPr="00332F76">
        <w:t>’</w:t>
      </w:r>
      <w:r w:rsidR="000B6551" w:rsidRPr="00332F76">
        <w:t xml:space="preserve">s formal </w:t>
      </w:r>
      <w:r w:rsidR="0090358C" w:rsidRPr="00332F76">
        <w:t>organisation</w:t>
      </w:r>
      <w:r w:rsidR="000B6551" w:rsidRPr="00332F76">
        <w:t>, style or symbolism and/or ideas</w:t>
      </w:r>
      <w:r w:rsidR="001C5F7E" w:rsidRPr="00332F76">
        <w:t>.</w:t>
      </w:r>
      <w:r w:rsidR="2AEFA72C" w:rsidRPr="00332F76">
        <w:t xml:space="preserve"> </w:t>
      </w:r>
      <w:bookmarkEnd w:id="1"/>
      <w:r w:rsidR="2AEFA72C" w:rsidRPr="00332F76">
        <w:t xml:space="preserve">Students were required to apply the Structural </w:t>
      </w:r>
      <w:r w:rsidR="0090358C" w:rsidRPr="00332F76">
        <w:t>L</w:t>
      </w:r>
      <w:r w:rsidR="2AEFA72C" w:rsidRPr="00332F76">
        <w:t xml:space="preserve">ens in discussing </w:t>
      </w:r>
      <w:r w:rsidR="042B1E5A" w:rsidRPr="00332F76">
        <w:t xml:space="preserve">focal point </w:t>
      </w:r>
      <w:r w:rsidR="2AEFA72C" w:rsidRPr="00332F76">
        <w:t xml:space="preserve">and should have a thorough understanding of the Interpretive Lenses listed in the </w:t>
      </w:r>
      <w:r w:rsidR="00843FEF">
        <w:t>‘S</w:t>
      </w:r>
      <w:r w:rsidRPr="00332F76">
        <w:t xml:space="preserve">tudy </w:t>
      </w:r>
      <w:r w:rsidR="2662CEB8" w:rsidRPr="00332F76">
        <w:t>specifications</w:t>
      </w:r>
      <w:r w:rsidR="00843FEF">
        <w:t>’ section</w:t>
      </w:r>
      <w:r w:rsidR="2662CEB8" w:rsidRPr="00332F76">
        <w:t xml:space="preserve"> on pages 14</w:t>
      </w:r>
      <w:r w:rsidR="0090358C" w:rsidRPr="00332F76">
        <w:t>–</w:t>
      </w:r>
      <w:r w:rsidR="2662CEB8" w:rsidRPr="00332F76">
        <w:t xml:space="preserve">15 of the </w:t>
      </w:r>
      <w:r w:rsidR="2AEFA72C" w:rsidRPr="00332F76">
        <w:t xml:space="preserve">Art Creative Practice </w:t>
      </w:r>
      <w:r w:rsidRPr="00332F76">
        <w:t>Study Design</w:t>
      </w:r>
      <w:r w:rsidR="5DEED1E5" w:rsidRPr="00332F76">
        <w:t>.</w:t>
      </w:r>
    </w:p>
    <w:p w14:paraId="40D5232B" w14:textId="0D028D9C" w:rsidR="0002511C" w:rsidRPr="00A23DEA" w:rsidRDefault="0002511C" w:rsidP="00E61466">
      <w:pPr>
        <w:pStyle w:val="BodyText"/>
      </w:pPr>
      <w:r w:rsidRPr="00A23DEA">
        <w:t xml:space="preserve">The following is an example of a </w:t>
      </w:r>
      <w:r w:rsidR="0090358C" w:rsidRPr="00A23DEA">
        <w:t>high-</w:t>
      </w:r>
      <w:r w:rsidRPr="00A23DEA">
        <w:t>scoring response.</w:t>
      </w:r>
    </w:p>
    <w:p w14:paraId="033A8C74" w14:textId="1C4493B9" w:rsidR="00B21510" w:rsidRPr="00332F76" w:rsidRDefault="00B21510" w:rsidP="00CE5FE6">
      <w:pPr>
        <w:pStyle w:val="Studentresponse"/>
      </w:pPr>
      <w:r w:rsidRPr="00332F76">
        <w:t>The map of rich, vivid blue hues are layered upon one another, depicting various textured surfaces, interrupted by the confliction of bright pockets of complimentary orange. Their imbedded nature amongst the layers of handmade paper allow the dichotomy to work in tandem, while viscerally drawing viewers attention to the orange illuminated areas as viewers</w:t>
      </w:r>
      <w:r w:rsidR="00C7281C" w:rsidRPr="00332F76">
        <w:t xml:space="preserve"> are drawn in to the nonsensical convolution of materials, the emphasis on bright orange elements projects the biomorphic, amorphous like shapes, alluding to a sense of activity or life, as the emphasis establishes a coral-like composition of </w:t>
      </w:r>
      <w:r w:rsidR="003A678C" w:rsidRPr="00332F76">
        <w:t>aquatic</w:t>
      </w:r>
      <w:r w:rsidR="00C7281C" w:rsidRPr="00332F76">
        <w:t xml:space="preserve"> species. The patterned surfaces create a flurry of activity as the white dots hypnotically draw viewer attention as they cascade in scale like motion, almost depicting a whole shark. The illusive speckled surfaces invite viewers into the work as their convolution of texture is emphasized.</w:t>
      </w:r>
    </w:p>
    <w:p w14:paraId="562EF851" w14:textId="12812298" w:rsidR="00ED0232" w:rsidRPr="00332F76" w:rsidRDefault="000079FF" w:rsidP="00A23DEA">
      <w:pPr>
        <w:pStyle w:val="Heading1"/>
      </w:pPr>
      <w:r w:rsidRPr="00332F76">
        <w:t>Question 3</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271CF5" w:rsidRPr="00332F76" w14:paraId="5C6F9E21" w14:textId="77777777" w:rsidTr="00113C44">
        <w:trPr>
          <w:cnfStyle w:val="100000000000" w:firstRow="1" w:lastRow="0" w:firstColumn="0" w:lastColumn="0" w:oddVBand="0" w:evenVBand="0" w:oddHBand="0" w:evenHBand="0" w:firstRowFirstColumn="0" w:firstRowLastColumn="0" w:lastRowFirstColumn="0" w:lastRowLastColumn="0"/>
        </w:trPr>
        <w:tc>
          <w:tcPr>
            <w:tcW w:w="599" w:type="dxa"/>
          </w:tcPr>
          <w:p w14:paraId="39F674AD" w14:textId="77777777" w:rsidR="00271CF5" w:rsidRPr="00332F76" w:rsidRDefault="00271CF5" w:rsidP="008E6F30">
            <w:pPr>
              <w:pStyle w:val="Tablecondensedheading"/>
              <w:rPr>
                <w:lang w:val="en-AU"/>
              </w:rPr>
            </w:pPr>
            <w:r w:rsidRPr="00332F76">
              <w:rPr>
                <w:lang w:val="en-AU"/>
              </w:rPr>
              <w:t>Mark</w:t>
            </w:r>
          </w:p>
        </w:tc>
        <w:tc>
          <w:tcPr>
            <w:tcW w:w="576" w:type="dxa"/>
          </w:tcPr>
          <w:p w14:paraId="3EE6DC3A" w14:textId="77777777" w:rsidR="00271CF5" w:rsidRPr="00332F76" w:rsidRDefault="00271CF5" w:rsidP="008E6F30">
            <w:pPr>
              <w:pStyle w:val="Tablecondensedheading"/>
              <w:rPr>
                <w:lang w:val="en-AU"/>
              </w:rPr>
            </w:pPr>
            <w:r w:rsidRPr="00332F76">
              <w:rPr>
                <w:lang w:val="en-AU"/>
              </w:rPr>
              <w:t>0</w:t>
            </w:r>
          </w:p>
        </w:tc>
        <w:tc>
          <w:tcPr>
            <w:tcW w:w="576" w:type="dxa"/>
          </w:tcPr>
          <w:p w14:paraId="399B6C92" w14:textId="77777777" w:rsidR="00271CF5" w:rsidRPr="00332F76" w:rsidRDefault="00271CF5" w:rsidP="008E6F30">
            <w:pPr>
              <w:pStyle w:val="Tablecondensedheading"/>
              <w:rPr>
                <w:lang w:val="en-AU"/>
              </w:rPr>
            </w:pPr>
            <w:r w:rsidRPr="00332F76">
              <w:rPr>
                <w:lang w:val="en-AU"/>
              </w:rPr>
              <w:t>1</w:t>
            </w:r>
          </w:p>
        </w:tc>
        <w:tc>
          <w:tcPr>
            <w:tcW w:w="576" w:type="dxa"/>
          </w:tcPr>
          <w:p w14:paraId="1AA0EC2A" w14:textId="77777777" w:rsidR="00271CF5" w:rsidRPr="00332F76" w:rsidRDefault="00271CF5" w:rsidP="008E6F30">
            <w:pPr>
              <w:pStyle w:val="Tablecondensedheading"/>
              <w:rPr>
                <w:lang w:val="en-AU"/>
              </w:rPr>
            </w:pPr>
            <w:r w:rsidRPr="00332F76">
              <w:rPr>
                <w:lang w:val="en-AU"/>
              </w:rPr>
              <w:t>2</w:t>
            </w:r>
          </w:p>
        </w:tc>
        <w:tc>
          <w:tcPr>
            <w:tcW w:w="576" w:type="dxa"/>
          </w:tcPr>
          <w:p w14:paraId="2A90D9E8" w14:textId="77777777" w:rsidR="00271CF5" w:rsidRPr="00332F76" w:rsidRDefault="00271CF5" w:rsidP="008E6F30">
            <w:pPr>
              <w:pStyle w:val="Tablecondensedheading"/>
              <w:rPr>
                <w:lang w:val="en-AU"/>
              </w:rPr>
            </w:pPr>
            <w:r w:rsidRPr="00332F76">
              <w:rPr>
                <w:lang w:val="en-AU"/>
              </w:rPr>
              <w:t>3</w:t>
            </w:r>
          </w:p>
        </w:tc>
        <w:tc>
          <w:tcPr>
            <w:tcW w:w="576" w:type="dxa"/>
          </w:tcPr>
          <w:p w14:paraId="12045A2C" w14:textId="77777777" w:rsidR="00271CF5" w:rsidRPr="00332F76" w:rsidRDefault="00271CF5" w:rsidP="008E6F30">
            <w:pPr>
              <w:pStyle w:val="Tablecondensedheading"/>
              <w:rPr>
                <w:lang w:val="en-AU"/>
              </w:rPr>
            </w:pPr>
            <w:r w:rsidRPr="00332F76">
              <w:rPr>
                <w:lang w:val="en-AU"/>
              </w:rPr>
              <w:t>4</w:t>
            </w:r>
          </w:p>
        </w:tc>
        <w:tc>
          <w:tcPr>
            <w:tcW w:w="576" w:type="dxa"/>
          </w:tcPr>
          <w:p w14:paraId="4C040900" w14:textId="77777777" w:rsidR="00271CF5" w:rsidRPr="00332F76" w:rsidRDefault="00271CF5" w:rsidP="008E6F30">
            <w:pPr>
              <w:pStyle w:val="Tablecondensedheading"/>
              <w:rPr>
                <w:lang w:val="en-AU"/>
              </w:rPr>
            </w:pPr>
            <w:r w:rsidRPr="00332F76">
              <w:rPr>
                <w:lang w:val="en-AU"/>
              </w:rPr>
              <w:t>5</w:t>
            </w:r>
          </w:p>
        </w:tc>
        <w:tc>
          <w:tcPr>
            <w:tcW w:w="576" w:type="dxa"/>
          </w:tcPr>
          <w:p w14:paraId="51DA159F" w14:textId="77777777" w:rsidR="00271CF5" w:rsidRPr="00332F76" w:rsidRDefault="00271CF5" w:rsidP="008E6F30">
            <w:pPr>
              <w:pStyle w:val="Tablecondensedheading"/>
              <w:rPr>
                <w:lang w:val="en-AU"/>
              </w:rPr>
            </w:pPr>
            <w:r w:rsidRPr="00332F76">
              <w:rPr>
                <w:lang w:val="en-AU"/>
              </w:rPr>
              <w:t>6</w:t>
            </w:r>
          </w:p>
        </w:tc>
        <w:tc>
          <w:tcPr>
            <w:tcW w:w="864" w:type="dxa"/>
          </w:tcPr>
          <w:p w14:paraId="367C5FAF" w14:textId="77777777" w:rsidR="00271CF5" w:rsidRPr="00332F76" w:rsidRDefault="00271CF5" w:rsidP="008E6F30">
            <w:pPr>
              <w:pStyle w:val="Tablecondensedheading"/>
              <w:rPr>
                <w:lang w:val="en-AU"/>
              </w:rPr>
            </w:pPr>
            <w:r w:rsidRPr="00332F76">
              <w:rPr>
                <w:lang w:val="en-AU"/>
              </w:rPr>
              <w:t>Average</w:t>
            </w:r>
          </w:p>
        </w:tc>
      </w:tr>
      <w:tr w:rsidR="00271CF5" w:rsidRPr="00332F76" w14:paraId="07DC2A1B" w14:textId="77777777" w:rsidTr="00113C44">
        <w:tc>
          <w:tcPr>
            <w:tcW w:w="599" w:type="dxa"/>
          </w:tcPr>
          <w:p w14:paraId="411244DC" w14:textId="77777777" w:rsidR="00271CF5" w:rsidRPr="00332F76" w:rsidRDefault="00271CF5" w:rsidP="00271CF5">
            <w:pPr>
              <w:pStyle w:val="Tablecondensed"/>
              <w:rPr>
                <w:lang w:val="en-AU"/>
              </w:rPr>
            </w:pPr>
            <w:r w:rsidRPr="00332F76">
              <w:rPr>
                <w:lang w:val="en-AU"/>
              </w:rPr>
              <w:t>%</w:t>
            </w:r>
          </w:p>
        </w:tc>
        <w:tc>
          <w:tcPr>
            <w:tcW w:w="576" w:type="dxa"/>
          </w:tcPr>
          <w:p w14:paraId="74E882D6" w14:textId="783232E6" w:rsidR="00271CF5" w:rsidRPr="00332F76" w:rsidRDefault="00271CF5" w:rsidP="00271CF5">
            <w:pPr>
              <w:pStyle w:val="Tablecondensed"/>
              <w:rPr>
                <w:lang w:val="en-AU"/>
              </w:rPr>
            </w:pPr>
            <w:r w:rsidRPr="00332F76">
              <w:rPr>
                <w:lang w:val="en-AU"/>
              </w:rPr>
              <w:t>3</w:t>
            </w:r>
          </w:p>
        </w:tc>
        <w:tc>
          <w:tcPr>
            <w:tcW w:w="576" w:type="dxa"/>
          </w:tcPr>
          <w:p w14:paraId="16F0408F" w14:textId="0D9BE9E8" w:rsidR="00271CF5" w:rsidRPr="00332F76" w:rsidRDefault="00271CF5" w:rsidP="00271CF5">
            <w:pPr>
              <w:pStyle w:val="Tablecondensed"/>
              <w:rPr>
                <w:lang w:val="en-AU"/>
              </w:rPr>
            </w:pPr>
            <w:r w:rsidRPr="00332F76">
              <w:rPr>
                <w:lang w:val="en-AU"/>
              </w:rPr>
              <w:t>0.9</w:t>
            </w:r>
          </w:p>
        </w:tc>
        <w:tc>
          <w:tcPr>
            <w:tcW w:w="576" w:type="dxa"/>
          </w:tcPr>
          <w:p w14:paraId="19E96852" w14:textId="70428F0F" w:rsidR="00271CF5" w:rsidRPr="00332F76" w:rsidRDefault="00271CF5" w:rsidP="00271CF5">
            <w:pPr>
              <w:pStyle w:val="Tablecondensed"/>
              <w:rPr>
                <w:lang w:val="en-AU"/>
              </w:rPr>
            </w:pPr>
            <w:r w:rsidRPr="00332F76">
              <w:rPr>
                <w:lang w:val="en-AU"/>
              </w:rPr>
              <w:t>3</w:t>
            </w:r>
          </w:p>
        </w:tc>
        <w:tc>
          <w:tcPr>
            <w:tcW w:w="576" w:type="dxa"/>
          </w:tcPr>
          <w:p w14:paraId="2A53D860" w14:textId="2A947137" w:rsidR="00271CF5" w:rsidRPr="00332F76" w:rsidRDefault="00271CF5" w:rsidP="00271CF5">
            <w:pPr>
              <w:pStyle w:val="Tablecondensed"/>
              <w:rPr>
                <w:lang w:val="en-AU"/>
              </w:rPr>
            </w:pPr>
            <w:r w:rsidRPr="00332F76">
              <w:rPr>
                <w:lang w:val="en-AU"/>
              </w:rPr>
              <w:t>11</w:t>
            </w:r>
          </w:p>
        </w:tc>
        <w:tc>
          <w:tcPr>
            <w:tcW w:w="576" w:type="dxa"/>
          </w:tcPr>
          <w:p w14:paraId="6DA09265" w14:textId="6470A98B" w:rsidR="00271CF5" w:rsidRPr="00332F76" w:rsidRDefault="00271CF5" w:rsidP="00271CF5">
            <w:pPr>
              <w:pStyle w:val="Tablecondensed"/>
              <w:rPr>
                <w:lang w:val="en-AU"/>
              </w:rPr>
            </w:pPr>
            <w:r w:rsidRPr="00332F76">
              <w:rPr>
                <w:lang w:val="en-AU"/>
              </w:rPr>
              <w:t>27</w:t>
            </w:r>
          </w:p>
        </w:tc>
        <w:tc>
          <w:tcPr>
            <w:tcW w:w="576" w:type="dxa"/>
          </w:tcPr>
          <w:p w14:paraId="441D1D62" w14:textId="177A6F5F" w:rsidR="00271CF5" w:rsidRPr="00332F76" w:rsidRDefault="00271CF5" w:rsidP="00271CF5">
            <w:pPr>
              <w:pStyle w:val="Tablecondensed"/>
              <w:rPr>
                <w:lang w:val="en-AU"/>
              </w:rPr>
            </w:pPr>
            <w:r w:rsidRPr="00332F76">
              <w:rPr>
                <w:lang w:val="en-AU"/>
              </w:rPr>
              <w:t>31</w:t>
            </w:r>
          </w:p>
        </w:tc>
        <w:tc>
          <w:tcPr>
            <w:tcW w:w="576" w:type="dxa"/>
          </w:tcPr>
          <w:p w14:paraId="2BFD19A3" w14:textId="1ACE2FF3" w:rsidR="00271CF5" w:rsidRPr="00332F76" w:rsidRDefault="00271CF5" w:rsidP="00271CF5">
            <w:pPr>
              <w:pStyle w:val="Tablecondensed"/>
              <w:rPr>
                <w:lang w:val="en-AU"/>
              </w:rPr>
            </w:pPr>
            <w:r w:rsidRPr="00332F76">
              <w:rPr>
                <w:lang w:val="en-AU"/>
              </w:rPr>
              <w:t>24</w:t>
            </w:r>
          </w:p>
        </w:tc>
        <w:tc>
          <w:tcPr>
            <w:tcW w:w="864" w:type="dxa"/>
          </w:tcPr>
          <w:p w14:paraId="27CD3E4F" w14:textId="56466A3C" w:rsidR="00271CF5" w:rsidRPr="00332F76" w:rsidRDefault="00271CF5" w:rsidP="00271CF5">
            <w:pPr>
              <w:pStyle w:val="Tablecondensed"/>
              <w:rPr>
                <w:lang w:val="en-AU"/>
              </w:rPr>
            </w:pPr>
            <w:r w:rsidRPr="00332F76">
              <w:rPr>
                <w:lang w:val="en-AU"/>
              </w:rPr>
              <w:t>4.</w:t>
            </w:r>
            <w:r w:rsidR="00113C44" w:rsidRPr="00332F76">
              <w:rPr>
                <w:lang w:val="en-AU"/>
              </w:rPr>
              <w:t>5</w:t>
            </w:r>
          </w:p>
        </w:tc>
      </w:tr>
    </w:tbl>
    <w:p w14:paraId="477D5B14" w14:textId="26D7FE1E" w:rsidR="00ED0232" w:rsidRPr="00332F76" w:rsidRDefault="009262C9" w:rsidP="00F178F3">
      <w:pPr>
        <w:pStyle w:val="BodyText"/>
      </w:pPr>
      <w:r w:rsidRPr="00332F76">
        <w:t xml:space="preserve">Students were </w:t>
      </w:r>
      <w:r w:rsidR="00ED0232" w:rsidRPr="00332F76">
        <w:t xml:space="preserve">asked to discuss the ideas or issues explored in an artwork by an artist studied this year. Most students engaged effectively with this task. </w:t>
      </w:r>
      <w:r w:rsidR="000E46AF" w:rsidRPr="00332F76">
        <w:t>Responses that scored highly</w:t>
      </w:r>
      <w:r w:rsidR="00ED0232" w:rsidRPr="00332F76">
        <w:t xml:space="preserve"> presented a </w:t>
      </w:r>
      <w:r w:rsidR="000E46AF" w:rsidRPr="00332F76">
        <w:t>well-</w:t>
      </w:r>
      <w:r w:rsidR="00ED0232" w:rsidRPr="00332F76">
        <w:t>researched idea or issue that demonstrated a strong understanding of the artist’s practice. These students used specific examples from an artwork to support their discussion, incorporating relevant information about materials, techniques, processes</w:t>
      </w:r>
      <w:r w:rsidR="5B0B57B7" w:rsidRPr="00332F76">
        <w:t xml:space="preserve"> and visual language</w:t>
      </w:r>
      <w:r w:rsidR="00ED0232" w:rsidRPr="00332F76">
        <w:t xml:space="preserve"> where appropriate. Excellent responses showed thorough preparation and deep knowledge of the selected artist and artwork, offering clear descriptions and </w:t>
      </w:r>
      <w:r w:rsidR="000E46AF" w:rsidRPr="00332F76">
        <w:t>well-chosen</w:t>
      </w:r>
      <w:r w:rsidR="00ED0232" w:rsidRPr="00332F76">
        <w:t xml:space="preserve"> examples to analyse the ideas or issues communicated by the artist. A wide range of the three </w:t>
      </w:r>
      <w:r w:rsidR="4C889BDC" w:rsidRPr="00332F76">
        <w:t>I</w:t>
      </w:r>
      <w:r w:rsidR="00ED0232" w:rsidRPr="00332F76">
        <w:t xml:space="preserve">nterpretive </w:t>
      </w:r>
      <w:r w:rsidR="000E46AF" w:rsidRPr="00332F76">
        <w:t xml:space="preserve">Lenses </w:t>
      </w:r>
      <w:r w:rsidR="00ED0232" w:rsidRPr="00332F76">
        <w:t>was integrated seamlessly, with the most successful responses applying the lenses confidently and accurately.</w:t>
      </w:r>
    </w:p>
    <w:p w14:paraId="2F1BF033" w14:textId="36B10E3C" w:rsidR="00ED0232" w:rsidRPr="00332F76" w:rsidRDefault="000E46AF" w:rsidP="00F178F3">
      <w:pPr>
        <w:pStyle w:val="BodyText"/>
      </w:pPr>
      <w:r w:rsidRPr="00332F76">
        <w:t>Responses that did not score well</w:t>
      </w:r>
      <w:r w:rsidR="00ED0232" w:rsidRPr="00332F76">
        <w:t xml:space="preserve"> did not clearly identify the </w:t>
      </w:r>
      <w:r w:rsidR="79485A63" w:rsidRPr="00332F76">
        <w:t>I</w:t>
      </w:r>
      <w:r w:rsidR="00ED0232" w:rsidRPr="00332F76">
        <w:t xml:space="preserve">nterpretive </w:t>
      </w:r>
      <w:r w:rsidRPr="00332F76">
        <w:t>L</w:t>
      </w:r>
      <w:r w:rsidR="00ED0232" w:rsidRPr="00332F76">
        <w:t>ens used</w:t>
      </w:r>
      <w:r w:rsidRPr="00332F76">
        <w:t>,</w:t>
      </w:r>
      <w:r w:rsidR="00ED0232" w:rsidRPr="00332F76">
        <w:t xml:space="preserve"> and showed inconsistency in applying that lens throughout the analysis. These responses would have been strengthened by focusing solely on the chosen artwork and incorporating specific, relevant examples to support an informed exploration of its ideas or issues.</w:t>
      </w:r>
    </w:p>
    <w:p w14:paraId="4BD7490F" w14:textId="417BDC7A" w:rsidR="000106B6" w:rsidRPr="00A23DEA" w:rsidRDefault="0002511C" w:rsidP="00E61466">
      <w:pPr>
        <w:pStyle w:val="BodyText"/>
      </w:pPr>
      <w:r w:rsidRPr="00A23DEA">
        <w:t xml:space="preserve">The following is an example of a </w:t>
      </w:r>
      <w:r w:rsidR="000E46AF" w:rsidRPr="00A23DEA">
        <w:t>high-</w:t>
      </w:r>
      <w:r w:rsidRPr="00A23DEA">
        <w:t>scoring response.</w:t>
      </w:r>
    </w:p>
    <w:p w14:paraId="7DF89C9E" w14:textId="2EBF8345" w:rsidR="006D43E6" w:rsidRPr="00332F76" w:rsidRDefault="006D43E6" w:rsidP="00CE5FE6">
      <w:pPr>
        <w:pStyle w:val="Studentresponse"/>
      </w:pPr>
      <w:r w:rsidRPr="00332F76">
        <w:t>Essenhigh’s vibrant and surreal enamel painting explores the cyclical nature of life and death as a part of nature. Through the hypnotic, sinuous and blooming movement of the tubular flower stems, topped with diaphanous, ghostly poppy heads, Essenhigh suggests a spiritual, soulful component inherent to nature. The presence of two fallen petals, curled inwards like a dead insect, suggest that the vase of poppies are reaching their end, commencing the inevitable process of decay and death. Yet, the female figure sitting silhouetted in the vase, playfully dipping her foot into the ripples of water, communicate that the flowers are still alive and will continue. They will renew, because of the life force kept inside the vase. Thus, Essenhigh proposes that nature does not end with death, but is kept alive with spirits (animism), persisting through time. Beauty of the poppies may fade, but the woman within, the personification of the poppies, remains youthful.</w:t>
      </w:r>
    </w:p>
    <w:p w14:paraId="09116395" w14:textId="2502D152" w:rsidR="000079FF" w:rsidRPr="00332F76" w:rsidRDefault="000079FF" w:rsidP="00A23DEA">
      <w:pPr>
        <w:pStyle w:val="Heading1"/>
      </w:pPr>
      <w:r w:rsidRPr="00332F76">
        <w:lastRenderedPageBreak/>
        <w:t>Question 4</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864"/>
      </w:tblGrid>
      <w:tr w:rsidR="00271CF5" w:rsidRPr="00332F76" w14:paraId="48E3A275" w14:textId="77777777" w:rsidTr="00113C44">
        <w:trPr>
          <w:cnfStyle w:val="100000000000" w:firstRow="1" w:lastRow="0" w:firstColumn="0" w:lastColumn="0" w:oddVBand="0" w:evenVBand="0" w:oddHBand="0" w:evenHBand="0" w:firstRowFirstColumn="0" w:firstRowLastColumn="0" w:lastRowFirstColumn="0" w:lastRowLastColumn="0"/>
        </w:trPr>
        <w:tc>
          <w:tcPr>
            <w:tcW w:w="599" w:type="dxa"/>
          </w:tcPr>
          <w:p w14:paraId="219C4F4B" w14:textId="77777777" w:rsidR="00271CF5" w:rsidRPr="00332F76" w:rsidRDefault="00271CF5" w:rsidP="008E6F30">
            <w:pPr>
              <w:pStyle w:val="Tablecondensedheading"/>
              <w:rPr>
                <w:lang w:val="en-AU"/>
              </w:rPr>
            </w:pPr>
            <w:r w:rsidRPr="00332F76">
              <w:rPr>
                <w:lang w:val="en-AU"/>
              </w:rPr>
              <w:t>Mark</w:t>
            </w:r>
          </w:p>
        </w:tc>
        <w:tc>
          <w:tcPr>
            <w:tcW w:w="576" w:type="dxa"/>
          </w:tcPr>
          <w:p w14:paraId="049AC358" w14:textId="77777777" w:rsidR="00271CF5" w:rsidRPr="00332F76" w:rsidRDefault="00271CF5" w:rsidP="008E6F30">
            <w:pPr>
              <w:pStyle w:val="Tablecondensedheading"/>
              <w:rPr>
                <w:lang w:val="en-AU"/>
              </w:rPr>
            </w:pPr>
            <w:r w:rsidRPr="00332F76">
              <w:rPr>
                <w:lang w:val="en-AU"/>
              </w:rPr>
              <w:t>0</w:t>
            </w:r>
          </w:p>
        </w:tc>
        <w:tc>
          <w:tcPr>
            <w:tcW w:w="576" w:type="dxa"/>
          </w:tcPr>
          <w:p w14:paraId="4044CB4E" w14:textId="77777777" w:rsidR="00271CF5" w:rsidRPr="00332F76" w:rsidRDefault="00271CF5" w:rsidP="008E6F30">
            <w:pPr>
              <w:pStyle w:val="Tablecondensedheading"/>
              <w:rPr>
                <w:lang w:val="en-AU"/>
              </w:rPr>
            </w:pPr>
            <w:r w:rsidRPr="00332F76">
              <w:rPr>
                <w:lang w:val="en-AU"/>
              </w:rPr>
              <w:t>1</w:t>
            </w:r>
          </w:p>
        </w:tc>
        <w:tc>
          <w:tcPr>
            <w:tcW w:w="576" w:type="dxa"/>
          </w:tcPr>
          <w:p w14:paraId="2A383BFD" w14:textId="77777777" w:rsidR="00271CF5" w:rsidRPr="00332F76" w:rsidRDefault="00271CF5" w:rsidP="008E6F30">
            <w:pPr>
              <w:pStyle w:val="Tablecondensedheading"/>
              <w:rPr>
                <w:lang w:val="en-AU"/>
              </w:rPr>
            </w:pPr>
            <w:r w:rsidRPr="00332F76">
              <w:rPr>
                <w:lang w:val="en-AU"/>
              </w:rPr>
              <w:t>2</w:t>
            </w:r>
          </w:p>
        </w:tc>
        <w:tc>
          <w:tcPr>
            <w:tcW w:w="576" w:type="dxa"/>
          </w:tcPr>
          <w:p w14:paraId="4A622BC8" w14:textId="77777777" w:rsidR="00271CF5" w:rsidRPr="00332F76" w:rsidRDefault="00271CF5" w:rsidP="008E6F30">
            <w:pPr>
              <w:pStyle w:val="Tablecondensedheading"/>
              <w:rPr>
                <w:lang w:val="en-AU"/>
              </w:rPr>
            </w:pPr>
            <w:r w:rsidRPr="00332F76">
              <w:rPr>
                <w:lang w:val="en-AU"/>
              </w:rPr>
              <w:t>3</w:t>
            </w:r>
          </w:p>
        </w:tc>
        <w:tc>
          <w:tcPr>
            <w:tcW w:w="576" w:type="dxa"/>
          </w:tcPr>
          <w:p w14:paraId="33366D73" w14:textId="77777777" w:rsidR="00271CF5" w:rsidRPr="00332F76" w:rsidRDefault="00271CF5" w:rsidP="008E6F30">
            <w:pPr>
              <w:pStyle w:val="Tablecondensedheading"/>
              <w:rPr>
                <w:lang w:val="en-AU"/>
              </w:rPr>
            </w:pPr>
            <w:r w:rsidRPr="00332F76">
              <w:rPr>
                <w:lang w:val="en-AU"/>
              </w:rPr>
              <w:t>4</w:t>
            </w:r>
          </w:p>
        </w:tc>
        <w:tc>
          <w:tcPr>
            <w:tcW w:w="576" w:type="dxa"/>
          </w:tcPr>
          <w:p w14:paraId="4A11ADCB" w14:textId="77777777" w:rsidR="00271CF5" w:rsidRPr="00332F76" w:rsidRDefault="00271CF5" w:rsidP="008E6F30">
            <w:pPr>
              <w:pStyle w:val="Tablecondensedheading"/>
              <w:rPr>
                <w:lang w:val="en-AU"/>
              </w:rPr>
            </w:pPr>
            <w:r w:rsidRPr="00332F76">
              <w:rPr>
                <w:lang w:val="en-AU"/>
              </w:rPr>
              <w:t>5</w:t>
            </w:r>
          </w:p>
        </w:tc>
        <w:tc>
          <w:tcPr>
            <w:tcW w:w="576" w:type="dxa"/>
          </w:tcPr>
          <w:p w14:paraId="1E12162B" w14:textId="079E68BE" w:rsidR="00271CF5" w:rsidRPr="00332F76" w:rsidRDefault="00271CF5" w:rsidP="008E6F30">
            <w:pPr>
              <w:pStyle w:val="Tablecondensedheading"/>
              <w:rPr>
                <w:lang w:val="en-AU"/>
              </w:rPr>
            </w:pPr>
            <w:r w:rsidRPr="00332F76">
              <w:rPr>
                <w:lang w:val="en-AU"/>
              </w:rPr>
              <w:t>6</w:t>
            </w:r>
          </w:p>
        </w:tc>
        <w:tc>
          <w:tcPr>
            <w:tcW w:w="576" w:type="dxa"/>
          </w:tcPr>
          <w:p w14:paraId="51C43A44" w14:textId="6324EF54" w:rsidR="00271CF5" w:rsidRPr="00332F76" w:rsidRDefault="00271CF5" w:rsidP="008E6F30">
            <w:pPr>
              <w:pStyle w:val="Tablecondensedheading"/>
              <w:rPr>
                <w:lang w:val="en-AU"/>
              </w:rPr>
            </w:pPr>
            <w:r w:rsidRPr="00332F76">
              <w:rPr>
                <w:lang w:val="en-AU"/>
              </w:rPr>
              <w:t>7</w:t>
            </w:r>
          </w:p>
        </w:tc>
        <w:tc>
          <w:tcPr>
            <w:tcW w:w="576" w:type="dxa"/>
          </w:tcPr>
          <w:p w14:paraId="2345167F" w14:textId="28E07AEB" w:rsidR="00271CF5" w:rsidRPr="00332F76" w:rsidRDefault="00271CF5" w:rsidP="008E6F30">
            <w:pPr>
              <w:pStyle w:val="Tablecondensedheading"/>
              <w:rPr>
                <w:lang w:val="en-AU"/>
              </w:rPr>
            </w:pPr>
            <w:r w:rsidRPr="00332F76">
              <w:rPr>
                <w:lang w:val="en-AU"/>
              </w:rPr>
              <w:t>8</w:t>
            </w:r>
          </w:p>
        </w:tc>
        <w:tc>
          <w:tcPr>
            <w:tcW w:w="864" w:type="dxa"/>
          </w:tcPr>
          <w:p w14:paraId="2C7CC022" w14:textId="77777777" w:rsidR="00271CF5" w:rsidRPr="00332F76" w:rsidRDefault="00271CF5" w:rsidP="008E6F30">
            <w:pPr>
              <w:pStyle w:val="Tablecondensedheading"/>
              <w:rPr>
                <w:lang w:val="en-AU"/>
              </w:rPr>
            </w:pPr>
            <w:r w:rsidRPr="00332F76">
              <w:rPr>
                <w:lang w:val="en-AU"/>
              </w:rPr>
              <w:t>Average</w:t>
            </w:r>
          </w:p>
        </w:tc>
      </w:tr>
      <w:tr w:rsidR="00747C9C" w:rsidRPr="00332F76" w14:paraId="6CB4944B" w14:textId="77777777" w:rsidTr="00113C44">
        <w:tc>
          <w:tcPr>
            <w:tcW w:w="599" w:type="dxa"/>
          </w:tcPr>
          <w:p w14:paraId="5FDC2EA1" w14:textId="77777777" w:rsidR="00747C9C" w:rsidRPr="00332F76" w:rsidRDefault="00747C9C" w:rsidP="00747C9C">
            <w:pPr>
              <w:pStyle w:val="Tablecondensed"/>
              <w:rPr>
                <w:lang w:val="en-AU"/>
              </w:rPr>
            </w:pPr>
            <w:r w:rsidRPr="00332F76">
              <w:rPr>
                <w:lang w:val="en-AU"/>
              </w:rPr>
              <w:t>%</w:t>
            </w:r>
          </w:p>
        </w:tc>
        <w:tc>
          <w:tcPr>
            <w:tcW w:w="576" w:type="dxa"/>
          </w:tcPr>
          <w:p w14:paraId="1CF5C54F" w14:textId="0C817BA4" w:rsidR="00747C9C" w:rsidRPr="00332F76" w:rsidRDefault="00747C9C" w:rsidP="00747C9C">
            <w:pPr>
              <w:pStyle w:val="Tablecondensed"/>
              <w:rPr>
                <w:lang w:val="en-AU"/>
              </w:rPr>
            </w:pPr>
            <w:r w:rsidRPr="00332F76">
              <w:rPr>
                <w:lang w:val="en-AU"/>
              </w:rPr>
              <w:t>6</w:t>
            </w:r>
          </w:p>
        </w:tc>
        <w:tc>
          <w:tcPr>
            <w:tcW w:w="576" w:type="dxa"/>
          </w:tcPr>
          <w:p w14:paraId="1B9F33FB" w14:textId="5E7107A9" w:rsidR="00747C9C" w:rsidRPr="00332F76" w:rsidRDefault="00747C9C" w:rsidP="00747C9C">
            <w:pPr>
              <w:pStyle w:val="Tablecondensed"/>
              <w:rPr>
                <w:lang w:val="en-AU"/>
              </w:rPr>
            </w:pPr>
            <w:r w:rsidRPr="00332F76">
              <w:rPr>
                <w:lang w:val="en-AU"/>
              </w:rPr>
              <w:t>1</w:t>
            </w:r>
          </w:p>
        </w:tc>
        <w:tc>
          <w:tcPr>
            <w:tcW w:w="576" w:type="dxa"/>
          </w:tcPr>
          <w:p w14:paraId="4599D436" w14:textId="313FCA5E" w:rsidR="00747C9C" w:rsidRPr="00332F76" w:rsidRDefault="00747C9C" w:rsidP="00747C9C">
            <w:pPr>
              <w:pStyle w:val="Tablecondensed"/>
              <w:rPr>
                <w:lang w:val="en-AU"/>
              </w:rPr>
            </w:pPr>
            <w:r w:rsidRPr="00332F76">
              <w:rPr>
                <w:lang w:val="en-AU"/>
              </w:rPr>
              <w:t>3</w:t>
            </w:r>
          </w:p>
        </w:tc>
        <w:tc>
          <w:tcPr>
            <w:tcW w:w="576" w:type="dxa"/>
          </w:tcPr>
          <w:p w14:paraId="396F0604" w14:textId="7743482B" w:rsidR="00747C9C" w:rsidRPr="00332F76" w:rsidRDefault="00747C9C" w:rsidP="00747C9C">
            <w:pPr>
              <w:pStyle w:val="Tablecondensed"/>
              <w:rPr>
                <w:lang w:val="en-AU"/>
              </w:rPr>
            </w:pPr>
            <w:r w:rsidRPr="00332F76">
              <w:rPr>
                <w:lang w:val="en-AU"/>
              </w:rPr>
              <w:t>6</w:t>
            </w:r>
          </w:p>
        </w:tc>
        <w:tc>
          <w:tcPr>
            <w:tcW w:w="576" w:type="dxa"/>
          </w:tcPr>
          <w:p w14:paraId="73469E98" w14:textId="6B349985" w:rsidR="00747C9C" w:rsidRPr="00332F76" w:rsidRDefault="00747C9C" w:rsidP="00747C9C">
            <w:pPr>
              <w:pStyle w:val="Tablecondensed"/>
              <w:rPr>
                <w:lang w:val="en-AU"/>
              </w:rPr>
            </w:pPr>
            <w:r w:rsidRPr="00332F76">
              <w:rPr>
                <w:lang w:val="en-AU"/>
              </w:rPr>
              <w:t>17</w:t>
            </w:r>
          </w:p>
        </w:tc>
        <w:tc>
          <w:tcPr>
            <w:tcW w:w="576" w:type="dxa"/>
          </w:tcPr>
          <w:p w14:paraId="773F1092" w14:textId="5BF285EA" w:rsidR="00747C9C" w:rsidRPr="00332F76" w:rsidRDefault="00747C9C" w:rsidP="00747C9C">
            <w:pPr>
              <w:pStyle w:val="Tablecondensed"/>
              <w:rPr>
                <w:lang w:val="en-AU"/>
              </w:rPr>
            </w:pPr>
            <w:r w:rsidRPr="00332F76">
              <w:rPr>
                <w:lang w:val="en-AU"/>
              </w:rPr>
              <w:t>31</w:t>
            </w:r>
          </w:p>
        </w:tc>
        <w:tc>
          <w:tcPr>
            <w:tcW w:w="576" w:type="dxa"/>
          </w:tcPr>
          <w:p w14:paraId="2AC5F2CE" w14:textId="020852EE" w:rsidR="00747C9C" w:rsidRPr="00332F76" w:rsidRDefault="00747C9C" w:rsidP="00747C9C">
            <w:pPr>
              <w:pStyle w:val="Tablecondensed"/>
              <w:rPr>
                <w:lang w:val="en-AU"/>
              </w:rPr>
            </w:pPr>
            <w:r w:rsidRPr="00332F76">
              <w:rPr>
                <w:lang w:val="en-AU"/>
              </w:rPr>
              <w:t>17</w:t>
            </w:r>
          </w:p>
        </w:tc>
        <w:tc>
          <w:tcPr>
            <w:tcW w:w="576" w:type="dxa"/>
          </w:tcPr>
          <w:p w14:paraId="385DF575" w14:textId="14621DAD" w:rsidR="00747C9C" w:rsidRPr="00332F76" w:rsidRDefault="00747C9C" w:rsidP="00747C9C">
            <w:pPr>
              <w:pStyle w:val="Tablecondensed"/>
              <w:rPr>
                <w:lang w:val="en-AU"/>
              </w:rPr>
            </w:pPr>
            <w:r w:rsidRPr="00332F76">
              <w:rPr>
                <w:lang w:val="en-AU"/>
              </w:rPr>
              <w:t>12</w:t>
            </w:r>
          </w:p>
        </w:tc>
        <w:tc>
          <w:tcPr>
            <w:tcW w:w="576" w:type="dxa"/>
          </w:tcPr>
          <w:p w14:paraId="496BABD9" w14:textId="13192595" w:rsidR="00747C9C" w:rsidRPr="00332F76" w:rsidRDefault="00747C9C" w:rsidP="00747C9C">
            <w:pPr>
              <w:pStyle w:val="Tablecondensed"/>
              <w:rPr>
                <w:lang w:val="en-AU"/>
              </w:rPr>
            </w:pPr>
            <w:r w:rsidRPr="00332F76">
              <w:rPr>
                <w:lang w:val="en-AU"/>
              </w:rPr>
              <w:t>6</w:t>
            </w:r>
          </w:p>
        </w:tc>
        <w:tc>
          <w:tcPr>
            <w:tcW w:w="864" w:type="dxa"/>
          </w:tcPr>
          <w:p w14:paraId="42AC7295" w14:textId="473C7DFF" w:rsidR="00747C9C" w:rsidRPr="00332F76" w:rsidRDefault="00747C9C" w:rsidP="00747C9C">
            <w:pPr>
              <w:pStyle w:val="Tablecondensed"/>
              <w:rPr>
                <w:lang w:val="en-AU"/>
              </w:rPr>
            </w:pPr>
            <w:r w:rsidRPr="00332F76">
              <w:rPr>
                <w:lang w:val="en-AU"/>
              </w:rPr>
              <w:t>4.</w:t>
            </w:r>
            <w:r w:rsidR="00E61466" w:rsidRPr="00332F76">
              <w:rPr>
                <w:lang w:val="en-AU"/>
              </w:rPr>
              <w:t>9</w:t>
            </w:r>
          </w:p>
        </w:tc>
      </w:tr>
    </w:tbl>
    <w:p w14:paraId="3FF9DA4F" w14:textId="461C02D6" w:rsidR="00B56539" w:rsidRPr="00332F76" w:rsidRDefault="00E61466" w:rsidP="00F178F3">
      <w:pPr>
        <w:pStyle w:val="BodyText"/>
        <w:rPr>
          <w:shd w:val="clear" w:color="auto" w:fill="F8F9FA"/>
        </w:rPr>
      </w:pPr>
      <w:r w:rsidRPr="00332F76">
        <w:rPr>
          <w:shd w:val="clear" w:color="auto" w:fill="F8F9FA"/>
        </w:rPr>
        <w:t>S</w:t>
      </w:r>
      <w:r w:rsidR="008B678E" w:rsidRPr="00332F76">
        <w:rPr>
          <w:shd w:val="clear" w:color="auto" w:fill="F8F9FA"/>
        </w:rPr>
        <w:t xml:space="preserve">tudents were asked to analyse the use of visual language to communicate meaning in the artwork </w:t>
      </w:r>
      <w:r w:rsidR="008B678E" w:rsidRPr="00332F76">
        <w:rPr>
          <w:i/>
          <w:shd w:val="clear" w:color="auto" w:fill="F8F9FA"/>
        </w:rPr>
        <w:t>Rudolf and Bambi</w:t>
      </w:r>
      <w:r w:rsidR="008B678E" w:rsidRPr="00332F76">
        <w:rPr>
          <w:iCs/>
          <w:shd w:val="clear" w:color="auto" w:fill="F8F9FA"/>
        </w:rPr>
        <w:t>,</w:t>
      </w:r>
      <w:r w:rsidR="008B678E" w:rsidRPr="00332F76">
        <w:rPr>
          <w:shd w:val="clear" w:color="auto" w:fill="F8F9FA"/>
        </w:rPr>
        <w:t xml:space="preserve"> by Bharti Kher. </w:t>
      </w:r>
      <w:r w:rsidR="0012083A" w:rsidRPr="00332F76">
        <w:rPr>
          <w:shd w:val="clear" w:color="auto" w:fill="F8F9FA"/>
        </w:rPr>
        <w:t>Responses that scored highly</w:t>
      </w:r>
      <w:r w:rsidR="008B678E" w:rsidRPr="00332F76">
        <w:rPr>
          <w:shd w:val="clear" w:color="auto" w:fill="F8F9FA"/>
        </w:rPr>
        <w:t xml:space="preserve"> </w:t>
      </w:r>
      <w:r w:rsidR="001C5F7E" w:rsidRPr="00332F76">
        <w:rPr>
          <w:shd w:val="clear" w:color="auto" w:fill="F8F9FA"/>
        </w:rPr>
        <w:t>were well</w:t>
      </w:r>
      <w:r w:rsidRPr="00332F76">
        <w:rPr>
          <w:shd w:val="clear" w:color="auto" w:fill="F8F9FA"/>
        </w:rPr>
        <w:t xml:space="preserve"> </w:t>
      </w:r>
      <w:r w:rsidR="001C5F7E" w:rsidRPr="00332F76">
        <w:rPr>
          <w:shd w:val="clear" w:color="auto" w:fill="F8F9FA"/>
        </w:rPr>
        <w:t xml:space="preserve">structured and </w:t>
      </w:r>
      <w:r w:rsidR="00D35224" w:rsidRPr="00332F76">
        <w:rPr>
          <w:shd w:val="clear" w:color="auto" w:fill="F8F9FA"/>
        </w:rPr>
        <w:t>coherent and</w:t>
      </w:r>
      <w:r w:rsidR="001C5F7E" w:rsidRPr="00332F76">
        <w:rPr>
          <w:shd w:val="clear" w:color="auto" w:fill="F8F9FA"/>
        </w:rPr>
        <w:t xml:space="preserve"> </w:t>
      </w:r>
      <w:r w:rsidR="008B678E" w:rsidRPr="00332F76">
        <w:rPr>
          <w:shd w:val="clear" w:color="auto" w:fill="F8F9FA"/>
        </w:rPr>
        <w:t>specifically referenced the visual language component, discussing elements beyond subject matter, such as the materials, techniques, processes, and the elements and principles of art. These students identified and used specific evidence from the artwork to support their answers. The strongest responses analysed the symbolism of these materials and objects and how the artist used them to create meaning.</w:t>
      </w:r>
      <w:r w:rsidR="00B56539" w:rsidRPr="00332F76">
        <w:rPr>
          <w:shd w:val="clear" w:color="auto" w:fill="F8F9FA"/>
        </w:rPr>
        <w:t xml:space="preserve"> </w:t>
      </w:r>
    </w:p>
    <w:p w14:paraId="416FBE27" w14:textId="43A6D0A4" w:rsidR="008B678E" w:rsidRPr="00332F76" w:rsidRDefault="0012083A" w:rsidP="00F178F3">
      <w:pPr>
        <w:pStyle w:val="BodyText"/>
        <w:rPr>
          <w:shd w:val="clear" w:color="auto" w:fill="F8F9FA"/>
        </w:rPr>
      </w:pPr>
      <w:r w:rsidRPr="00332F76">
        <w:rPr>
          <w:shd w:val="clear" w:color="auto" w:fill="F8F9FA"/>
        </w:rPr>
        <w:t>Responses that did not score well</w:t>
      </w:r>
      <w:r w:rsidR="00B56539" w:rsidRPr="00332F76">
        <w:rPr>
          <w:shd w:val="clear" w:color="auto" w:fill="F8F9FA"/>
        </w:rPr>
        <w:t xml:space="preserve"> tended to rewrite the written source information without expanding on it. They did not consider all aspects of visual language and </w:t>
      </w:r>
      <w:r w:rsidR="04032732" w:rsidRPr="00332F76">
        <w:rPr>
          <w:shd w:val="clear" w:color="auto" w:fill="F8F9FA"/>
        </w:rPr>
        <w:t>limited their discuss</w:t>
      </w:r>
      <w:r w:rsidRPr="00332F76">
        <w:rPr>
          <w:shd w:val="clear" w:color="auto" w:fill="F8F9FA"/>
        </w:rPr>
        <w:t>ion</w:t>
      </w:r>
      <w:r w:rsidR="04032732" w:rsidRPr="00332F76">
        <w:rPr>
          <w:shd w:val="clear" w:color="auto" w:fill="F8F9FA"/>
        </w:rPr>
        <w:t xml:space="preserve"> to only focus on one area, such as </w:t>
      </w:r>
      <w:r w:rsidR="00B56539" w:rsidRPr="00332F76">
        <w:rPr>
          <w:shd w:val="clear" w:color="auto" w:fill="F8F9FA"/>
        </w:rPr>
        <w:t xml:space="preserve">subject matter. It is recommended that students read the information </w:t>
      </w:r>
      <w:r w:rsidR="617D5BDC" w:rsidRPr="00332F76">
        <w:t xml:space="preserve">such as the title of the artwork, date, size and materials </w:t>
      </w:r>
      <w:r w:rsidR="00B56539" w:rsidRPr="00332F76">
        <w:rPr>
          <w:shd w:val="clear" w:color="auto" w:fill="F8F9FA"/>
        </w:rPr>
        <w:t>carefully</w:t>
      </w:r>
      <w:r w:rsidR="3CFB37C5" w:rsidRPr="00332F76">
        <w:t xml:space="preserve"> to inform their response</w:t>
      </w:r>
      <w:r w:rsidR="00B56539" w:rsidRPr="00332F76">
        <w:rPr>
          <w:shd w:val="clear" w:color="auto" w:fill="F8F9FA"/>
        </w:rPr>
        <w:t>.</w:t>
      </w:r>
    </w:p>
    <w:p w14:paraId="7CF99333" w14:textId="719F0223" w:rsidR="0002511C" w:rsidRPr="00A23DEA" w:rsidRDefault="0002511C" w:rsidP="00E61466">
      <w:pPr>
        <w:pStyle w:val="BodyText"/>
      </w:pPr>
      <w:r w:rsidRPr="00A23DEA">
        <w:t xml:space="preserve">The following is an example of a </w:t>
      </w:r>
      <w:r w:rsidR="0012083A" w:rsidRPr="00A23DEA">
        <w:t>high-</w:t>
      </w:r>
      <w:r w:rsidRPr="00A23DEA">
        <w:t>scoring response.</w:t>
      </w:r>
    </w:p>
    <w:p w14:paraId="56BDE39C" w14:textId="4E96FE95" w:rsidR="00DC2F83" w:rsidRPr="00332F76" w:rsidRDefault="008869E3" w:rsidP="00CE5FE6">
      <w:pPr>
        <w:pStyle w:val="Studentresponse"/>
      </w:pPr>
      <w:r w:rsidRPr="00332F76">
        <w:t xml:space="preserve">The chilling </w:t>
      </w:r>
      <w:r w:rsidR="008B255B" w:rsidRPr="00332F76">
        <w:t>unsettling</w:t>
      </w:r>
      <w:r w:rsidRPr="00332F76">
        <w:t xml:space="preserve"> depiction of the two western characters in vigorous accuracy and realism distorts the child appealing narrative of Rudolf and Bambi, as their two dimensional animated form is disrupted in Kher’s life like fiberglass sculptures. </w:t>
      </w:r>
      <w:r w:rsidR="00DC2F83" w:rsidRPr="00332F76">
        <w:t xml:space="preserve">The showering of bindis covering the fur re-imagines the story of the two characters as Kher alludes to a new message of inclusivity, realism and truth. Transforming these characters from their animated form allows viewers to see the animals for their real authentic selves. The faux depiction in various popular culture films is distorted, as the laying of red bindis looks almost like blood, showering the deer, in tandem with the lack of red nose the red associated with Rudolf is reimagined. The use of fiberglass for the seemingly real characters highlights their fabrication and turmoil as the animals suffer. The blood red bindis may serve as a message of advocacy as the artist communicates themes of suffering and feeling like prey, as the timid, fragile creatures </w:t>
      </w:r>
      <w:r w:rsidR="007B5D0E" w:rsidRPr="00332F76">
        <w:t>daintily</w:t>
      </w:r>
      <w:r w:rsidR="00DC2F83" w:rsidRPr="00332F76">
        <w:t xml:space="preserve"> look at viewers.</w:t>
      </w:r>
    </w:p>
    <w:p w14:paraId="4B544786" w14:textId="1DCD4A57" w:rsidR="000079FF" w:rsidRPr="00332F76" w:rsidRDefault="000079FF" w:rsidP="00A23DEA">
      <w:pPr>
        <w:pStyle w:val="Heading1"/>
      </w:pPr>
      <w:r w:rsidRPr="00332F76">
        <w:t>Question 5</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864"/>
      </w:tblGrid>
      <w:tr w:rsidR="00747C9C" w:rsidRPr="00332F76" w14:paraId="0B92547E" w14:textId="77777777" w:rsidTr="00113C44">
        <w:trPr>
          <w:cnfStyle w:val="100000000000" w:firstRow="1" w:lastRow="0" w:firstColumn="0" w:lastColumn="0" w:oddVBand="0" w:evenVBand="0" w:oddHBand="0" w:evenHBand="0" w:firstRowFirstColumn="0" w:firstRowLastColumn="0" w:lastRowFirstColumn="0" w:lastRowLastColumn="0"/>
        </w:trPr>
        <w:tc>
          <w:tcPr>
            <w:tcW w:w="599" w:type="dxa"/>
          </w:tcPr>
          <w:p w14:paraId="2F064FD1" w14:textId="77777777" w:rsidR="00747C9C" w:rsidRPr="00332F76" w:rsidRDefault="00747C9C" w:rsidP="008E6F30">
            <w:pPr>
              <w:pStyle w:val="Tablecondensedheading"/>
              <w:rPr>
                <w:lang w:val="en-AU"/>
              </w:rPr>
            </w:pPr>
            <w:bookmarkStart w:id="2" w:name="_Hlk216772755"/>
            <w:r w:rsidRPr="00332F76">
              <w:rPr>
                <w:lang w:val="en-AU"/>
              </w:rPr>
              <w:t>Mark</w:t>
            </w:r>
          </w:p>
        </w:tc>
        <w:tc>
          <w:tcPr>
            <w:tcW w:w="576" w:type="dxa"/>
          </w:tcPr>
          <w:p w14:paraId="2030C152" w14:textId="77777777" w:rsidR="00747C9C" w:rsidRPr="00332F76" w:rsidRDefault="00747C9C" w:rsidP="008E6F30">
            <w:pPr>
              <w:pStyle w:val="Tablecondensedheading"/>
              <w:rPr>
                <w:lang w:val="en-AU"/>
              </w:rPr>
            </w:pPr>
            <w:r w:rsidRPr="00332F76">
              <w:rPr>
                <w:lang w:val="en-AU"/>
              </w:rPr>
              <w:t>0</w:t>
            </w:r>
          </w:p>
        </w:tc>
        <w:tc>
          <w:tcPr>
            <w:tcW w:w="576" w:type="dxa"/>
          </w:tcPr>
          <w:p w14:paraId="097529B4" w14:textId="77777777" w:rsidR="00747C9C" w:rsidRPr="00332F76" w:rsidRDefault="00747C9C" w:rsidP="008E6F30">
            <w:pPr>
              <w:pStyle w:val="Tablecondensedheading"/>
              <w:rPr>
                <w:lang w:val="en-AU"/>
              </w:rPr>
            </w:pPr>
            <w:r w:rsidRPr="00332F76">
              <w:rPr>
                <w:lang w:val="en-AU"/>
              </w:rPr>
              <w:t>1</w:t>
            </w:r>
          </w:p>
        </w:tc>
        <w:tc>
          <w:tcPr>
            <w:tcW w:w="576" w:type="dxa"/>
          </w:tcPr>
          <w:p w14:paraId="6ECD99BB" w14:textId="77777777" w:rsidR="00747C9C" w:rsidRPr="00332F76" w:rsidRDefault="00747C9C" w:rsidP="008E6F30">
            <w:pPr>
              <w:pStyle w:val="Tablecondensedheading"/>
              <w:rPr>
                <w:lang w:val="en-AU"/>
              </w:rPr>
            </w:pPr>
            <w:r w:rsidRPr="00332F76">
              <w:rPr>
                <w:lang w:val="en-AU"/>
              </w:rPr>
              <w:t>2</w:t>
            </w:r>
          </w:p>
        </w:tc>
        <w:tc>
          <w:tcPr>
            <w:tcW w:w="576" w:type="dxa"/>
          </w:tcPr>
          <w:p w14:paraId="608F95BD" w14:textId="77777777" w:rsidR="00747C9C" w:rsidRPr="00332F76" w:rsidRDefault="00747C9C" w:rsidP="008E6F30">
            <w:pPr>
              <w:pStyle w:val="Tablecondensedheading"/>
              <w:rPr>
                <w:lang w:val="en-AU"/>
              </w:rPr>
            </w:pPr>
            <w:r w:rsidRPr="00332F76">
              <w:rPr>
                <w:lang w:val="en-AU"/>
              </w:rPr>
              <w:t>3</w:t>
            </w:r>
          </w:p>
        </w:tc>
        <w:tc>
          <w:tcPr>
            <w:tcW w:w="576" w:type="dxa"/>
          </w:tcPr>
          <w:p w14:paraId="7F7068C5" w14:textId="77777777" w:rsidR="00747C9C" w:rsidRPr="00332F76" w:rsidRDefault="00747C9C" w:rsidP="008E6F30">
            <w:pPr>
              <w:pStyle w:val="Tablecondensedheading"/>
              <w:rPr>
                <w:lang w:val="en-AU"/>
              </w:rPr>
            </w:pPr>
            <w:r w:rsidRPr="00332F76">
              <w:rPr>
                <w:lang w:val="en-AU"/>
              </w:rPr>
              <w:t>4</w:t>
            </w:r>
          </w:p>
        </w:tc>
        <w:tc>
          <w:tcPr>
            <w:tcW w:w="576" w:type="dxa"/>
          </w:tcPr>
          <w:p w14:paraId="16704A1A" w14:textId="77777777" w:rsidR="00747C9C" w:rsidRPr="00332F76" w:rsidRDefault="00747C9C" w:rsidP="008E6F30">
            <w:pPr>
              <w:pStyle w:val="Tablecondensedheading"/>
              <w:rPr>
                <w:lang w:val="en-AU"/>
              </w:rPr>
            </w:pPr>
            <w:r w:rsidRPr="00332F76">
              <w:rPr>
                <w:lang w:val="en-AU"/>
              </w:rPr>
              <w:t>5</w:t>
            </w:r>
          </w:p>
        </w:tc>
        <w:tc>
          <w:tcPr>
            <w:tcW w:w="576" w:type="dxa"/>
          </w:tcPr>
          <w:p w14:paraId="6CD776B9" w14:textId="77777777" w:rsidR="00747C9C" w:rsidRPr="00332F76" w:rsidRDefault="00747C9C" w:rsidP="008E6F30">
            <w:pPr>
              <w:pStyle w:val="Tablecondensedheading"/>
              <w:rPr>
                <w:lang w:val="en-AU"/>
              </w:rPr>
            </w:pPr>
            <w:r w:rsidRPr="00332F76">
              <w:rPr>
                <w:lang w:val="en-AU"/>
              </w:rPr>
              <w:t>6</w:t>
            </w:r>
          </w:p>
        </w:tc>
        <w:tc>
          <w:tcPr>
            <w:tcW w:w="576" w:type="dxa"/>
          </w:tcPr>
          <w:p w14:paraId="20F288A7" w14:textId="77777777" w:rsidR="00747C9C" w:rsidRPr="00332F76" w:rsidRDefault="00747C9C" w:rsidP="008E6F30">
            <w:pPr>
              <w:pStyle w:val="Tablecondensedheading"/>
              <w:rPr>
                <w:lang w:val="en-AU"/>
              </w:rPr>
            </w:pPr>
            <w:r w:rsidRPr="00332F76">
              <w:rPr>
                <w:lang w:val="en-AU"/>
              </w:rPr>
              <w:t>7</w:t>
            </w:r>
          </w:p>
        </w:tc>
        <w:tc>
          <w:tcPr>
            <w:tcW w:w="576" w:type="dxa"/>
          </w:tcPr>
          <w:p w14:paraId="13712272" w14:textId="77777777" w:rsidR="00747C9C" w:rsidRPr="00332F76" w:rsidRDefault="00747C9C" w:rsidP="008E6F30">
            <w:pPr>
              <w:pStyle w:val="Tablecondensedheading"/>
              <w:rPr>
                <w:lang w:val="en-AU"/>
              </w:rPr>
            </w:pPr>
            <w:r w:rsidRPr="00332F76">
              <w:rPr>
                <w:lang w:val="en-AU"/>
              </w:rPr>
              <w:t>8</w:t>
            </w:r>
          </w:p>
        </w:tc>
        <w:tc>
          <w:tcPr>
            <w:tcW w:w="864" w:type="dxa"/>
          </w:tcPr>
          <w:p w14:paraId="76433698" w14:textId="77777777" w:rsidR="00747C9C" w:rsidRPr="00332F76" w:rsidRDefault="00747C9C" w:rsidP="008E6F30">
            <w:pPr>
              <w:pStyle w:val="Tablecondensedheading"/>
              <w:rPr>
                <w:lang w:val="en-AU"/>
              </w:rPr>
            </w:pPr>
            <w:r w:rsidRPr="00332F76">
              <w:rPr>
                <w:lang w:val="en-AU"/>
              </w:rPr>
              <w:t>Average</w:t>
            </w:r>
          </w:p>
        </w:tc>
      </w:tr>
      <w:tr w:rsidR="00747C9C" w:rsidRPr="00332F76" w14:paraId="696FEEC1" w14:textId="77777777" w:rsidTr="00113C44">
        <w:tc>
          <w:tcPr>
            <w:tcW w:w="599" w:type="dxa"/>
          </w:tcPr>
          <w:p w14:paraId="07C00F36" w14:textId="77777777" w:rsidR="00747C9C" w:rsidRPr="00332F76" w:rsidRDefault="00747C9C" w:rsidP="00747C9C">
            <w:pPr>
              <w:pStyle w:val="Tablecondensed"/>
              <w:rPr>
                <w:lang w:val="en-AU"/>
              </w:rPr>
            </w:pPr>
            <w:r w:rsidRPr="00332F76">
              <w:rPr>
                <w:lang w:val="en-AU"/>
              </w:rPr>
              <w:t>%</w:t>
            </w:r>
          </w:p>
        </w:tc>
        <w:tc>
          <w:tcPr>
            <w:tcW w:w="576" w:type="dxa"/>
          </w:tcPr>
          <w:p w14:paraId="6E144F40" w14:textId="646DC86B" w:rsidR="00747C9C" w:rsidRPr="00332F76" w:rsidRDefault="00747C9C" w:rsidP="00747C9C">
            <w:pPr>
              <w:pStyle w:val="Tablecondensed"/>
              <w:rPr>
                <w:lang w:val="en-AU"/>
              </w:rPr>
            </w:pPr>
            <w:r w:rsidRPr="00332F76">
              <w:rPr>
                <w:lang w:val="en-AU"/>
              </w:rPr>
              <w:t>9</w:t>
            </w:r>
          </w:p>
        </w:tc>
        <w:tc>
          <w:tcPr>
            <w:tcW w:w="576" w:type="dxa"/>
          </w:tcPr>
          <w:p w14:paraId="1C3132C7" w14:textId="5FF7982A" w:rsidR="00747C9C" w:rsidRPr="00332F76" w:rsidRDefault="00747C9C" w:rsidP="00747C9C">
            <w:pPr>
              <w:pStyle w:val="Tablecondensed"/>
              <w:rPr>
                <w:lang w:val="en-AU"/>
              </w:rPr>
            </w:pPr>
            <w:r w:rsidRPr="00332F76">
              <w:rPr>
                <w:lang w:val="en-AU"/>
              </w:rPr>
              <w:t>3</w:t>
            </w:r>
          </w:p>
        </w:tc>
        <w:tc>
          <w:tcPr>
            <w:tcW w:w="576" w:type="dxa"/>
          </w:tcPr>
          <w:p w14:paraId="2675BEC2" w14:textId="557795E0" w:rsidR="00747C9C" w:rsidRPr="00332F76" w:rsidRDefault="00747C9C" w:rsidP="00747C9C">
            <w:pPr>
              <w:pStyle w:val="Tablecondensed"/>
              <w:rPr>
                <w:lang w:val="en-AU"/>
              </w:rPr>
            </w:pPr>
            <w:r w:rsidRPr="00332F76">
              <w:rPr>
                <w:lang w:val="en-AU"/>
              </w:rPr>
              <w:t>5</w:t>
            </w:r>
          </w:p>
        </w:tc>
        <w:tc>
          <w:tcPr>
            <w:tcW w:w="576" w:type="dxa"/>
          </w:tcPr>
          <w:p w14:paraId="0E23D060" w14:textId="6C5FFB2B" w:rsidR="00747C9C" w:rsidRPr="00332F76" w:rsidRDefault="00747C9C" w:rsidP="00747C9C">
            <w:pPr>
              <w:pStyle w:val="Tablecondensed"/>
              <w:rPr>
                <w:lang w:val="en-AU"/>
              </w:rPr>
            </w:pPr>
            <w:r w:rsidRPr="00332F76">
              <w:rPr>
                <w:lang w:val="en-AU"/>
              </w:rPr>
              <w:t>6</w:t>
            </w:r>
          </w:p>
        </w:tc>
        <w:tc>
          <w:tcPr>
            <w:tcW w:w="576" w:type="dxa"/>
          </w:tcPr>
          <w:p w14:paraId="0EFDB9B0" w14:textId="0BFB586C" w:rsidR="00747C9C" w:rsidRPr="00332F76" w:rsidRDefault="00747C9C" w:rsidP="00747C9C">
            <w:pPr>
              <w:pStyle w:val="Tablecondensed"/>
              <w:rPr>
                <w:lang w:val="en-AU"/>
              </w:rPr>
            </w:pPr>
            <w:r w:rsidRPr="00332F76">
              <w:rPr>
                <w:lang w:val="en-AU"/>
              </w:rPr>
              <w:t>13</w:t>
            </w:r>
          </w:p>
        </w:tc>
        <w:tc>
          <w:tcPr>
            <w:tcW w:w="576" w:type="dxa"/>
          </w:tcPr>
          <w:p w14:paraId="36C93B01" w14:textId="5D88350A" w:rsidR="00747C9C" w:rsidRPr="00332F76" w:rsidRDefault="00747C9C" w:rsidP="00747C9C">
            <w:pPr>
              <w:pStyle w:val="Tablecondensed"/>
              <w:rPr>
                <w:lang w:val="en-AU"/>
              </w:rPr>
            </w:pPr>
            <w:r w:rsidRPr="00332F76">
              <w:rPr>
                <w:lang w:val="en-AU"/>
              </w:rPr>
              <w:t>15</w:t>
            </w:r>
          </w:p>
        </w:tc>
        <w:tc>
          <w:tcPr>
            <w:tcW w:w="576" w:type="dxa"/>
          </w:tcPr>
          <w:p w14:paraId="60E95354" w14:textId="1C896F84" w:rsidR="00747C9C" w:rsidRPr="00332F76" w:rsidRDefault="00747C9C" w:rsidP="00747C9C">
            <w:pPr>
              <w:pStyle w:val="Tablecondensed"/>
              <w:rPr>
                <w:lang w:val="en-AU"/>
              </w:rPr>
            </w:pPr>
            <w:r w:rsidRPr="00332F76">
              <w:rPr>
                <w:lang w:val="en-AU"/>
              </w:rPr>
              <w:t>22</w:t>
            </w:r>
          </w:p>
        </w:tc>
        <w:tc>
          <w:tcPr>
            <w:tcW w:w="576" w:type="dxa"/>
          </w:tcPr>
          <w:p w14:paraId="722E9FAB" w14:textId="7B965AA2" w:rsidR="00747C9C" w:rsidRPr="00332F76" w:rsidRDefault="00747C9C" w:rsidP="00747C9C">
            <w:pPr>
              <w:pStyle w:val="Tablecondensed"/>
              <w:rPr>
                <w:lang w:val="en-AU"/>
              </w:rPr>
            </w:pPr>
            <w:r w:rsidRPr="00332F76">
              <w:rPr>
                <w:lang w:val="en-AU"/>
              </w:rPr>
              <w:t>18</w:t>
            </w:r>
          </w:p>
        </w:tc>
        <w:tc>
          <w:tcPr>
            <w:tcW w:w="576" w:type="dxa"/>
          </w:tcPr>
          <w:p w14:paraId="01B06161" w14:textId="2F43842D" w:rsidR="00747C9C" w:rsidRPr="00332F76" w:rsidRDefault="00747C9C" w:rsidP="00747C9C">
            <w:pPr>
              <w:pStyle w:val="Tablecondensed"/>
              <w:rPr>
                <w:lang w:val="en-AU"/>
              </w:rPr>
            </w:pPr>
            <w:r w:rsidRPr="00332F76">
              <w:rPr>
                <w:lang w:val="en-AU"/>
              </w:rPr>
              <w:t>10</w:t>
            </w:r>
          </w:p>
        </w:tc>
        <w:tc>
          <w:tcPr>
            <w:tcW w:w="864" w:type="dxa"/>
          </w:tcPr>
          <w:p w14:paraId="66947C42" w14:textId="49A085F7" w:rsidR="00747C9C" w:rsidRPr="00332F76" w:rsidRDefault="00747C9C" w:rsidP="00747C9C">
            <w:pPr>
              <w:pStyle w:val="Tablecondensed"/>
              <w:rPr>
                <w:lang w:val="en-AU"/>
              </w:rPr>
            </w:pPr>
            <w:r w:rsidRPr="00332F76">
              <w:rPr>
                <w:lang w:val="en-AU"/>
              </w:rPr>
              <w:t>4.9</w:t>
            </w:r>
          </w:p>
        </w:tc>
      </w:tr>
    </w:tbl>
    <w:bookmarkEnd w:id="2"/>
    <w:p w14:paraId="6BB0D90C" w14:textId="7B82B0B3" w:rsidR="0068430F" w:rsidRPr="00332F76" w:rsidRDefault="00E61466" w:rsidP="00F178F3">
      <w:pPr>
        <w:pStyle w:val="BodyText"/>
        <w:rPr>
          <w:shd w:val="clear" w:color="auto" w:fill="F8F9FA"/>
        </w:rPr>
      </w:pPr>
      <w:r w:rsidRPr="00332F76">
        <w:t>S</w:t>
      </w:r>
      <w:r w:rsidR="00B56539" w:rsidRPr="00332F76">
        <w:t>tudents were required to d</w:t>
      </w:r>
      <w:r w:rsidR="000079FF" w:rsidRPr="00332F76">
        <w:t>iscuss how the different contexts of Megan Cope’s artwork communicate</w:t>
      </w:r>
      <w:r w:rsidR="00B56539" w:rsidRPr="00332F76">
        <w:t>d</w:t>
      </w:r>
      <w:r w:rsidR="000079FF" w:rsidRPr="00332F76">
        <w:t xml:space="preserve"> ideas and meanings</w:t>
      </w:r>
      <w:r w:rsidR="00B56539" w:rsidRPr="00332F76">
        <w:t xml:space="preserve">. </w:t>
      </w:r>
      <w:r w:rsidR="00B56539" w:rsidRPr="00332F76">
        <w:rPr>
          <w:color w:val="202124"/>
          <w:shd w:val="clear" w:color="auto" w:fill="F8F9FA"/>
        </w:rPr>
        <w:t xml:space="preserve">Most students responded very well to this question, with many making strong connections </w:t>
      </w:r>
      <w:r w:rsidR="0042799D" w:rsidRPr="00332F76">
        <w:rPr>
          <w:color w:val="202124"/>
          <w:shd w:val="clear" w:color="auto" w:fill="F8F9FA"/>
        </w:rPr>
        <w:t xml:space="preserve">about the different contexts in which the work was </w:t>
      </w:r>
      <w:r w:rsidR="00B56539" w:rsidRPr="00332F76">
        <w:rPr>
          <w:color w:val="202124"/>
          <w:shd w:val="clear" w:color="auto" w:fill="F8F9FA"/>
        </w:rPr>
        <w:t>presented.</w:t>
      </w:r>
      <w:r w:rsidR="0042799D" w:rsidRPr="00332F76">
        <w:rPr>
          <w:color w:val="202124"/>
          <w:shd w:val="clear" w:color="auto" w:fill="F8F9FA"/>
        </w:rPr>
        <w:t xml:space="preserve"> Many students presented thoughtful and insightful discussions about how meanings and messages shift when an artwork is viewed in a different context, particularly </w:t>
      </w:r>
      <w:r w:rsidR="59774E70" w:rsidRPr="00332F76">
        <w:rPr>
          <w:color w:val="202124"/>
        </w:rPr>
        <w:t xml:space="preserve">with reference to Aboriginal and Torres Strait Islander </w:t>
      </w:r>
      <w:r w:rsidR="4383D2D3" w:rsidRPr="00332F76">
        <w:rPr>
          <w:color w:val="202124"/>
        </w:rPr>
        <w:t>knowledge, cultures and histories</w:t>
      </w:r>
      <w:r w:rsidR="59774E70" w:rsidRPr="00332F76">
        <w:rPr>
          <w:color w:val="202124"/>
        </w:rPr>
        <w:t xml:space="preserve">. </w:t>
      </w:r>
      <w:r w:rsidR="0042799D" w:rsidRPr="00332F76">
        <w:rPr>
          <w:color w:val="202124"/>
          <w:shd w:val="clear" w:color="auto" w:fill="F8F9FA"/>
        </w:rPr>
        <w:t xml:space="preserve">Direct reference to </w:t>
      </w:r>
      <w:r w:rsidR="0D882785" w:rsidRPr="00332F76">
        <w:rPr>
          <w:color w:val="202124"/>
        </w:rPr>
        <w:t xml:space="preserve">the </w:t>
      </w:r>
      <w:r w:rsidR="0042799D" w:rsidRPr="00332F76">
        <w:rPr>
          <w:color w:val="202124"/>
          <w:shd w:val="clear" w:color="auto" w:fill="F8F9FA"/>
        </w:rPr>
        <w:t>information</w:t>
      </w:r>
      <w:r w:rsidR="58299502" w:rsidRPr="00332F76">
        <w:rPr>
          <w:color w:val="202124"/>
        </w:rPr>
        <w:t xml:space="preserve"> below the images</w:t>
      </w:r>
      <w:r w:rsidR="0042799D" w:rsidRPr="00332F76">
        <w:rPr>
          <w:color w:val="202124"/>
          <w:shd w:val="clear" w:color="auto" w:fill="F8F9FA"/>
        </w:rPr>
        <w:t xml:space="preserve"> and source material further strengthened and extended their </w:t>
      </w:r>
      <w:r w:rsidR="6D358BD7" w:rsidRPr="00332F76">
        <w:rPr>
          <w:color w:val="202124"/>
        </w:rPr>
        <w:t>discussion on context. Students are also reminded that there is a definitio</w:t>
      </w:r>
      <w:r w:rsidR="25910677" w:rsidRPr="00332F76">
        <w:rPr>
          <w:color w:val="202124"/>
        </w:rPr>
        <w:t xml:space="preserve">n of Context listed in the </w:t>
      </w:r>
      <w:r w:rsidRPr="00332F76">
        <w:rPr>
          <w:color w:val="202124"/>
        </w:rPr>
        <w:t>‘</w:t>
      </w:r>
      <w:r w:rsidR="25910677" w:rsidRPr="00332F76">
        <w:rPr>
          <w:color w:val="202124"/>
        </w:rPr>
        <w:t>Terms used in th</w:t>
      </w:r>
      <w:r w:rsidR="00F212C4" w:rsidRPr="00332F76">
        <w:rPr>
          <w:color w:val="202124"/>
        </w:rPr>
        <w:t>is</w:t>
      </w:r>
      <w:r w:rsidR="25910677" w:rsidRPr="00332F76">
        <w:rPr>
          <w:color w:val="202124"/>
        </w:rPr>
        <w:t xml:space="preserve"> study</w:t>
      </w:r>
      <w:r w:rsidRPr="00332F76">
        <w:rPr>
          <w:color w:val="202124"/>
        </w:rPr>
        <w:t>’ section</w:t>
      </w:r>
      <w:r w:rsidR="25910677" w:rsidRPr="00332F76">
        <w:rPr>
          <w:color w:val="202124"/>
        </w:rPr>
        <w:t xml:space="preserve"> on page 17 of the Art Creative Practice </w:t>
      </w:r>
      <w:r w:rsidRPr="00332F76">
        <w:rPr>
          <w:color w:val="202124"/>
        </w:rPr>
        <w:t>Study Design</w:t>
      </w:r>
      <w:r w:rsidR="25910677" w:rsidRPr="00332F76">
        <w:rPr>
          <w:color w:val="202124"/>
        </w:rPr>
        <w:t>.</w:t>
      </w:r>
      <w:r w:rsidR="6D358BD7" w:rsidRPr="00332F76">
        <w:rPr>
          <w:color w:val="202124"/>
        </w:rPr>
        <w:t xml:space="preserve"> </w:t>
      </w:r>
      <w:r w:rsidR="00F212C4" w:rsidRPr="00332F76">
        <w:rPr>
          <w:shd w:val="clear" w:color="auto" w:fill="F8F9FA"/>
        </w:rPr>
        <w:t>Responses that did not score well</w:t>
      </w:r>
      <w:r w:rsidR="0068430F" w:rsidRPr="00332F76">
        <w:rPr>
          <w:shd w:val="clear" w:color="auto" w:fill="F8F9FA"/>
        </w:rPr>
        <w:t xml:space="preserve"> analysed the meanings and messages conveyed within the artwork but may not have discussed the context of the </w:t>
      </w:r>
      <w:r w:rsidR="001C5F7E" w:rsidRPr="00332F76">
        <w:rPr>
          <w:shd w:val="clear" w:color="auto" w:fill="F8F9FA"/>
        </w:rPr>
        <w:t>work or</w:t>
      </w:r>
      <w:r w:rsidR="0068430F" w:rsidRPr="00332F76">
        <w:rPr>
          <w:shd w:val="clear" w:color="auto" w:fill="F8F9FA"/>
        </w:rPr>
        <w:t xml:space="preserve"> may have referred to only one context. </w:t>
      </w:r>
      <w:r w:rsidR="543C308F" w:rsidRPr="00332F76">
        <w:rPr>
          <w:shd w:val="clear" w:color="auto" w:fill="F8F9FA"/>
        </w:rPr>
        <w:t xml:space="preserve">Furthermore, these responses </w:t>
      </w:r>
      <w:r w:rsidR="0068430F" w:rsidRPr="00332F76">
        <w:rPr>
          <w:shd w:val="clear" w:color="auto" w:fill="F8F9FA"/>
        </w:rPr>
        <w:t xml:space="preserve">did not clearly evaluate how meanings and messages may change </w:t>
      </w:r>
      <w:r w:rsidR="290AA50D" w:rsidRPr="00332F76">
        <w:rPr>
          <w:shd w:val="clear" w:color="auto" w:fill="F8F9FA"/>
        </w:rPr>
        <w:t xml:space="preserve">depending </w:t>
      </w:r>
      <w:r w:rsidR="0068430F" w:rsidRPr="00332F76">
        <w:rPr>
          <w:shd w:val="clear" w:color="auto" w:fill="F8F9FA"/>
        </w:rPr>
        <w:t>on location.</w:t>
      </w:r>
    </w:p>
    <w:p w14:paraId="6E5D3A5B" w14:textId="77777777" w:rsidR="00C37031" w:rsidRPr="00332F76" w:rsidRDefault="00C37031">
      <w:pPr>
        <w:spacing w:line="276" w:lineRule="auto"/>
        <w:rPr>
          <w:rStyle w:val="EmphasisBold"/>
          <w:rFonts w:ascii="Arial" w:hAnsi="Arial" w:cs="Arial"/>
          <w:color w:val="000000" w:themeColor="text1"/>
          <w:sz w:val="20"/>
          <w:lang w:val="en-AU" w:eastAsia="en-AU"/>
        </w:rPr>
      </w:pPr>
      <w:r w:rsidRPr="00332F76">
        <w:rPr>
          <w:rStyle w:val="EmphasisBold"/>
          <w:lang w:val="en-AU"/>
        </w:rPr>
        <w:br w:type="page"/>
      </w:r>
    </w:p>
    <w:p w14:paraId="2450470F" w14:textId="257E039C" w:rsidR="0002511C" w:rsidRPr="00A23DEA" w:rsidRDefault="0002511C" w:rsidP="00E61466">
      <w:pPr>
        <w:pStyle w:val="BodyText"/>
      </w:pPr>
      <w:r w:rsidRPr="00A23DEA">
        <w:lastRenderedPageBreak/>
        <w:t xml:space="preserve">The following is an example of a </w:t>
      </w:r>
      <w:r w:rsidR="00F212C4" w:rsidRPr="00A23DEA">
        <w:t>high-</w:t>
      </w:r>
      <w:r w:rsidRPr="00A23DEA">
        <w:t>scoring response.</w:t>
      </w:r>
    </w:p>
    <w:p w14:paraId="2BC1E0F2" w14:textId="76BE5854" w:rsidR="009C4FA7" w:rsidRPr="00332F76" w:rsidRDefault="009C4FA7" w:rsidP="00C37031">
      <w:pPr>
        <w:pStyle w:val="Studentresponse"/>
        <w:rPr>
          <w:rStyle w:val="EmphasisBold"/>
          <w:b w:val="0"/>
        </w:rPr>
      </w:pPr>
      <w:r w:rsidRPr="00332F76">
        <w:rPr>
          <w:rStyle w:val="EmphasisBold"/>
          <w:b w:val="0"/>
        </w:rPr>
        <w:t>Cope’s inst</w:t>
      </w:r>
      <w:r w:rsidR="007704E8" w:rsidRPr="00332F76">
        <w:rPr>
          <w:rStyle w:val="EmphasisBold"/>
          <w:b w:val="0"/>
        </w:rPr>
        <w:t>a</w:t>
      </w:r>
      <w:r w:rsidRPr="00332F76">
        <w:rPr>
          <w:rStyle w:val="EmphasisBold"/>
          <w:b w:val="0"/>
        </w:rPr>
        <w:t>llation work communicates the ideas of country and the meanings of the importance of maintaining connection to land for culture. When place</w:t>
      </w:r>
      <w:r w:rsidR="00E904C6" w:rsidRPr="00332F76">
        <w:rPr>
          <w:rStyle w:val="EmphasisBold"/>
          <w:b w:val="0"/>
        </w:rPr>
        <w:t>d</w:t>
      </w:r>
      <w:r w:rsidRPr="00332F76">
        <w:rPr>
          <w:rStyle w:val="EmphasisBold"/>
          <w:b w:val="0"/>
        </w:rPr>
        <w:t xml:space="preserve"> inside an enclosed, structural building, the tall standing sticks feel isolated, and left hanging, devoid of their grounded connection to land. These sticks are symbolic for culture and </w:t>
      </w:r>
      <w:r w:rsidR="007704E8" w:rsidRPr="00332F76">
        <w:rPr>
          <w:rStyle w:val="EmphasisBold"/>
          <w:b w:val="0"/>
        </w:rPr>
        <w:t>A</w:t>
      </w:r>
      <w:r w:rsidRPr="00332F76">
        <w:rPr>
          <w:rStyle w:val="EmphasisBold"/>
          <w:b w:val="0"/>
        </w:rPr>
        <w:t>boriginal identity, which is a culture that is intrinsically connected to the physical land, without it the art piece evokes ideas of the loss of country and lack of cultural connection due to displacement and colonisation. However,</w:t>
      </w:r>
      <w:r w:rsidR="00E904C6" w:rsidRPr="00332F76">
        <w:rPr>
          <w:rStyle w:val="EmphasisBold"/>
          <w:b w:val="0"/>
        </w:rPr>
        <w:t xml:space="preserve"> when place in the natural environment, the subjects are now grounded, being physically placed in the sand. Rather than evoking displacement, this work now communicates the importance of land, but the positive connection to the land that allows for cultural togetherness and solidarity.</w:t>
      </w:r>
    </w:p>
    <w:p w14:paraId="0FEEFF56" w14:textId="1FF0C986" w:rsidR="000079FF" w:rsidRPr="00332F76" w:rsidRDefault="000079FF" w:rsidP="00A23DEA">
      <w:pPr>
        <w:pStyle w:val="Heading1"/>
      </w:pPr>
      <w:r w:rsidRPr="00332F76">
        <w:t>Question 6</w:t>
      </w:r>
    </w:p>
    <w:tbl>
      <w:tblPr>
        <w:tblStyle w:val="VCAATableClosed"/>
        <w:tblW w:w="0" w:type="auto"/>
        <w:tblInd w:w="-5" w:type="dxa"/>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576"/>
        <w:gridCol w:w="576"/>
        <w:gridCol w:w="576"/>
        <w:gridCol w:w="864"/>
      </w:tblGrid>
      <w:tr w:rsidR="00747C9C" w:rsidRPr="00332F76" w14:paraId="4AB67309" w14:textId="77777777" w:rsidTr="005A4FF6">
        <w:trPr>
          <w:cnfStyle w:val="100000000000" w:firstRow="1" w:lastRow="0" w:firstColumn="0" w:lastColumn="0" w:oddVBand="0" w:evenVBand="0" w:oddHBand="0" w:evenHBand="0" w:firstRowFirstColumn="0" w:firstRowLastColumn="0" w:lastRowFirstColumn="0" w:lastRowLastColumn="0"/>
        </w:trPr>
        <w:tc>
          <w:tcPr>
            <w:tcW w:w="599" w:type="dxa"/>
          </w:tcPr>
          <w:p w14:paraId="324B3780" w14:textId="77777777" w:rsidR="00747C9C" w:rsidRPr="00332F76" w:rsidRDefault="00747C9C" w:rsidP="008E6F30">
            <w:pPr>
              <w:pStyle w:val="Tablecondensedheading"/>
              <w:rPr>
                <w:lang w:val="en-AU"/>
              </w:rPr>
            </w:pPr>
            <w:r w:rsidRPr="00332F76">
              <w:rPr>
                <w:lang w:val="en-AU"/>
              </w:rPr>
              <w:t>Mark</w:t>
            </w:r>
          </w:p>
        </w:tc>
        <w:tc>
          <w:tcPr>
            <w:tcW w:w="576" w:type="dxa"/>
          </w:tcPr>
          <w:p w14:paraId="0A9D09A3" w14:textId="77777777" w:rsidR="00747C9C" w:rsidRPr="00332F76" w:rsidRDefault="00747C9C" w:rsidP="008E6F30">
            <w:pPr>
              <w:pStyle w:val="Tablecondensedheading"/>
              <w:rPr>
                <w:lang w:val="en-AU"/>
              </w:rPr>
            </w:pPr>
            <w:r w:rsidRPr="00332F76">
              <w:rPr>
                <w:lang w:val="en-AU"/>
              </w:rPr>
              <w:t>0</w:t>
            </w:r>
          </w:p>
        </w:tc>
        <w:tc>
          <w:tcPr>
            <w:tcW w:w="576" w:type="dxa"/>
          </w:tcPr>
          <w:p w14:paraId="4587676A" w14:textId="77777777" w:rsidR="00747C9C" w:rsidRPr="00332F76" w:rsidRDefault="00747C9C" w:rsidP="008E6F30">
            <w:pPr>
              <w:pStyle w:val="Tablecondensedheading"/>
              <w:rPr>
                <w:lang w:val="en-AU"/>
              </w:rPr>
            </w:pPr>
            <w:r w:rsidRPr="00332F76">
              <w:rPr>
                <w:lang w:val="en-AU"/>
              </w:rPr>
              <w:t>1</w:t>
            </w:r>
          </w:p>
        </w:tc>
        <w:tc>
          <w:tcPr>
            <w:tcW w:w="576" w:type="dxa"/>
          </w:tcPr>
          <w:p w14:paraId="5D0D306A" w14:textId="6B0508A0" w:rsidR="00747C9C" w:rsidRPr="00332F76" w:rsidRDefault="00747C9C" w:rsidP="008E6F30">
            <w:pPr>
              <w:pStyle w:val="Tablecondensedheading"/>
              <w:rPr>
                <w:lang w:val="en-AU"/>
              </w:rPr>
            </w:pPr>
            <w:r w:rsidRPr="00332F76">
              <w:rPr>
                <w:lang w:val="en-AU"/>
              </w:rPr>
              <w:t>2</w:t>
            </w:r>
          </w:p>
        </w:tc>
        <w:tc>
          <w:tcPr>
            <w:tcW w:w="576" w:type="dxa"/>
          </w:tcPr>
          <w:p w14:paraId="5023061D" w14:textId="3B28E16E" w:rsidR="00747C9C" w:rsidRPr="00332F76" w:rsidRDefault="00747C9C" w:rsidP="008E6F30">
            <w:pPr>
              <w:pStyle w:val="Tablecondensedheading"/>
              <w:rPr>
                <w:lang w:val="en-AU"/>
              </w:rPr>
            </w:pPr>
            <w:r w:rsidRPr="00332F76">
              <w:rPr>
                <w:lang w:val="en-AU"/>
              </w:rPr>
              <w:t>3</w:t>
            </w:r>
          </w:p>
        </w:tc>
        <w:tc>
          <w:tcPr>
            <w:tcW w:w="576" w:type="dxa"/>
          </w:tcPr>
          <w:p w14:paraId="769725FF" w14:textId="4D682E02" w:rsidR="00747C9C" w:rsidRPr="00332F76" w:rsidRDefault="00747C9C" w:rsidP="008E6F30">
            <w:pPr>
              <w:pStyle w:val="Tablecondensedheading"/>
              <w:rPr>
                <w:lang w:val="en-AU"/>
              </w:rPr>
            </w:pPr>
            <w:r w:rsidRPr="00332F76">
              <w:rPr>
                <w:lang w:val="en-AU"/>
              </w:rPr>
              <w:t>4</w:t>
            </w:r>
          </w:p>
        </w:tc>
        <w:tc>
          <w:tcPr>
            <w:tcW w:w="576" w:type="dxa"/>
          </w:tcPr>
          <w:p w14:paraId="1F999556" w14:textId="6807190C" w:rsidR="00747C9C" w:rsidRPr="00332F76" w:rsidRDefault="00747C9C" w:rsidP="008E6F30">
            <w:pPr>
              <w:pStyle w:val="Tablecondensedheading"/>
              <w:rPr>
                <w:lang w:val="en-AU"/>
              </w:rPr>
            </w:pPr>
            <w:r w:rsidRPr="00332F76">
              <w:rPr>
                <w:lang w:val="en-AU"/>
              </w:rPr>
              <w:t>5</w:t>
            </w:r>
          </w:p>
        </w:tc>
        <w:tc>
          <w:tcPr>
            <w:tcW w:w="576" w:type="dxa"/>
          </w:tcPr>
          <w:p w14:paraId="6202B4B8" w14:textId="33C6A381" w:rsidR="00747C9C" w:rsidRPr="00332F76" w:rsidRDefault="00747C9C" w:rsidP="008E6F30">
            <w:pPr>
              <w:pStyle w:val="Tablecondensedheading"/>
              <w:rPr>
                <w:lang w:val="en-AU"/>
              </w:rPr>
            </w:pPr>
            <w:r w:rsidRPr="00332F76">
              <w:rPr>
                <w:lang w:val="en-AU"/>
              </w:rPr>
              <w:t>6</w:t>
            </w:r>
          </w:p>
        </w:tc>
        <w:tc>
          <w:tcPr>
            <w:tcW w:w="576" w:type="dxa"/>
          </w:tcPr>
          <w:p w14:paraId="1CDBE4B1" w14:textId="23A6A258" w:rsidR="00747C9C" w:rsidRPr="00332F76" w:rsidRDefault="00747C9C" w:rsidP="008E6F30">
            <w:pPr>
              <w:pStyle w:val="Tablecondensedheading"/>
              <w:rPr>
                <w:lang w:val="en-AU"/>
              </w:rPr>
            </w:pPr>
            <w:r w:rsidRPr="00332F76">
              <w:rPr>
                <w:lang w:val="en-AU"/>
              </w:rPr>
              <w:t>7</w:t>
            </w:r>
          </w:p>
        </w:tc>
        <w:tc>
          <w:tcPr>
            <w:tcW w:w="576" w:type="dxa"/>
          </w:tcPr>
          <w:p w14:paraId="3AE118B7" w14:textId="312A1C19" w:rsidR="00747C9C" w:rsidRPr="00332F76" w:rsidRDefault="00747C9C" w:rsidP="008E6F30">
            <w:pPr>
              <w:pStyle w:val="Tablecondensedheading"/>
              <w:rPr>
                <w:lang w:val="en-AU"/>
              </w:rPr>
            </w:pPr>
            <w:r w:rsidRPr="00332F76">
              <w:rPr>
                <w:lang w:val="en-AU"/>
              </w:rPr>
              <w:t>8</w:t>
            </w:r>
          </w:p>
        </w:tc>
        <w:tc>
          <w:tcPr>
            <w:tcW w:w="576" w:type="dxa"/>
          </w:tcPr>
          <w:p w14:paraId="2501F369" w14:textId="3784BD6E" w:rsidR="00747C9C" w:rsidRPr="00332F76" w:rsidRDefault="00747C9C" w:rsidP="008E6F30">
            <w:pPr>
              <w:pStyle w:val="Tablecondensedheading"/>
              <w:rPr>
                <w:lang w:val="en-AU"/>
              </w:rPr>
            </w:pPr>
            <w:r w:rsidRPr="00332F76">
              <w:rPr>
                <w:lang w:val="en-AU"/>
              </w:rPr>
              <w:t>9</w:t>
            </w:r>
          </w:p>
        </w:tc>
        <w:tc>
          <w:tcPr>
            <w:tcW w:w="576" w:type="dxa"/>
          </w:tcPr>
          <w:p w14:paraId="713FF38D" w14:textId="6708091A" w:rsidR="00747C9C" w:rsidRPr="00332F76" w:rsidRDefault="00747C9C" w:rsidP="008E6F30">
            <w:pPr>
              <w:pStyle w:val="Tablecondensedheading"/>
              <w:rPr>
                <w:lang w:val="en-AU"/>
              </w:rPr>
            </w:pPr>
            <w:r w:rsidRPr="00332F76">
              <w:rPr>
                <w:lang w:val="en-AU"/>
              </w:rPr>
              <w:t>10</w:t>
            </w:r>
          </w:p>
        </w:tc>
        <w:tc>
          <w:tcPr>
            <w:tcW w:w="576" w:type="dxa"/>
          </w:tcPr>
          <w:p w14:paraId="2A6A51D5" w14:textId="56A683A2" w:rsidR="00747C9C" w:rsidRPr="00332F76" w:rsidRDefault="00747C9C" w:rsidP="008E6F30">
            <w:pPr>
              <w:pStyle w:val="Tablecondensedheading"/>
              <w:rPr>
                <w:lang w:val="en-AU"/>
              </w:rPr>
            </w:pPr>
            <w:r w:rsidRPr="00332F76">
              <w:rPr>
                <w:lang w:val="en-AU"/>
              </w:rPr>
              <w:t>11</w:t>
            </w:r>
          </w:p>
        </w:tc>
        <w:tc>
          <w:tcPr>
            <w:tcW w:w="576" w:type="dxa"/>
          </w:tcPr>
          <w:p w14:paraId="687E0A15" w14:textId="305901A5" w:rsidR="00747C9C" w:rsidRPr="00332F76" w:rsidRDefault="00747C9C" w:rsidP="008E6F30">
            <w:pPr>
              <w:pStyle w:val="Tablecondensedheading"/>
              <w:rPr>
                <w:lang w:val="en-AU"/>
              </w:rPr>
            </w:pPr>
            <w:r w:rsidRPr="00332F76">
              <w:rPr>
                <w:lang w:val="en-AU"/>
              </w:rPr>
              <w:t>12</w:t>
            </w:r>
          </w:p>
        </w:tc>
        <w:tc>
          <w:tcPr>
            <w:tcW w:w="576" w:type="dxa"/>
          </w:tcPr>
          <w:p w14:paraId="4655AD28" w14:textId="73EC153A" w:rsidR="00747C9C" w:rsidRPr="00332F76" w:rsidRDefault="00747C9C" w:rsidP="008E6F30">
            <w:pPr>
              <w:pStyle w:val="Tablecondensedheading"/>
              <w:rPr>
                <w:lang w:val="en-AU"/>
              </w:rPr>
            </w:pPr>
            <w:r w:rsidRPr="00332F76">
              <w:rPr>
                <w:lang w:val="en-AU"/>
              </w:rPr>
              <w:t>13</w:t>
            </w:r>
          </w:p>
        </w:tc>
        <w:tc>
          <w:tcPr>
            <w:tcW w:w="864" w:type="dxa"/>
          </w:tcPr>
          <w:p w14:paraId="5FE0B617" w14:textId="77777777" w:rsidR="00747C9C" w:rsidRPr="00332F76" w:rsidRDefault="00747C9C" w:rsidP="008E6F30">
            <w:pPr>
              <w:pStyle w:val="Tablecondensedheading"/>
              <w:rPr>
                <w:lang w:val="en-AU"/>
              </w:rPr>
            </w:pPr>
            <w:r w:rsidRPr="00332F76">
              <w:rPr>
                <w:lang w:val="en-AU"/>
              </w:rPr>
              <w:t>Average</w:t>
            </w:r>
          </w:p>
        </w:tc>
      </w:tr>
      <w:tr w:rsidR="00747C9C" w:rsidRPr="00332F76" w14:paraId="08437132" w14:textId="77777777" w:rsidTr="005A4FF6">
        <w:tc>
          <w:tcPr>
            <w:tcW w:w="599" w:type="dxa"/>
          </w:tcPr>
          <w:p w14:paraId="54680293" w14:textId="77777777" w:rsidR="00747C9C" w:rsidRPr="00332F76" w:rsidRDefault="00747C9C" w:rsidP="00747C9C">
            <w:pPr>
              <w:pStyle w:val="Tablecondensed"/>
              <w:rPr>
                <w:lang w:val="en-AU"/>
              </w:rPr>
            </w:pPr>
            <w:r w:rsidRPr="00332F76">
              <w:rPr>
                <w:lang w:val="en-AU"/>
              </w:rPr>
              <w:t>%</w:t>
            </w:r>
          </w:p>
        </w:tc>
        <w:tc>
          <w:tcPr>
            <w:tcW w:w="576" w:type="dxa"/>
          </w:tcPr>
          <w:p w14:paraId="3537A73B" w14:textId="100BB2BC" w:rsidR="00747C9C" w:rsidRPr="00332F76" w:rsidRDefault="00747C9C" w:rsidP="00747C9C">
            <w:pPr>
              <w:pStyle w:val="Tablecondensed"/>
              <w:rPr>
                <w:lang w:val="en-AU"/>
              </w:rPr>
            </w:pPr>
            <w:r w:rsidRPr="00332F76">
              <w:rPr>
                <w:lang w:val="en-AU"/>
              </w:rPr>
              <w:t>8</w:t>
            </w:r>
          </w:p>
        </w:tc>
        <w:tc>
          <w:tcPr>
            <w:tcW w:w="576" w:type="dxa"/>
          </w:tcPr>
          <w:p w14:paraId="33175681" w14:textId="2BD48F18" w:rsidR="00747C9C" w:rsidRPr="00332F76" w:rsidRDefault="00747C9C" w:rsidP="00747C9C">
            <w:pPr>
              <w:pStyle w:val="Tablecondensed"/>
              <w:rPr>
                <w:lang w:val="en-AU"/>
              </w:rPr>
            </w:pPr>
            <w:r w:rsidRPr="00332F76">
              <w:rPr>
                <w:lang w:val="en-AU"/>
              </w:rPr>
              <w:t>2</w:t>
            </w:r>
          </w:p>
        </w:tc>
        <w:tc>
          <w:tcPr>
            <w:tcW w:w="576" w:type="dxa"/>
          </w:tcPr>
          <w:p w14:paraId="56C3E6E8" w14:textId="1482596C" w:rsidR="00747C9C" w:rsidRPr="00332F76" w:rsidRDefault="00747C9C" w:rsidP="00747C9C">
            <w:pPr>
              <w:pStyle w:val="Tablecondensed"/>
              <w:rPr>
                <w:lang w:val="en-AU"/>
              </w:rPr>
            </w:pPr>
            <w:r w:rsidRPr="00332F76">
              <w:rPr>
                <w:lang w:val="en-AU"/>
              </w:rPr>
              <w:t>2</w:t>
            </w:r>
          </w:p>
        </w:tc>
        <w:tc>
          <w:tcPr>
            <w:tcW w:w="576" w:type="dxa"/>
          </w:tcPr>
          <w:p w14:paraId="3D7AC2A5" w14:textId="67AD4592" w:rsidR="00747C9C" w:rsidRPr="00332F76" w:rsidRDefault="00747C9C" w:rsidP="00747C9C">
            <w:pPr>
              <w:pStyle w:val="Tablecondensed"/>
              <w:rPr>
                <w:lang w:val="en-AU"/>
              </w:rPr>
            </w:pPr>
            <w:r w:rsidRPr="00332F76">
              <w:rPr>
                <w:lang w:val="en-AU"/>
              </w:rPr>
              <w:t>3</w:t>
            </w:r>
          </w:p>
        </w:tc>
        <w:tc>
          <w:tcPr>
            <w:tcW w:w="576" w:type="dxa"/>
          </w:tcPr>
          <w:p w14:paraId="215E6510" w14:textId="7D52DADC" w:rsidR="00747C9C" w:rsidRPr="00332F76" w:rsidRDefault="00747C9C" w:rsidP="00747C9C">
            <w:pPr>
              <w:pStyle w:val="Tablecondensed"/>
              <w:rPr>
                <w:lang w:val="en-AU"/>
              </w:rPr>
            </w:pPr>
            <w:r w:rsidRPr="00332F76">
              <w:rPr>
                <w:lang w:val="en-AU"/>
              </w:rPr>
              <w:t>4</w:t>
            </w:r>
          </w:p>
        </w:tc>
        <w:tc>
          <w:tcPr>
            <w:tcW w:w="576" w:type="dxa"/>
          </w:tcPr>
          <w:p w14:paraId="3D57D441" w14:textId="6EA32E8B" w:rsidR="00747C9C" w:rsidRPr="00332F76" w:rsidRDefault="00747C9C" w:rsidP="00747C9C">
            <w:pPr>
              <w:pStyle w:val="Tablecondensed"/>
              <w:rPr>
                <w:lang w:val="en-AU"/>
              </w:rPr>
            </w:pPr>
            <w:r w:rsidRPr="00332F76">
              <w:rPr>
                <w:lang w:val="en-AU"/>
              </w:rPr>
              <w:t>4</w:t>
            </w:r>
          </w:p>
        </w:tc>
        <w:tc>
          <w:tcPr>
            <w:tcW w:w="576" w:type="dxa"/>
          </w:tcPr>
          <w:p w14:paraId="6D76995A" w14:textId="053D77D2" w:rsidR="00747C9C" w:rsidRPr="00332F76" w:rsidRDefault="00747C9C" w:rsidP="00747C9C">
            <w:pPr>
              <w:pStyle w:val="Tablecondensed"/>
              <w:rPr>
                <w:lang w:val="en-AU"/>
              </w:rPr>
            </w:pPr>
            <w:r w:rsidRPr="00332F76">
              <w:rPr>
                <w:lang w:val="en-AU"/>
              </w:rPr>
              <w:t>9</w:t>
            </w:r>
          </w:p>
        </w:tc>
        <w:tc>
          <w:tcPr>
            <w:tcW w:w="576" w:type="dxa"/>
          </w:tcPr>
          <w:p w14:paraId="79E6066E" w14:textId="222A675E" w:rsidR="00747C9C" w:rsidRPr="00332F76" w:rsidRDefault="00747C9C" w:rsidP="00747C9C">
            <w:pPr>
              <w:pStyle w:val="Tablecondensed"/>
              <w:rPr>
                <w:lang w:val="en-AU"/>
              </w:rPr>
            </w:pPr>
            <w:r w:rsidRPr="00332F76">
              <w:rPr>
                <w:lang w:val="en-AU"/>
              </w:rPr>
              <w:t>10</w:t>
            </w:r>
          </w:p>
        </w:tc>
        <w:tc>
          <w:tcPr>
            <w:tcW w:w="576" w:type="dxa"/>
          </w:tcPr>
          <w:p w14:paraId="0891AA2B" w14:textId="4FCC3DD7" w:rsidR="00747C9C" w:rsidRPr="00332F76" w:rsidRDefault="00747C9C" w:rsidP="00747C9C">
            <w:pPr>
              <w:pStyle w:val="Tablecondensed"/>
              <w:rPr>
                <w:lang w:val="en-AU"/>
              </w:rPr>
            </w:pPr>
            <w:r w:rsidRPr="00332F76">
              <w:rPr>
                <w:lang w:val="en-AU"/>
              </w:rPr>
              <w:t>13</w:t>
            </w:r>
          </w:p>
        </w:tc>
        <w:tc>
          <w:tcPr>
            <w:tcW w:w="576" w:type="dxa"/>
          </w:tcPr>
          <w:p w14:paraId="7AECEBE5" w14:textId="696D3FE3" w:rsidR="00747C9C" w:rsidRPr="00332F76" w:rsidRDefault="00747C9C" w:rsidP="00747C9C">
            <w:pPr>
              <w:pStyle w:val="Tablecondensed"/>
              <w:rPr>
                <w:lang w:val="en-AU"/>
              </w:rPr>
            </w:pPr>
            <w:r w:rsidRPr="00332F76">
              <w:rPr>
                <w:lang w:val="en-AU"/>
              </w:rPr>
              <w:t>14</w:t>
            </w:r>
          </w:p>
        </w:tc>
        <w:tc>
          <w:tcPr>
            <w:tcW w:w="576" w:type="dxa"/>
          </w:tcPr>
          <w:p w14:paraId="73039200" w14:textId="1F38DF0D" w:rsidR="00747C9C" w:rsidRPr="00332F76" w:rsidRDefault="00747C9C" w:rsidP="00747C9C">
            <w:pPr>
              <w:pStyle w:val="Tablecondensed"/>
              <w:rPr>
                <w:lang w:val="en-AU"/>
              </w:rPr>
            </w:pPr>
            <w:r w:rsidRPr="00332F76">
              <w:rPr>
                <w:lang w:val="en-AU"/>
              </w:rPr>
              <w:t>11</w:t>
            </w:r>
          </w:p>
        </w:tc>
        <w:tc>
          <w:tcPr>
            <w:tcW w:w="576" w:type="dxa"/>
          </w:tcPr>
          <w:p w14:paraId="58CF2C2C" w14:textId="63D1CBAA" w:rsidR="00747C9C" w:rsidRPr="00332F76" w:rsidRDefault="00747C9C" w:rsidP="00747C9C">
            <w:pPr>
              <w:pStyle w:val="Tablecondensed"/>
              <w:rPr>
                <w:lang w:val="en-AU"/>
              </w:rPr>
            </w:pPr>
            <w:r w:rsidRPr="00332F76">
              <w:rPr>
                <w:lang w:val="en-AU"/>
              </w:rPr>
              <w:t>10</w:t>
            </w:r>
          </w:p>
        </w:tc>
        <w:tc>
          <w:tcPr>
            <w:tcW w:w="576" w:type="dxa"/>
          </w:tcPr>
          <w:p w14:paraId="5739DF01" w14:textId="027F1FB7" w:rsidR="00747C9C" w:rsidRPr="00332F76" w:rsidRDefault="00747C9C" w:rsidP="00747C9C">
            <w:pPr>
              <w:pStyle w:val="Tablecondensed"/>
              <w:rPr>
                <w:lang w:val="en-AU"/>
              </w:rPr>
            </w:pPr>
            <w:r w:rsidRPr="00332F76">
              <w:rPr>
                <w:lang w:val="en-AU"/>
              </w:rPr>
              <w:t>6</w:t>
            </w:r>
          </w:p>
        </w:tc>
        <w:tc>
          <w:tcPr>
            <w:tcW w:w="576" w:type="dxa"/>
          </w:tcPr>
          <w:p w14:paraId="622D09B8" w14:textId="61F0529F" w:rsidR="00747C9C" w:rsidRPr="00332F76" w:rsidRDefault="00747C9C" w:rsidP="00747C9C">
            <w:pPr>
              <w:pStyle w:val="Tablecondensed"/>
              <w:rPr>
                <w:lang w:val="en-AU"/>
              </w:rPr>
            </w:pPr>
            <w:r w:rsidRPr="00332F76">
              <w:rPr>
                <w:lang w:val="en-AU"/>
              </w:rPr>
              <w:t>4</w:t>
            </w:r>
          </w:p>
        </w:tc>
        <w:tc>
          <w:tcPr>
            <w:tcW w:w="864" w:type="dxa"/>
          </w:tcPr>
          <w:p w14:paraId="74DAC84F" w14:textId="3C9C80E6" w:rsidR="00747C9C" w:rsidRPr="00332F76" w:rsidRDefault="00747C9C" w:rsidP="00747C9C">
            <w:pPr>
              <w:pStyle w:val="Tablecondensed"/>
              <w:rPr>
                <w:lang w:val="en-AU"/>
              </w:rPr>
            </w:pPr>
            <w:r w:rsidRPr="00332F76">
              <w:rPr>
                <w:lang w:val="en-AU"/>
              </w:rPr>
              <w:t>7.6</w:t>
            </w:r>
          </w:p>
        </w:tc>
      </w:tr>
    </w:tbl>
    <w:p w14:paraId="0B4B6416" w14:textId="548C359A" w:rsidR="0068430F" w:rsidRPr="00332F76" w:rsidRDefault="000B1A8D" w:rsidP="00F178F3">
      <w:pPr>
        <w:pStyle w:val="BodyText"/>
        <w:rPr>
          <w:color w:val="202124"/>
          <w:shd w:val="clear" w:color="auto" w:fill="F8F9FA"/>
        </w:rPr>
      </w:pPr>
      <w:r w:rsidRPr="00332F76">
        <w:t>Students were</w:t>
      </w:r>
      <w:r w:rsidR="0068430F" w:rsidRPr="00332F76">
        <w:t xml:space="preserve"> asked to discuss the ideas communicated through William Kentridge’s practice. Students needed to identify and describe the ideas related to the artist</w:t>
      </w:r>
      <w:r w:rsidR="008B255B" w:rsidRPr="00332F76">
        <w:t>’</w:t>
      </w:r>
      <w:r w:rsidR="0068430F" w:rsidRPr="00332F76">
        <w:t xml:space="preserve">s practice </w:t>
      </w:r>
      <w:r w:rsidR="000C12FC" w:rsidRPr="00332F76">
        <w:t xml:space="preserve">using specific examples described in the source of information and </w:t>
      </w:r>
      <w:r w:rsidR="38C64056" w:rsidRPr="00332F76">
        <w:t xml:space="preserve">the </w:t>
      </w:r>
      <w:r w:rsidR="57DD12C7" w:rsidRPr="00332F76">
        <w:t xml:space="preserve">images </w:t>
      </w:r>
      <w:r w:rsidR="148B96A6" w:rsidRPr="00332F76">
        <w:t>of Kentridge’s practice and artworks</w:t>
      </w:r>
      <w:r w:rsidR="000C12FC" w:rsidRPr="00332F76">
        <w:t>.</w:t>
      </w:r>
      <w:r w:rsidR="0068430F" w:rsidRPr="00332F76">
        <w:t xml:space="preserve"> </w:t>
      </w:r>
      <w:r w:rsidR="00F425C2" w:rsidRPr="00332F76">
        <w:t>Responses that</w:t>
      </w:r>
      <w:r w:rsidR="000C12FC" w:rsidRPr="00332F76">
        <w:t xml:space="preserve"> provided a structured and coherent discussion of how the artist communicated ideas through his practice by integrating the source material and referencing the images scored highly. </w:t>
      </w:r>
      <w:r w:rsidR="007B0FED" w:rsidRPr="00332F76">
        <w:t>High-scoring responses</w:t>
      </w:r>
      <w:r w:rsidR="000C12FC" w:rsidRPr="00332F76">
        <w:t xml:space="preserve"> focused on an idea and did not simply repeat the source information. </w:t>
      </w:r>
      <w:r w:rsidR="007B0FED" w:rsidRPr="00332F76">
        <w:t xml:space="preserve">These students </w:t>
      </w:r>
      <w:r w:rsidR="00FD142E" w:rsidRPr="00332F76">
        <w:t xml:space="preserve">were able to allude to </w:t>
      </w:r>
      <w:r w:rsidR="351899FC" w:rsidRPr="00332F76">
        <w:t>the images</w:t>
      </w:r>
      <w:r w:rsidR="00FD142E" w:rsidRPr="00332F76">
        <w:t xml:space="preserve"> </w:t>
      </w:r>
      <w:r w:rsidR="48336360" w:rsidRPr="00332F76">
        <w:t xml:space="preserve">and the ideas that they were </w:t>
      </w:r>
      <w:r w:rsidR="00FD142E" w:rsidRPr="00332F76">
        <w:t xml:space="preserve">communicating. </w:t>
      </w:r>
      <w:r w:rsidR="007B0FED" w:rsidRPr="00332F76">
        <w:t>They</w:t>
      </w:r>
      <w:r w:rsidR="000C12FC" w:rsidRPr="00332F76">
        <w:t xml:space="preserve"> were </w:t>
      </w:r>
      <w:r w:rsidR="007B0FED" w:rsidRPr="00332F76">
        <w:t xml:space="preserve">also </w:t>
      </w:r>
      <w:r w:rsidR="000C12FC" w:rsidRPr="00332F76">
        <w:t xml:space="preserve">able to expand on the ideas mentioned in the source material and the imagery. </w:t>
      </w:r>
      <w:r w:rsidR="0068430F" w:rsidRPr="00332F76">
        <w:rPr>
          <w:color w:val="202124"/>
          <w:shd w:val="clear" w:color="auto" w:fill="F8F9FA"/>
        </w:rPr>
        <w:t xml:space="preserve">It is important that students </w:t>
      </w:r>
      <w:r w:rsidR="5BB0892A" w:rsidRPr="00332F76">
        <w:rPr>
          <w:color w:val="202124"/>
          <w:shd w:val="clear" w:color="auto" w:fill="F8F9FA"/>
        </w:rPr>
        <w:t>identify and discuss</w:t>
      </w:r>
      <w:r w:rsidR="0068430F" w:rsidRPr="00332F76">
        <w:rPr>
          <w:color w:val="202124"/>
          <w:shd w:val="clear" w:color="auto" w:fill="F8F9FA"/>
        </w:rPr>
        <w:t xml:space="preserve"> the artist</w:t>
      </w:r>
      <w:r w:rsidR="008B255B" w:rsidRPr="00332F76">
        <w:rPr>
          <w:color w:val="202124"/>
          <w:shd w:val="clear" w:color="auto" w:fill="F8F9FA"/>
        </w:rPr>
        <w:t>’</w:t>
      </w:r>
      <w:r w:rsidR="0068430F" w:rsidRPr="00332F76">
        <w:rPr>
          <w:color w:val="202124"/>
          <w:shd w:val="clear" w:color="auto" w:fill="F8F9FA"/>
        </w:rPr>
        <w:t>s practice</w:t>
      </w:r>
      <w:r w:rsidR="7CAFBD24" w:rsidRPr="00332F76">
        <w:rPr>
          <w:color w:val="202124"/>
          <w:shd w:val="clear" w:color="auto" w:fill="F8F9FA"/>
        </w:rPr>
        <w:t xml:space="preserve"> in their responses. Information about </w:t>
      </w:r>
      <w:r w:rsidR="004626C0" w:rsidRPr="00332F76">
        <w:rPr>
          <w:color w:val="202124"/>
          <w:shd w:val="clear" w:color="auto" w:fill="F8F9FA"/>
        </w:rPr>
        <w:t>a</w:t>
      </w:r>
      <w:r w:rsidR="7CAFBD24" w:rsidRPr="00332F76">
        <w:rPr>
          <w:color w:val="202124"/>
          <w:shd w:val="clear" w:color="auto" w:fill="F8F9FA"/>
        </w:rPr>
        <w:t xml:space="preserve">rt practice is provided in the </w:t>
      </w:r>
      <w:r w:rsidR="00843FEF">
        <w:rPr>
          <w:color w:val="202124"/>
          <w:shd w:val="clear" w:color="auto" w:fill="F8F9FA"/>
        </w:rPr>
        <w:t>‘S</w:t>
      </w:r>
      <w:r w:rsidR="7CAFBD24" w:rsidRPr="00332F76">
        <w:rPr>
          <w:color w:val="202124"/>
          <w:shd w:val="clear" w:color="auto" w:fill="F8F9FA"/>
        </w:rPr>
        <w:t>tudy specifications</w:t>
      </w:r>
      <w:r w:rsidR="00843FEF">
        <w:rPr>
          <w:color w:val="202124"/>
          <w:shd w:val="clear" w:color="auto" w:fill="F8F9FA"/>
        </w:rPr>
        <w:t>’ section</w:t>
      </w:r>
      <w:r w:rsidR="7CAFBD24" w:rsidRPr="00332F76">
        <w:rPr>
          <w:color w:val="202124"/>
          <w:shd w:val="clear" w:color="auto" w:fill="F8F9FA"/>
        </w:rPr>
        <w:t xml:space="preserve"> on page</w:t>
      </w:r>
      <w:r w:rsidR="08AD96C0" w:rsidRPr="00332F76">
        <w:rPr>
          <w:color w:val="202124"/>
          <w:shd w:val="clear" w:color="auto" w:fill="F8F9FA"/>
        </w:rPr>
        <w:t xml:space="preserve"> 11 of the Art Creative Practice </w:t>
      </w:r>
      <w:r w:rsidR="00332F76">
        <w:rPr>
          <w:color w:val="202124"/>
          <w:shd w:val="clear" w:color="auto" w:fill="F8F9FA"/>
        </w:rPr>
        <w:t>S</w:t>
      </w:r>
      <w:r w:rsidR="00332F76" w:rsidRPr="00332F76">
        <w:rPr>
          <w:color w:val="202124"/>
          <w:shd w:val="clear" w:color="auto" w:fill="F8F9FA"/>
        </w:rPr>
        <w:t xml:space="preserve">tudy </w:t>
      </w:r>
      <w:r w:rsidR="00332F76">
        <w:rPr>
          <w:color w:val="202124"/>
          <w:shd w:val="clear" w:color="auto" w:fill="F8F9FA"/>
        </w:rPr>
        <w:t>D</w:t>
      </w:r>
      <w:r w:rsidR="00332F76" w:rsidRPr="00332F76">
        <w:rPr>
          <w:color w:val="202124"/>
          <w:shd w:val="clear" w:color="auto" w:fill="F8F9FA"/>
        </w:rPr>
        <w:t>esign</w:t>
      </w:r>
      <w:r w:rsidR="08AD96C0" w:rsidRPr="00332F76">
        <w:rPr>
          <w:color w:val="202124"/>
          <w:shd w:val="clear" w:color="auto" w:fill="F8F9FA"/>
        </w:rPr>
        <w:t>.</w:t>
      </w:r>
    </w:p>
    <w:p w14:paraId="7E7188A0" w14:textId="77777777" w:rsidR="00C63CF8" w:rsidRPr="00332F76" w:rsidRDefault="0068430F" w:rsidP="00F178F3">
      <w:pPr>
        <w:pStyle w:val="BodyText"/>
        <w:rPr>
          <w:shd w:val="clear" w:color="auto" w:fill="F8F9FA"/>
        </w:rPr>
      </w:pPr>
      <w:r w:rsidRPr="00332F76">
        <w:rPr>
          <w:shd w:val="clear" w:color="auto" w:fill="F8F9FA"/>
        </w:rPr>
        <w:t>Students should avoid simply restating the source materials</w:t>
      </w:r>
      <w:r w:rsidR="7FBA8DAE" w:rsidRPr="00332F76">
        <w:rPr>
          <w:shd w:val="clear" w:color="auto" w:fill="F8F9FA"/>
        </w:rPr>
        <w:t xml:space="preserve"> and must draw on evidence from the artwork in their response. </w:t>
      </w:r>
      <w:r w:rsidR="004626C0" w:rsidRPr="00332F76">
        <w:rPr>
          <w:shd w:val="clear" w:color="auto" w:fill="F8F9FA"/>
        </w:rPr>
        <w:t xml:space="preserve">They must reference </w:t>
      </w:r>
      <w:r w:rsidRPr="00332F76">
        <w:rPr>
          <w:shd w:val="clear" w:color="auto" w:fill="F8F9FA"/>
        </w:rPr>
        <w:t>sources clearly with quotation marks or brackets at the end of the sentence.</w:t>
      </w:r>
    </w:p>
    <w:p w14:paraId="76E9715C" w14:textId="4C65F4EA" w:rsidR="0002511C" w:rsidRPr="00A23DEA" w:rsidRDefault="0002511C" w:rsidP="00332F76">
      <w:pPr>
        <w:pStyle w:val="BodyText"/>
      </w:pPr>
      <w:r w:rsidRPr="00A23DEA">
        <w:t xml:space="preserve">The following is an example of a </w:t>
      </w:r>
      <w:r w:rsidR="004626C0" w:rsidRPr="00A23DEA">
        <w:t>high-</w:t>
      </w:r>
      <w:r w:rsidRPr="00A23DEA">
        <w:t>scoring response.</w:t>
      </w:r>
    </w:p>
    <w:p w14:paraId="209EB04F" w14:textId="7DD14F64" w:rsidR="007D31F7" w:rsidRPr="00332F76" w:rsidRDefault="007D31F7" w:rsidP="00CE5FE6">
      <w:pPr>
        <w:pStyle w:val="Studentresponse"/>
      </w:pPr>
      <w:r w:rsidRPr="00332F76">
        <w:t>Kentridge’s film stills communicate the complex and nuanced “tension” of time influencing art. As the artist personally and “painstakingly” destroys and creates repeatedly, reworking constantly his own portraiture, Kentridge reveals the struggles of perfecting an outward representation of self. As these are charcoal, which is light and only sits on the surface of the paper, his constant erasings would distribute charcoal dust into the air, landing on his clothes, face and studio space. The physical evidence of his hard work in reworking his “hand-drawn animation”</w:t>
      </w:r>
      <w:r w:rsidR="00256E34" w:rsidRPr="00332F76">
        <w:t xml:space="preserve"> is not captured in the photographs. The photos capture only snapshots of his work rather than the entire process, only the “progression”, not the time and effort of his time-consuming “working process”. Thus, Kentridge comments on how “material objects” – his charcoal drawings made to be projected, not kept – are at odds with time, impermanent. The real artwork to be appreciated is the “working process”, the energy and time, rather than merely the whole “performance”, not just the final moving image. The camera serves merely to record its progression, showing that the final moving image does not capture the entire behind the scenes and cannot substitute his painstaking reworking of the drawings.</w:t>
      </w:r>
    </w:p>
    <w:p w14:paraId="66C10BC8" w14:textId="16EDD7DE" w:rsidR="00C37031" w:rsidRPr="00332F76" w:rsidRDefault="00C37031">
      <w:pPr>
        <w:spacing w:line="276" w:lineRule="auto"/>
        <w:rPr>
          <w:rFonts w:ascii="Arial" w:hAnsi="Arial" w:cs="Arial"/>
          <w:i/>
          <w:color w:val="000000" w:themeColor="text1"/>
          <w:sz w:val="20"/>
          <w:lang w:val="en-AU" w:eastAsia="en-AU"/>
        </w:rPr>
      </w:pPr>
      <w:r w:rsidRPr="00332F76">
        <w:rPr>
          <w:lang w:val="en-AU"/>
        </w:rPr>
        <w:br w:type="page"/>
      </w:r>
    </w:p>
    <w:p w14:paraId="2574FC6D" w14:textId="7B809334" w:rsidR="0002511C" w:rsidRPr="00332F76" w:rsidRDefault="00C36EC5" w:rsidP="00A23DEA">
      <w:pPr>
        <w:pStyle w:val="Heading1"/>
      </w:pPr>
      <w:r w:rsidRPr="00332F76">
        <w:lastRenderedPageBreak/>
        <w:t>Question 7</w:t>
      </w:r>
    </w:p>
    <w:p w14:paraId="5349D2FF" w14:textId="138C9E12" w:rsidR="0002511C" w:rsidRPr="00332F76" w:rsidRDefault="00332F76" w:rsidP="00F178F3">
      <w:pPr>
        <w:pStyle w:val="BodyText"/>
      </w:pPr>
      <w:r>
        <w:t>Students were</w:t>
      </w:r>
      <w:r w:rsidR="0002511C" w:rsidRPr="00332F76">
        <w:t xml:space="preserve"> required to use the Cultural </w:t>
      </w:r>
      <w:r w:rsidR="00E8516E" w:rsidRPr="00332F76">
        <w:t xml:space="preserve">and Structural </w:t>
      </w:r>
      <w:r w:rsidR="0002511C" w:rsidRPr="00332F76">
        <w:t xml:space="preserve">Lenses to compare the meanings and messages in the artworks. They were also expected to incorporate specific evidence from both artworks, </w:t>
      </w:r>
      <w:r w:rsidR="00E8516E" w:rsidRPr="00332F76">
        <w:t>and the</w:t>
      </w:r>
      <w:r w:rsidR="0002511C" w:rsidRPr="00332F76">
        <w:t xml:space="preserve"> information provided. </w:t>
      </w:r>
      <w:r w:rsidR="1E68134E" w:rsidRPr="00332F76">
        <w:t>In their responses</w:t>
      </w:r>
      <w:r w:rsidR="00DE1629" w:rsidRPr="00332F76">
        <w:t>,</w:t>
      </w:r>
      <w:r w:rsidR="1E68134E" w:rsidRPr="00332F76">
        <w:t xml:space="preserve"> students were required </w:t>
      </w:r>
      <w:r>
        <w:t xml:space="preserve">to </w:t>
      </w:r>
      <w:r w:rsidR="1E68134E" w:rsidRPr="00332F76">
        <w:t xml:space="preserve">demonstrate a clear understanding of aspects of the Structural and Cultural </w:t>
      </w:r>
      <w:r w:rsidR="00DE1629" w:rsidRPr="00332F76">
        <w:t>L</w:t>
      </w:r>
      <w:r w:rsidR="1E68134E" w:rsidRPr="00332F76">
        <w:t xml:space="preserve">enses, outlined on page 15 of the </w:t>
      </w:r>
      <w:r w:rsidR="00843FEF">
        <w:t>‘S</w:t>
      </w:r>
      <w:r w:rsidR="1E68134E" w:rsidRPr="00332F76">
        <w:t>tudy specifications</w:t>
      </w:r>
      <w:r w:rsidR="00843FEF">
        <w:t>’ section</w:t>
      </w:r>
      <w:r w:rsidR="1E68134E" w:rsidRPr="00332F76">
        <w:t xml:space="preserve"> in the Art Creative Practice </w:t>
      </w:r>
      <w:r>
        <w:t>S</w:t>
      </w:r>
      <w:r w:rsidRPr="00332F76">
        <w:t xml:space="preserve">tudy </w:t>
      </w:r>
      <w:r>
        <w:t>D</w:t>
      </w:r>
      <w:r w:rsidRPr="00332F76">
        <w:t>esign</w:t>
      </w:r>
      <w:r w:rsidR="1F4737DC" w:rsidRPr="00332F76">
        <w:t xml:space="preserve">, that were relevant to the artworks. </w:t>
      </w:r>
      <w:r w:rsidR="00DE1629" w:rsidRPr="00332F76">
        <w:t>Responses that scored highly</w:t>
      </w:r>
      <w:r w:rsidR="0002511C" w:rsidRPr="00332F76">
        <w:t xml:space="preserve"> consistently used comparison</w:t>
      </w:r>
      <w:r w:rsidR="00051904" w:rsidRPr="00332F76">
        <w:t>s</w:t>
      </w:r>
      <w:r w:rsidR="0002511C" w:rsidRPr="00332F76">
        <w:t xml:space="preserve"> and were rich in comparative terms. These students employed highly descriptive language when discussing and comparing the artworks, making explicit references to features in the artworks to support their ideas about the meanings and messages. They effectively</w:t>
      </w:r>
      <w:r w:rsidR="779EEDE6" w:rsidRPr="00332F76">
        <w:t xml:space="preserve"> </w:t>
      </w:r>
      <w:r w:rsidR="13FF53AE" w:rsidRPr="00332F76">
        <w:t xml:space="preserve">applied </w:t>
      </w:r>
      <w:r w:rsidR="779EEDE6" w:rsidRPr="00332F76">
        <w:t xml:space="preserve">the </w:t>
      </w:r>
      <w:r w:rsidR="2333A835" w:rsidRPr="00332F76">
        <w:t>C</w:t>
      </w:r>
      <w:r w:rsidR="00F619A1" w:rsidRPr="00332F76">
        <w:t>ultural</w:t>
      </w:r>
      <w:r w:rsidR="00E8516E" w:rsidRPr="00332F76">
        <w:t xml:space="preserve"> and </w:t>
      </w:r>
      <w:r w:rsidR="7D9527DA" w:rsidRPr="00332F76">
        <w:t>S</w:t>
      </w:r>
      <w:r w:rsidR="00E8516E" w:rsidRPr="00332F76">
        <w:t>tructural</w:t>
      </w:r>
      <w:r w:rsidR="0002511C" w:rsidRPr="00332F76">
        <w:t xml:space="preserve"> </w:t>
      </w:r>
      <w:r w:rsidR="00DE1629" w:rsidRPr="00332F76">
        <w:t>L</w:t>
      </w:r>
      <w:r w:rsidR="2C499FA4" w:rsidRPr="00332F76">
        <w:t>ens</w:t>
      </w:r>
      <w:r w:rsidR="19AFA8DF" w:rsidRPr="00332F76">
        <w:t>es</w:t>
      </w:r>
      <w:r w:rsidR="2C499FA4" w:rsidRPr="00332F76">
        <w:t xml:space="preserve"> </w:t>
      </w:r>
      <w:r w:rsidR="0002511C" w:rsidRPr="00332F76">
        <w:t>to strengthen their analysis</w:t>
      </w:r>
      <w:r w:rsidR="0AEE44A6" w:rsidRPr="00332F76">
        <w:t>,</w:t>
      </w:r>
      <w:r w:rsidR="00E8516E" w:rsidRPr="00332F76">
        <w:t xml:space="preserve"> comparing multiple meanings referencing </w:t>
      </w:r>
      <w:r w:rsidR="00F619A1" w:rsidRPr="00332F76">
        <w:t>time, place, gender roles and society</w:t>
      </w:r>
      <w:r w:rsidR="0002511C" w:rsidRPr="00332F76">
        <w:t>.</w:t>
      </w:r>
      <w:r w:rsidR="00F619A1" w:rsidRPr="00332F76">
        <w:t xml:space="preserve"> Students who provided multiple and balanced comparisons from both artworks and written sources were able to achieve higher marks.</w:t>
      </w:r>
    </w:p>
    <w:p w14:paraId="52306A23" w14:textId="31A53A0D" w:rsidR="0002511C" w:rsidRPr="00332F76" w:rsidRDefault="0002511C" w:rsidP="00F178F3">
      <w:pPr>
        <w:pStyle w:val="BodyText"/>
      </w:pPr>
      <w:r w:rsidRPr="00332F76">
        <w:t xml:space="preserve">Mid-range responses, however, did not devote equal attention to both </w:t>
      </w:r>
      <w:r w:rsidR="357F63CC" w:rsidRPr="00332F76">
        <w:t xml:space="preserve">the Structural and Cultural </w:t>
      </w:r>
      <w:r w:rsidR="00DE1629" w:rsidRPr="00332F76">
        <w:t>Lenses</w:t>
      </w:r>
      <w:r w:rsidRPr="00332F76">
        <w:t>. These responses lacked multiple comparisons and did not connect their ideas to specific evidence from the artworks. Students should also be cautious about repeating the same information throughout their responses.</w:t>
      </w:r>
      <w:r w:rsidR="00F619A1" w:rsidRPr="00332F76">
        <w:t xml:space="preserve"> Some students compared the structural aspects of each painting but neglected to apply this as evidence for the meaning conveyed in each artwork</w:t>
      </w:r>
      <w:r w:rsidR="3CCE1F81" w:rsidRPr="00332F76">
        <w:t>, thus demonstrating a lack of understanding about the application of the lens to interpret the artwork.</w:t>
      </w:r>
    </w:p>
    <w:p w14:paraId="2EF4DDD7" w14:textId="72DACCF8" w:rsidR="00C36EC5" w:rsidRPr="00332F76" w:rsidRDefault="00C36EC5" w:rsidP="00A23DEA">
      <w:pPr>
        <w:pStyle w:val="Heading2"/>
      </w:pPr>
      <w:r w:rsidRPr="00332F76">
        <w:t>7a</w:t>
      </w:r>
      <w:r w:rsidR="00F178F3" w:rsidRPr="00332F76">
        <w:t>.</w:t>
      </w:r>
      <w:r w:rsidRPr="00332F76">
        <w:t xml:space="preserve"> The Cultural Lens</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864"/>
      </w:tblGrid>
      <w:tr w:rsidR="00747C9C" w:rsidRPr="00332F76" w14:paraId="03E1A35C" w14:textId="77777777" w:rsidTr="00113C44">
        <w:trPr>
          <w:cnfStyle w:val="100000000000" w:firstRow="1" w:lastRow="0" w:firstColumn="0" w:lastColumn="0" w:oddVBand="0" w:evenVBand="0" w:oddHBand="0" w:evenHBand="0" w:firstRowFirstColumn="0" w:firstRowLastColumn="0" w:lastRowFirstColumn="0" w:lastRowLastColumn="0"/>
        </w:trPr>
        <w:tc>
          <w:tcPr>
            <w:tcW w:w="599" w:type="dxa"/>
          </w:tcPr>
          <w:p w14:paraId="52C6141E" w14:textId="77777777" w:rsidR="00747C9C" w:rsidRPr="00332F76" w:rsidRDefault="00747C9C" w:rsidP="008E6F30">
            <w:pPr>
              <w:pStyle w:val="Tablecondensedheading"/>
              <w:rPr>
                <w:lang w:val="en-AU"/>
              </w:rPr>
            </w:pPr>
            <w:r w:rsidRPr="00332F76">
              <w:rPr>
                <w:lang w:val="en-AU"/>
              </w:rPr>
              <w:t>Mark</w:t>
            </w:r>
          </w:p>
        </w:tc>
        <w:tc>
          <w:tcPr>
            <w:tcW w:w="576" w:type="dxa"/>
          </w:tcPr>
          <w:p w14:paraId="13FEB6F7" w14:textId="77777777" w:rsidR="00747C9C" w:rsidRPr="00332F76" w:rsidRDefault="00747C9C" w:rsidP="008E6F30">
            <w:pPr>
              <w:pStyle w:val="Tablecondensedheading"/>
              <w:rPr>
                <w:lang w:val="en-AU"/>
              </w:rPr>
            </w:pPr>
            <w:r w:rsidRPr="00332F76">
              <w:rPr>
                <w:lang w:val="en-AU"/>
              </w:rPr>
              <w:t>0</w:t>
            </w:r>
          </w:p>
        </w:tc>
        <w:tc>
          <w:tcPr>
            <w:tcW w:w="576" w:type="dxa"/>
          </w:tcPr>
          <w:p w14:paraId="2DBDE312" w14:textId="77777777" w:rsidR="00747C9C" w:rsidRPr="00332F76" w:rsidRDefault="00747C9C" w:rsidP="008E6F30">
            <w:pPr>
              <w:pStyle w:val="Tablecondensedheading"/>
              <w:rPr>
                <w:lang w:val="en-AU"/>
              </w:rPr>
            </w:pPr>
            <w:r w:rsidRPr="00332F76">
              <w:rPr>
                <w:lang w:val="en-AU"/>
              </w:rPr>
              <w:t>1</w:t>
            </w:r>
          </w:p>
        </w:tc>
        <w:tc>
          <w:tcPr>
            <w:tcW w:w="576" w:type="dxa"/>
          </w:tcPr>
          <w:p w14:paraId="68BCEC00" w14:textId="77777777" w:rsidR="00747C9C" w:rsidRPr="00332F76" w:rsidRDefault="00747C9C" w:rsidP="008E6F30">
            <w:pPr>
              <w:pStyle w:val="Tablecondensedheading"/>
              <w:rPr>
                <w:lang w:val="en-AU"/>
              </w:rPr>
            </w:pPr>
            <w:r w:rsidRPr="00332F76">
              <w:rPr>
                <w:lang w:val="en-AU"/>
              </w:rPr>
              <w:t>2</w:t>
            </w:r>
          </w:p>
        </w:tc>
        <w:tc>
          <w:tcPr>
            <w:tcW w:w="576" w:type="dxa"/>
          </w:tcPr>
          <w:p w14:paraId="32B69A43" w14:textId="77777777" w:rsidR="00747C9C" w:rsidRPr="00332F76" w:rsidRDefault="00747C9C" w:rsidP="008E6F30">
            <w:pPr>
              <w:pStyle w:val="Tablecondensedheading"/>
              <w:rPr>
                <w:lang w:val="en-AU"/>
              </w:rPr>
            </w:pPr>
            <w:r w:rsidRPr="00332F76">
              <w:rPr>
                <w:lang w:val="en-AU"/>
              </w:rPr>
              <w:t>3</w:t>
            </w:r>
          </w:p>
        </w:tc>
        <w:tc>
          <w:tcPr>
            <w:tcW w:w="576" w:type="dxa"/>
          </w:tcPr>
          <w:p w14:paraId="2248C326" w14:textId="77777777" w:rsidR="00747C9C" w:rsidRPr="00332F76" w:rsidRDefault="00747C9C" w:rsidP="008E6F30">
            <w:pPr>
              <w:pStyle w:val="Tablecondensedheading"/>
              <w:rPr>
                <w:lang w:val="en-AU"/>
              </w:rPr>
            </w:pPr>
            <w:r w:rsidRPr="00332F76">
              <w:rPr>
                <w:lang w:val="en-AU"/>
              </w:rPr>
              <w:t>4</w:t>
            </w:r>
          </w:p>
        </w:tc>
        <w:tc>
          <w:tcPr>
            <w:tcW w:w="576" w:type="dxa"/>
          </w:tcPr>
          <w:p w14:paraId="5C73553B" w14:textId="77777777" w:rsidR="00747C9C" w:rsidRPr="00332F76" w:rsidRDefault="00747C9C" w:rsidP="008E6F30">
            <w:pPr>
              <w:pStyle w:val="Tablecondensedheading"/>
              <w:rPr>
                <w:lang w:val="en-AU"/>
              </w:rPr>
            </w:pPr>
            <w:r w:rsidRPr="00332F76">
              <w:rPr>
                <w:lang w:val="en-AU"/>
              </w:rPr>
              <w:t>5</w:t>
            </w:r>
          </w:p>
        </w:tc>
        <w:tc>
          <w:tcPr>
            <w:tcW w:w="576" w:type="dxa"/>
          </w:tcPr>
          <w:p w14:paraId="4F999CC3" w14:textId="77777777" w:rsidR="00747C9C" w:rsidRPr="00332F76" w:rsidRDefault="00747C9C" w:rsidP="008E6F30">
            <w:pPr>
              <w:pStyle w:val="Tablecondensedheading"/>
              <w:rPr>
                <w:lang w:val="en-AU"/>
              </w:rPr>
            </w:pPr>
            <w:r w:rsidRPr="00332F76">
              <w:rPr>
                <w:lang w:val="en-AU"/>
              </w:rPr>
              <w:t>6</w:t>
            </w:r>
          </w:p>
        </w:tc>
        <w:tc>
          <w:tcPr>
            <w:tcW w:w="576" w:type="dxa"/>
          </w:tcPr>
          <w:p w14:paraId="531FC6FF" w14:textId="77777777" w:rsidR="00747C9C" w:rsidRPr="00332F76" w:rsidRDefault="00747C9C" w:rsidP="008E6F30">
            <w:pPr>
              <w:pStyle w:val="Tablecondensedheading"/>
              <w:rPr>
                <w:lang w:val="en-AU"/>
              </w:rPr>
            </w:pPr>
            <w:r w:rsidRPr="00332F76">
              <w:rPr>
                <w:lang w:val="en-AU"/>
              </w:rPr>
              <w:t>7</w:t>
            </w:r>
          </w:p>
        </w:tc>
        <w:tc>
          <w:tcPr>
            <w:tcW w:w="864" w:type="dxa"/>
          </w:tcPr>
          <w:p w14:paraId="0521FC88" w14:textId="77777777" w:rsidR="00747C9C" w:rsidRPr="00332F76" w:rsidRDefault="00747C9C" w:rsidP="008E6F30">
            <w:pPr>
              <w:pStyle w:val="Tablecondensedheading"/>
              <w:rPr>
                <w:lang w:val="en-AU"/>
              </w:rPr>
            </w:pPr>
            <w:r w:rsidRPr="00332F76">
              <w:rPr>
                <w:lang w:val="en-AU"/>
              </w:rPr>
              <w:t>Average</w:t>
            </w:r>
          </w:p>
        </w:tc>
      </w:tr>
      <w:tr w:rsidR="00747C9C" w:rsidRPr="00332F76" w14:paraId="1979D4E1" w14:textId="77777777" w:rsidTr="00113C44">
        <w:tc>
          <w:tcPr>
            <w:tcW w:w="599" w:type="dxa"/>
          </w:tcPr>
          <w:p w14:paraId="0244AB82" w14:textId="77777777" w:rsidR="00747C9C" w:rsidRPr="00332F76" w:rsidRDefault="00747C9C" w:rsidP="008E6F30">
            <w:pPr>
              <w:pStyle w:val="Tablecondensed"/>
              <w:rPr>
                <w:lang w:val="en-AU"/>
              </w:rPr>
            </w:pPr>
            <w:r w:rsidRPr="00332F76">
              <w:rPr>
                <w:lang w:val="en-AU"/>
              </w:rPr>
              <w:t>%</w:t>
            </w:r>
          </w:p>
        </w:tc>
        <w:tc>
          <w:tcPr>
            <w:tcW w:w="576" w:type="dxa"/>
          </w:tcPr>
          <w:p w14:paraId="1F745EB7" w14:textId="77777777" w:rsidR="00747C9C" w:rsidRPr="00332F76" w:rsidRDefault="00747C9C" w:rsidP="008E6F30">
            <w:pPr>
              <w:pStyle w:val="Tablecondensed"/>
              <w:rPr>
                <w:lang w:val="en-AU"/>
              </w:rPr>
            </w:pPr>
            <w:r w:rsidRPr="00332F76">
              <w:rPr>
                <w:lang w:val="en-AU"/>
              </w:rPr>
              <w:t>6</w:t>
            </w:r>
          </w:p>
        </w:tc>
        <w:tc>
          <w:tcPr>
            <w:tcW w:w="576" w:type="dxa"/>
          </w:tcPr>
          <w:p w14:paraId="4E6246B5" w14:textId="77777777" w:rsidR="00747C9C" w:rsidRPr="00332F76" w:rsidRDefault="00747C9C" w:rsidP="008E6F30">
            <w:pPr>
              <w:pStyle w:val="Tablecondensed"/>
              <w:rPr>
                <w:lang w:val="en-AU"/>
              </w:rPr>
            </w:pPr>
            <w:r w:rsidRPr="00332F76">
              <w:rPr>
                <w:lang w:val="en-AU"/>
              </w:rPr>
              <w:t>1</w:t>
            </w:r>
          </w:p>
        </w:tc>
        <w:tc>
          <w:tcPr>
            <w:tcW w:w="576" w:type="dxa"/>
          </w:tcPr>
          <w:p w14:paraId="2B3F6F63" w14:textId="77777777" w:rsidR="00747C9C" w:rsidRPr="00332F76" w:rsidRDefault="00747C9C" w:rsidP="008E6F30">
            <w:pPr>
              <w:pStyle w:val="Tablecondensed"/>
              <w:rPr>
                <w:lang w:val="en-AU"/>
              </w:rPr>
            </w:pPr>
            <w:r w:rsidRPr="00332F76">
              <w:rPr>
                <w:lang w:val="en-AU"/>
              </w:rPr>
              <w:t>4</w:t>
            </w:r>
          </w:p>
        </w:tc>
        <w:tc>
          <w:tcPr>
            <w:tcW w:w="576" w:type="dxa"/>
          </w:tcPr>
          <w:p w14:paraId="3BA0F671" w14:textId="77777777" w:rsidR="00747C9C" w:rsidRPr="00332F76" w:rsidRDefault="00747C9C" w:rsidP="008E6F30">
            <w:pPr>
              <w:pStyle w:val="Tablecondensed"/>
              <w:rPr>
                <w:lang w:val="en-AU"/>
              </w:rPr>
            </w:pPr>
            <w:r w:rsidRPr="00332F76">
              <w:rPr>
                <w:lang w:val="en-AU"/>
              </w:rPr>
              <w:t>9</w:t>
            </w:r>
          </w:p>
        </w:tc>
        <w:tc>
          <w:tcPr>
            <w:tcW w:w="576" w:type="dxa"/>
          </w:tcPr>
          <w:p w14:paraId="291B1FD9" w14:textId="77777777" w:rsidR="00747C9C" w:rsidRPr="00332F76" w:rsidRDefault="00747C9C" w:rsidP="008E6F30">
            <w:pPr>
              <w:pStyle w:val="Tablecondensed"/>
              <w:rPr>
                <w:lang w:val="en-AU"/>
              </w:rPr>
            </w:pPr>
            <w:r w:rsidRPr="00332F76">
              <w:rPr>
                <w:lang w:val="en-AU"/>
              </w:rPr>
              <w:t>28</w:t>
            </w:r>
          </w:p>
        </w:tc>
        <w:tc>
          <w:tcPr>
            <w:tcW w:w="576" w:type="dxa"/>
          </w:tcPr>
          <w:p w14:paraId="10A196A9" w14:textId="77777777" w:rsidR="00747C9C" w:rsidRPr="00332F76" w:rsidRDefault="00747C9C" w:rsidP="008E6F30">
            <w:pPr>
              <w:pStyle w:val="Tablecondensed"/>
              <w:rPr>
                <w:lang w:val="en-AU"/>
              </w:rPr>
            </w:pPr>
            <w:r w:rsidRPr="00332F76">
              <w:rPr>
                <w:lang w:val="en-AU"/>
              </w:rPr>
              <w:t>27</w:t>
            </w:r>
          </w:p>
        </w:tc>
        <w:tc>
          <w:tcPr>
            <w:tcW w:w="576" w:type="dxa"/>
          </w:tcPr>
          <w:p w14:paraId="221D882B" w14:textId="77777777" w:rsidR="00747C9C" w:rsidRPr="00332F76" w:rsidRDefault="00747C9C" w:rsidP="008E6F30">
            <w:pPr>
              <w:pStyle w:val="Tablecondensed"/>
              <w:rPr>
                <w:lang w:val="en-AU"/>
              </w:rPr>
            </w:pPr>
            <w:r w:rsidRPr="00332F76">
              <w:rPr>
                <w:lang w:val="en-AU"/>
              </w:rPr>
              <w:t>16</w:t>
            </w:r>
          </w:p>
        </w:tc>
        <w:tc>
          <w:tcPr>
            <w:tcW w:w="576" w:type="dxa"/>
          </w:tcPr>
          <w:p w14:paraId="61FDAAFE" w14:textId="77777777" w:rsidR="00747C9C" w:rsidRPr="00332F76" w:rsidRDefault="00747C9C" w:rsidP="008E6F30">
            <w:pPr>
              <w:pStyle w:val="Tablecondensed"/>
              <w:rPr>
                <w:lang w:val="en-AU"/>
              </w:rPr>
            </w:pPr>
            <w:r w:rsidRPr="00332F76">
              <w:rPr>
                <w:lang w:val="en-AU"/>
              </w:rPr>
              <w:t>9</w:t>
            </w:r>
          </w:p>
        </w:tc>
        <w:tc>
          <w:tcPr>
            <w:tcW w:w="864" w:type="dxa"/>
          </w:tcPr>
          <w:p w14:paraId="5B95B627" w14:textId="6BA01E05" w:rsidR="00747C9C" w:rsidRPr="00332F76" w:rsidRDefault="00747C9C" w:rsidP="008E6F30">
            <w:pPr>
              <w:pStyle w:val="Tablecondensed"/>
              <w:rPr>
                <w:lang w:val="en-AU"/>
              </w:rPr>
            </w:pPr>
            <w:r w:rsidRPr="00332F76">
              <w:rPr>
                <w:lang w:val="en-AU"/>
              </w:rPr>
              <w:t>4.4</w:t>
            </w:r>
          </w:p>
        </w:tc>
      </w:tr>
    </w:tbl>
    <w:p w14:paraId="5C0B6421" w14:textId="2AB0E2AF" w:rsidR="0002511C" w:rsidRPr="00A23DEA" w:rsidRDefault="0002511C" w:rsidP="00332F76">
      <w:pPr>
        <w:pStyle w:val="BodyText"/>
      </w:pPr>
      <w:r w:rsidRPr="00A23DEA">
        <w:t xml:space="preserve">The following is an example of a </w:t>
      </w:r>
      <w:r w:rsidR="00DE1629" w:rsidRPr="00A23DEA">
        <w:t>high-</w:t>
      </w:r>
      <w:r w:rsidRPr="00A23DEA">
        <w:t>scoring response.</w:t>
      </w:r>
    </w:p>
    <w:p w14:paraId="32D6DB1F" w14:textId="1B1736C8" w:rsidR="006F3885" w:rsidRPr="00332F76" w:rsidRDefault="006F3885" w:rsidP="00CE5FE6">
      <w:pPr>
        <w:pStyle w:val="Studentresponse"/>
      </w:pPr>
      <w:r w:rsidRPr="00332F76">
        <w:t>Both</w:t>
      </w:r>
      <w:r w:rsidR="009A57E3" w:rsidRPr="00332F76">
        <w:t xml:space="preserve"> John Neagle’s oil painting ’Pat Lyon at the Forge’ and</w:t>
      </w:r>
      <w:r w:rsidR="006F3FDB" w:rsidRPr="00332F76">
        <w:t xml:space="preserve"> Brian</w:t>
      </w:r>
      <w:r w:rsidR="009A57E3" w:rsidRPr="00332F76">
        <w:rPr>
          <w:color w:val="EE0000"/>
        </w:rPr>
        <w:t xml:space="preserve"> </w:t>
      </w:r>
      <w:r w:rsidR="009A57E3" w:rsidRPr="00332F76">
        <w:t xml:space="preserve">Griffin’s photograph ‘Woman Chainmaker’ reflect on the dynamics of power and support of labourers who work for long hours but are carried </w:t>
      </w:r>
      <w:r w:rsidR="00640198" w:rsidRPr="00332F76">
        <w:t>out</w:t>
      </w:r>
      <w:r w:rsidR="009A57E3" w:rsidRPr="00332F76">
        <w:t xml:space="preserve"> in ‘painstaking, often dangerous conditions</w:t>
      </w:r>
      <w:r w:rsidR="00DE1629" w:rsidRPr="00332F76">
        <w:t xml:space="preserve">’. </w:t>
      </w:r>
      <w:r w:rsidR="00640198" w:rsidRPr="00332F76">
        <w:t>Neagle’s</w:t>
      </w:r>
      <w:r w:rsidR="009A57E3" w:rsidRPr="00332F76">
        <w:t xml:space="preserve"> painting </w:t>
      </w:r>
      <w:r w:rsidR="00640198" w:rsidRPr="00332F76">
        <w:t>shows</w:t>
      </w:r>
      <w:r w:rsidR="009A57E3" w:rsidRPr="00332F76">
        <w:t xml:space="preserve"> how equal labourers </w:t>
      </w:r>
      <w:r w:rsidR="00640198" w:rsidRPr="00332F76">
        <w:t xml:space="preserve">were </w:t>
      </w:r>
      <w:r w:rsidR="009A57E3" w:rsidRPr="00332F76">
        <w:t>to gentleman after their value</w:t>
      </w:r>
      <w:r w:rsidR="007B5D0E" w:rsidRPr="00332F76">
        <w:t xml:space="preserve"> was</w:t>
      </w:r>
      <w:r w:rsidR="009A57E3" w:rsidRPr="00332F76">
        <w:t xml:space="preserve"> understood post war. The time and context of the oil painting that w</w:t>
      </w:r>
      <w:r w:rsidR="00640198" w:rsidRPr="00332F76">
        <w:t>as</w:t>
      </w:r>
      <w:r w:rsidR="009A57E3" w:rsidRPr="00332F76">
        <w:t xml:space="preserve"> visually used to display wealthy and high class individuals was being used to depict a working man, Neagle showed support for a fair government with an egalitarian judicial system. In comparison, with similar reference to pay labourers more respect but in a new context where the 21</w:t>
      </w:r>
      <w:r w:rsidR="009A57E3" w:rsidRPr="00A23DEA">
        <w:t>st</w:t>
      </w:r>
      <w:r w:rsidR="009A57E3" w:rsidRPr="00332F76">
        <w:t xml:space="preserve"> century is losing the ‘traditional industry’ of forgery, </w:t>
      </w:r>
      <w:r w:rsidR="008B255B" w:rsidRPr="00332F76">
        <w:t>Griffin’s</w:t>
      </w:r>
      <w:r w:rsidR="009A57E3" w:rsidRPr="00332F76">
        <w:t xml:space="preserve"> moody and chiaroscuro lighting on the woman standing in a dominant position portrays how there is fierce pride among the local people</w:t>
      </w:r>
      <w:r w:rsidR="00640198" w:rsidRPr="00332F76">
        <w:t xml:space="preserve"> who are wanting to represent their ancestors. Both artists portrayal of people working with ‘iron and fire’, with emphasis on the warm lit fire behind Pat and the bright chain held by the woman, each displays a sense of righteousness in the strength it takes to work in an industry that was the </w:t>
      </w:r>
      <w:r w:rsidR="00DE1629" w:rsidRPr="00332F76">
        <w:t>‘</w:t>
      </w:r>
      <w:r w:rsidR="00640198" w:rsidRPr="00332F76">
        <w:t>origin of America with the people that compromised it</w:t>
      </w:r>
      <w:r w:rsidR="00DE1629" w:rsidRPr="00332F76">
        <w:t>'</w:t>
      </w:r>
      <w:r w:rsidR="00640198" w:rsidRPr="00332F76">
        <w:t xml:space="preserve"> and those that were the </w:t>
      </w:r>
      <w:r w:rsidR="00DE1629" w:rsidRPr="00332F76">
        <w:t>‘</w:t>
      </w:r>
      <w:r w:rsidR="00640198" w:rsidRPr="00332F76">
        <w:t>centre of chainmaking, in the world</w:t>
      </w:r>
      <w:r w:rsidR="00DE1629" w:rsidRPr="00332F76">
        <w:t>’</w:t>
      </w:r>
      <w:r w:rsidR="00640198" w:rsidRPr="00332F76">
        <w:t>.</w:t>
      </w:r>
    </w:p>
    <w:p w14:paraId="081965F4" w14:textId="4EF6319E" w:rsidR="00C36EC5" w:rsidRPr="00332F76" w:rsidRDefault="00C36EC5" w:rsidP="00A23DEA">
      <w:pPr>
        <w:pStyle w:val="Heading2"/>
      </w:pPr>
      <w:r w:rsidRPr="00332F76">
        <w:t>7b</w:t>
      </w:r>
      <w:r w:rsidR="00F178F3" w:rsidRPr="00332F76">
        <w:t>.</w:t>
      </w:r>
      <w:r w:rsidRPr="00332F76">
        <w:t xml:space="preserve"> The Structural Lens</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864"/>
      </w:tblGrid>
      <w:tr w:rsidR="00747C9C" w:rsidRPr="00332F76" w14:paraId="274DFC1B" w14:textId="77777777" w:rsidTr="00113C44">
        <w:trPr>
          <w:cnfStyle w:val="100000000000" w:firstRow="1" w:lastRow="0" w:firstColumn="0" w:lastColumn="0" w:oddVBand="0" w:evenVBand="0" w:oddHBand="0" w:evenHBand="0" w:firstRowFirstColumn="0" w:firstRowLastColumn="0" w:lastRowFirstColumn="0" w:lastRowLastColumn="0"/>
        </w:trPr>
        <w:tc>
          <w:tcPr>
            <w:tcW w:w="599" w:type="dxa"/>
          </w:tcPr>
          <w:p w14:paraId="5739E814" w14:textId="77777777" w:rsidR="00747C9C" w:rsidRPr="00332F76" w:rsidRDefault="00747C9C" w:rsidP="008E6F30">
            <w:pPr>
              <w:pStyle w:val="Tablecondensedheading"/>
              <w:rPr>
                <w:lang w:val="en-AU"/>
              </w:rPr>
            </w:pPr>
            <w:r w:rsidRPr="00332F76">
              <w:rPr>
                <w:lang w:val="en-AU"/>
              </w:rPr>
              <w:t>Mark</w:t>
            </w:r>
          </w:p>
        </w:tc>
        <w:tc>
          <w:tcPr>
            <w:tcW w:w="576" w:type="dxa"/>
          </w:tcPr>
          <w:p w14:paraId="6389297F" w14:textId="77777777" w:rsidR="00747C9C" w:rsidRPr="00332F76" w:rsidRDefault="00747C9C" w:rsidP="008E6F30">
            <w:pPr>
              <w:pStyle w:val="Tablecondensedheading"/>
              <w:rPr>
                <w:lang w:val="en-AU"/>
              </w:rPr>
            </w:pPr>
            <w:r w:rsidRPr="00332F76">
              <w:rPr>
                <w:lang w:val="en-AU"/>
              </w:rPr>
              <w:t>0</w:t>
            </w:r>
          </w:p>
        </w:tc>
        <w:tc>
          <w:tcPr>
            <w:tcW w:w="576" w:type="dxa"/>
          </w:tcPr>
          <w:p w14:paraId="2009CC00" w14:textId="77777777" w:rsidR="00747C9C" w:rsidRPr="00332F76" w:rsidRDefault="00747C9C" w:rsidP="008E6F30">
            <w:pPr>
              <w:pStyle w:val="Tablecondensedheading"/>
              <w:rPr>
                <w:lang w:val="en-AU"/>
              </w:rPr>
            </w:pPr>
            <w:r w:rsidRPr="00332F76">
              <w:rPr>
                <w:lang w:val="en-AU"/>
              </w:rPr>
              <w:t>1</w:t>
            </w:r>
          </w:p>
        </w:tc>
        <w:tc>
          <w:tcPr>
            <w:tcW w:w="576" w:type="dxa"/>
          </w:tcPr>
          <w:p w14:paraId="32E3CDD4" w14:textId="77777777" w:rsidR="00747C9C" w:rsidRPr="00332F76" w:rsidRDefault="00747C9C" w:rsidP="008E6F30">
            <w:pPr>
              <w:pStyle w:val="Tablecondensedheading"/>
              <w:rPr>
                <w:lang w:val="en-AU"/>
              </w:rPr>
            </w:pPr>
            <w:r w:rsidRPr="00332F76">
              <w:rPr>
                <w:lang w:val="en-AU"/>
              </w:rPr>
              <w:t>2</w:t>
            </w:r>
          </w:p>
        </w:tc>
        <w:tc>
          <w:tcPr>
            <w:tcW w:w="576" w:type="dxa"/>
          </w:tcPr>
          <w:p w14:paraId="685C0FD6" w14:textId="77777777" w:rsidR="00747C9C" w:rsidRPr="00332F76" w:rsidRDefault="00747C9C" w:rsidP="008E6F30">
            <w:pPr>
              <w:pStyle w:val="Tablecondensedheading"/>
              <w:rPr>
                <w:lang w:val="en-AU"/>
              </w:rPr>
            </w:pPr>
            <w:r w:rsidRPr="00332F76">
              <w:rPr>
                <w:lang w:val="en-AU"/>
              </w:rPr>
              <w:t>3</w:t>
            </w:r>
          </w:p>
        </w:tc>
        <w:tc>
          <w:tcPr>
            <w:tcW w:w="576" w:type="dxa"/>
          </w:tcPr>
          <w:p w14:paraId="2ED86C12" w14:textId="77777777" w:rsidR="00747C9C" w:rsidRPr="00332F76" w:rsidRDefault="00747C9C" w:rsidP="008E6F30">
            <w:pPr>
              <w:pStyle w:val="Tablecondensedheading"/>
              <w:rPr>
                <w:lang w:val="en-AU"/>
              </w:rPr>
            </w:pPr>
            <w:r w:rsidRPr="00332F76">
              <w:rPr>
                <w:lang w:val="en-AU"/>
              </w:rPr>
              <w:t>4</w:t>
            </w:r>
          </w:p>
        </w:tc>
        <w:tc>
          <w:tcPr>
            <w:tcW w:w="576" w:type="dxa"/>
          </w:tcPr>
          <w:p w14:paraId="3FB6B486" w14:textId="77777777" w:rsidR="00747C9C" w:rsidRPr="00332F76" w:rsidRDefault="00747C9C" w:rsidP="008E6F30">
            <w:pPr>
              <w:pStyle w:val="Tablecondensedheading"/>
              <w:rPr>
                <w:lang w:val="en-AU"/>
              </w:rPr>
            </w:pPr>
            <w:r w:rsidRPr="00332F76">
              <w:rPr>
                <w:lang w:val="en-AU"/>
              </w:rPr>
              <w:t>5</w:t>
            </w:r>
          </w:p>
        </w:tc>
        <w:tc>
          <w:tcPr>
            <w:tcW w:w="576" w:type="dxa"/>
          </w:tcPr>
          <w:p w14:paraId="5F38452E" w14:textId="77777777" w:rsidR="00747C9C" w:rsidRPr="00332F76" w:rsidRDefault="00747C9C" w:rsidP="008E6F30">
            <w:pPr>
              <w:pStyle w:val="Tablecondensedheading"/>
              <w:rPr>
                <w:lang w:val="en-AU"/>
              </w:rPr>
            </w:pPr>
            <w:r w:rsidRPr="00332F76">
              <w:rPr>
                <w:lang w:val="en-AU"/>
              </w:rPr>
              <w:t>6</w:t>
            </w:r>
          </w:p>
        </w:tc>
        <w:tc>
          <w:tcPr>
            <w:tcW w:w="576" w:type="dxa"/>
          </w:tcPr>
          <w:p w14:paraId="0CC2E103" w14:textId="77777777" w:rsidR="00747C9C" w:rsidRPr="00332F76" w:rsidRDefault="00747C9C" w:rsidP="008E6F30">
            <w:pPr>
              <w:pStyle w:val="Tablecondensedheading"/>
              <w:rPr>
                <w:lang w:val="en-AU"/>
              </w:rPr>
            </w:pPr>
            <w:r w:rsidRPr="00332F76">
              <w:rPr>
                <w:lang w:val="en-AU"/>
              </w:rPr>
              <w:t>7</w:t>
            </w:r>
          </w:p>
        </w:tc>
        <w:tc>
          <w:tcPr>
            <w:tcW w:w="864" w:type="dxa"/>
          </w:tcPr>
          <w:p w14:paraId="2B3EE7C3" w14:textId="77777777" w:rsidR="00747C9C" w:rsidRPr="00332F76" w:rsidRDefault="00747C9C" w:rsidP="008E6F30">
            <w:pPr>
              <w:pStyle w:val="Tablecondensedheading"/>
              <w:rPr>
                <w:lang w:val="en-AU"/>
              </w:rPr>
            </w:pPr>
            <w:r w:rsidRPr="00332F76">
              <w:rPr>
                <w:lang w:val="en-AU"/>
              </w:rPr>
              <w:t>Average</w:t>
            </w:r>
          </w:p>
        </w:tc>
      </w:tr>
      <w:tr w:rsidR="00747C9C" w:rsidRPr="00332F76" w14:paraId="032AD81E" w14:textId="77777777" w:rsidTr="00113C44">
        <w:tc>
          <w:tcPr>
            <w:tcW w:w="599" w:type="dxa"/>
          </w:tcPr>
          <w:p w14:paraId="75CD7098" w14:textId="77777777" w:rsidR="00747C9C" w:rsidRPr="00332F76" w:rsidRDefault="00747C9C" w:rsidP="00747C9C">
            <w:pPr>
              <w:pStyle w:val="Tablecondensed"/>
              <w:rPr>
                <w:lang w:val="en-AU"/>
              </w:rPr>
            </w:pPr>
            <w:r w:rsidRPr="00332F76">
              <w:rPr>
                <w:lang w:val="en-AU"/>
              </w:rPr>
              <w:t>%</w:t>
            </w:r>
          </w:p>
        </w:tc>
        <w:tc>
          <w:tcPr>
            <w:tcW w:w="576" w:type="dxa"/>
          </w:tcPr>
          <w:p w14:paraId="656580C9" w14:textId="4C533EF5" w:rsidR="00747C9C" w:rsidRPr="00332F76" w:rsidRDefault="00747C9C" w:rsidP="00747C9C">
            <w:pPr>
              <w:pStyle w:val="Tablecondensed"/>
              <w:rPr>
                <w:lang w:val="en-AU"/>
              </w:rPr>
            </w:pPr>
            <w:r w:rsidRPr="00332F76">
              <w:rPr>
                <w:lang w:val="en-AU"/>
              </w:rPr>
              <w:t>12</w:t>
            </w:r>
          </w:p>
        </w:tc>
        <w:tc>
          <w:tcPr>
            <w:tcW w:w="576" w:type="dxa"/>
          </w:tcPr>
          <w:p w14:paraId="020A8BBF" w14:textId="30A31F76" w:rsidR="00747C9C" w:rsidRPr="00332F76" w:rsidRDefault="00747C9C" w:rsidP="00747C9C">
            <w:pPr>
              <w:pStyle w:val="Tablecondensed"/>
              <w:rPr>
                <w:lang w:val="en-AU"/>
              </w:rPr>
            </w:pPr>
            <w:r w:rsidRPr="00332F76">
              <w:rPr>
                <w:lang w:val="en-AU"/>
              </w:rPr>
              <w:t>2</w:t>
            </w:r>
          </w:p>
        </w:tc>
        <w:tc>
          <w:tcPr>
            <w:tcW w:w="576" w:type="dxa"/>
          </w:tcPr>
          <w:p w14:paraId="699FC100" w14:textId="7CFABF44" w:rsidR="00747C9C" w:rsidRPr="00332F76" w:rsidRDefault="00747C9C" w:rsidP="00747C9C">
            <w:pPr>
              <w:pStyle w:val="Tablecondensed"/>
              <w:rPr>
                <w:lang w:val="en-AU"/>
              </w:rPr>
            </w:pPr>
            <w:r w:rsidRPr="00332F76">
              <w:rPr>
                <w:lang w:val="en-AU"/>
              </w:rPr>
              <w:t>3</w:t>
            </w:r>
          </w:p>
        </w:tc>
        <w:tc>
          <w:tcPr>
            <w:tcW w:w="576" w:type="dxa"/>
          </w:tcPr>
          <w:p w14:paraId="30BC1A0F" w14:textId="3A8885E5" w:rsidR="00747C9C" w:rsidRPr="00332F76" w:rsidRDefault="00747C9C" w:rsidP="00747C9C">
            <w:pPr>
              <w:pStyle w:val="Tablecondensed"/>
              <w:rPr>
                <w:lang w:val="en-AU"/>
              </w:rPr>
            </w:pPr>
            <w:r w:rsidRPr="00332F76">
              <w:rPr>
                <w:lang w:val="en-AU"/>
              </w:rPr>
              <w:t>10</w:t>
            </w:r>
          </w:p>
        </w:tc>
        <w:tc>
          <w:tcPr>
            <w:tcW w:w="576" w:type="dxa"/>
          </w:tcPr>
          <w:p w14:paraId="3B4081FF" w14:textId="22857524" w:rsidR="00747C9C" w:rsidRPr="00332F76" w:rsidRDefault="00747C9C" w:rsidP="00747C9C">
            <w:pPr>
              <w:pStyle w:val="Tablecondensed"/>
              <w:rPr>
                <w:lang w:val="en-AU"/>
              </w:rPr>
            </w:pPr>
            <w:r w:rsidRPr="00332F76">
              <w:rPr>
                <w:lang w:val="en-AU"/>
              </w:rPr>
              <w:t>21</w:t>
            </w:r>
          </w:p>
        </w:tc>
        <w:tc>
          <w:tcPr>
            <w:tcW w:w="576" w:type="dxa"/>
          </w:tcPr>
          <w:p w14:paraId="34C7F798" w14:textId="74EB9C79" w:rsidR="00747C9C" w:rsidRPr="00332F76" w:rsidRDefault="00747C9C" w:rsidP="00747C9C">
            <w:pPr>
              <w:pStyle w:val="Tablecondensed"/>
              <w:rPr>
                <w:lang w:val="en-AU"/>
              </w:rPr>
            </w:pPr>
            <w:r w:rsidRPr="00332F76">
              <w:rPr>
                <w:lang w:val="en-AU"/>
              </w:rPr>
              <w:t>24</w:t>
            </w:r>
          </w:p>
        </w:tc>
        <w:tc>
          <w:tcPr>
            <w:tcW w:w="576" w:type="dxa"/>
          </w:tcPr>
          <w:p w14:paraId="76724188" w14:textId="0DDEC938" w:rsidR="00747C9C" w:rsidRPr="00332F76" w:rsidRDefault="00747C9C" w:rsidP="00747C9C">
            <w:pPr>
              <w:pStyle w:val="Tablecondensed"/>
              <w:rPr>
                <w:lang w:val="en-AU"/>
              </w:rPr>
            </w:pPr>
            <w:r w:rsidRPr="00332F76">
              <w:rPr>
                <w:lang w:val="en-AU"/>
              </w:rPr>
              <w:t>18</w:t>
            </w:r>
          </w:p>
        </w:tc>
        <w:tc>
          <w:tcPr>
            <w:tcW w:w="576" w:type="dxa"/>
          </w:tcPr>
          <w:p w14:paraId="1848EAE8" w14:textId="36DA152D" w:rsidR="00747C9C" w:rsidRPr="00332F76" w:rsidRDefault="00747C9C" w:rsidP="00747C9C">
            <w:pPr>
              <w:pStyle w:val="Tablecondensed"/>
              <w:rPr>
                <w:lang w:val="en-AU"/>
              </w:rPr>
            </w:pPr>
            <w:r w:rsidRPr="00332F76">
              <w:rPr>
                <w:lang w:val="en-AU"/>
              </w:rPr>
              <w:t>9</w:t>
            </w:r>
          </w:p>
        </w:tc>
        <w:tc>
          <w:tcPr>
            <w:tcW w:w="864" w:type="dxa"/>
          </w:tcPr>
          <w:p w14:paraId="40687A5B" w14:textId="610D94B9" w:rsidR="00747C9C" w:rsidRPr="00332F76" w:rsidRDefault="00747C9C" w:rsidP="00747C9C">
            <w:pPr>
              <w:pStyle w:val="Tablecondensed"/>
              <w:rPr>
                <w:lang w:val="en-AU"/>
              </w:rPr>
            </w:pPr>
            <w:r w:rsidRPr="00332F76">
              <w:rPr>
                <w:lang w:val="en-AU"/>
              </w:rPr>
              <w:t>4.15</w:t>
            </w:r>
          </w:p>
        </w:tc>
      </w:tr>
    </w:tbl>
    <w:p w14:paraId="1B1DA9ED" w14:textId="77777777" w:rsidR="00A23DEA" w:rsidRDefault="00A23DEA" w:rsidP="00332F76">
      <w:pPr>
        <w:pStyle w:val="BodyText"/>
      </w:pPr>
    </w:p>
    <w:p w14:paraId="6BB15BA2" w14:textId="77777777" w:rsidR="00A23DEA" w:rsidRDefault="00A23DEA">
      <w:pPr>
        <w:spacing w:line="276" w:lineRule="auto"/>
        <w:rPr>
          <w:rFonts w:ascii="Arial" w:hAnsi="Arial" w:cs="Arial"/>
          <w:color w:val="000000" w:themeColor="text1"/>
          <w:sz w:val="20"/>
          <w:lang w:val="en-AU" w:eastAsia="en-AU"/>
        </w:rPr>
      </w:pPr>
      <w:r>
        <w:br w:type="page"/>
      </w:r>
    </w:p>
    <w:p w14:paraId="1B53C6F8" w14:textId="5C0CA20B" w:rsidR="0002511C" w:rsidRPr="00A23DEA" w:rsidRDefault="0002511C" w:rsidP="00332F76">
      <w:pPr>
        <w:pStyle w:val="BodyText"/>
      </w:pPr>
      <w:r w:rsidRPr="00A23DEA">
        <w:t xml:space="preserve">The following is an example of a </w:t>
      </w:r>
      <w:r w:rsidR="00DE1629" w:rsidRPr="00A23DEA">
        <w:t>high-</w:t>
      </w:r>
      <w:r w:rsidRPr="00A23DEA">
        <w:t>scoring response.</w:t>
      </w:r>
    </w:p>
    <w:p w14:paraId="1E15F73F" w14:textId="24E5FC80" w:rsidR="001D3F75" w:rsidRPr="00332F76" w:rsidRDefault="001D3F75" w:rsidP="00CE5FE6">
      <w:pPr>
        <w:pStyle w:val="Studentresponse"/>
      </w:pPr>
      <w:r w:rsidRPr="00332F76">
        <w:t xml:space="preserve">Both pieces </w:t>
      </w:r>
      <w:r w:rsidR="00612D1A" w:rsidRPr="00332F76">
        <w:t>utilise</w:t>
      </w:r>
      <w:r w:rsidRPr="00332F76">
        <w:t xml:space="preserve"> emphasis to allow the individuals to emerge as a focal point. In Neagle’s oil painting, the use of colour contrasts between his white shirt and darker background allowing the figure to be given emphasis, and similarly in Griffin’s print, the use of lighting creating a high level of contrast between the bright whites and shadows on the female’s body and face convey her as the focal point. On the other hand, the colour palettes differ greatly. Neagle’s painting is rich with vivid, earthy colours, delivering a harmonious, warm composition, while Griffin’s monotone black background and low-exposure photography cultivates</w:t>
      </w:r>
      <w:r w:rsidR="00612D1A" w:rsidRPr="00332F76">
        <w:t xml:space="preserve"> a moodier, more mechanical aesthetic. This further strengthens the individual emphasis of the woman chainmaker, as her bright pink hair pops </w:t>
      </w:r>
      <w:r w:rsidR="007B5D0E" w:rsidRPr="00332F76">
        <w:t>against the</w:t>
      </w:r>
      <w:r w:rsidR="00612D1A" w:rsidRPr="00332F76">
        <w:t xml:space="preserve"> darkness, conveying her female identity and creative expression subdued by the ‘sweaty labour’. Finally, the difference in style and mediums is clear with Neagle’s smooth oil painting leaving a warm, emotional impression compared to Griffin’s pigment print allowing greater detail of the intricate machinery and the intense expression of the woman.</w:t>
      </w:r>
    </w:p>
    <w:p w14:paraId="28A35D9A" w14:textId="1A69C179" w:rsidR="004157B7" w:rsidRPr="00332F76" w:rsidRDefault="00C36EC5" w:rsidP="00A23DEA">
      <w:pPr>
        <w:pStyle w:val="Heading1"/>
      </w:pPr>
      <w:r w:rsidRPr="00332F76">
        <w:t>Question 8</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tblGrid>
      <w:tr w:rsidR="00252F08" w:rsidRPr="00332F76" w14:paraId="2BCC212F" w14:textId="77777777" w:rsidTr="00113C44">
        <w:trPr>
          <w:cnfStyle w:val="100000000000" w:firstRow="1" w:lastRow="0" w:firstColumn="0" w:lastColumn="0" w:oddVBand="0" w:evenVBand="0" w:oddHBand="0" w:evenHBand="0" w:firstRowFirstColumn="0" w:firstRowLastColumn="0" w:lastRowFirstColumn="0" w:lastRowLastColumn="0"/>
        </w:trPr>
        <w:tc>
          <w:tcPr>
            <w:tcW w:w="599" w:type="dxa"/>
          </w:tcPr>
          <w:p w14:paraId="49F6D163" w14:textId="77777777" w:rsidR="00252F08" w:rsidRPr="00332F76" w:rsidRDefault="00252F08" w:rsidP="008E6F30">
            <w:pPr>
              <w:pStyle w:val="Tablecondensedheading"/>
              <w:rPr>
                <w:lang w:val="en-AU"/>
              </w:rPr>
            </w:pPr>
            <w:bookmarkStart w:id="3" w:name="_Hlk216773008"/>
            <w:r w:rsidRPr="00332F76">
              <w:rPr>
                <w:lang w:val="en-AU"/>
              </w:rPr>
              <w:t>Mark</w:t>
            </w:r>
          </w:p>
        </w:tc>
        <w:tc>
          <w:tcPr>
            <w:tcW w:w="576" w:type="dxa"/>
          </w:tcPr>
          <w:p w14:paraId="1CCB8ECB" w14:textId="77777777" w:rsidR="00252F08" w:rsidRPr="00332F76" w:rsidRDefault="00252F08" w:rsidP="008E6F30">
            <w:pPr>
              <w:pStyle w:val="Tablecondensedheading"/>
              <w:rPr>
                <w:lang w:val="en-AU"/>
              </w:rPr>
            </w:pPr>
            <w:r w:rsidRPr="00332F76">
              <w:rPr>
                <w:lang w:val="en-AU"/>
              </w:rPr>
              <w:t>0</w:t>
            </w:r>
          </w:p>
        </w:tc>
        <w:tc>
          <w:tcPr>
            <w:tcW w:w="576" w:type="dxa"/>
          </w:tcPr>
          <w:p w14:paraId="4831D4B1" w14:textId="77777777" w:rsidR="00252F08" w:rsidRPr="00332F76" w:rsidRDefault="00252F08" w:rsidP="008E6F30">
            <w:pPr>
              <w:pStyle w:val="Tablecondensedheading"/>
              <w:rPr>
                <w:lang w:val="en-AU"/>
              </w:rPr>
            </w:pPr>
            <w:r w:rsidRPr="00332F76">
              <w:rPr>
                <w:lang w:val="en-AU"/>
              </w:rPr>
              <w:t>1</w:t>
            </w:r>
          </w:p>
        </w:tc>
        <w:tc>
          <w:tcPr>
            <w:tcW w:w="576" w:type="dxa"/>
          </w:tcPr>
          <w:p w14:paraId="3AB96710" w14:textId="77777777" w:rsidR="00252F08" w:rsidRPr="00332F76" w:rsidRDefault="00252F08" w:rsidP="008E6F30">
            <w:pPr>
              <w:pStyle w:val="Tablecondensedheading"/>
              <w:rPr>
                <w:lang w:val="en-AU"/>
              </w:rPr>
            </w:pPr>
            <w:r w:rsidRPr="00332F76">
              <w:rPr>
                <w:lang w:val="en-AU"/>
              </w:rPr>
              <w:t>2</w:t>
            </w:r>
          </w:p>
        </w:tc>
        <w:tc>
          <w:tcPr>
            <w:tcW w:w="576" w:type="dxa"/>
          </w:tcPr>
          <w:p w14:paraId="75B3A5B4" w14:textId="77777777" w:rsidR="00252F08" w:rsidRPr="00332F76" w:rsidRDefault="00252F08" w:rsidP="008E6F30">
            <w:pPr>
              <w:pStyle w:val="Tablecondensedheading"/>
              <w:rPr>
                <w:lang w:val="en-AU"/>
              </w:rPr>
            </w:pPr>
            <w:r w:rsidRPr="00332F76">
              <w:rPr>
                <w:lang w:val="en-AU"/>
              </w:rPr>
              <w:t>3</w:t>
            </w:r>
          </w:p>
        </w:tc>
        <w:tc>
          <w:tcPr>
            <w:tcW w:w="576" w:type="dxa"/>
          </w:tcPr>
          <w:p w14:paraId="07E8E2E1" w14:textId="77777777" w:rsidR="00252F08" w:rsidRPr="00332F76" w:rsidRDefault="00252F08" w:rsidP="008E6F30">
            <w:pPr>
              <w:pStyle w:val="Tablecondensedheading"/>
              <w:rPr>
                <w:lang w:val="en-AU"/>
              </w:rPr>
            </w:pPr>
            <w:r w:rsidRPr="00332F76">
              <w:rPr>
                <w:lang w:val="en-AU"/>
              </w:rPr>
              <w:t>4</w:t>
            </w:r>
          </w:p>
        </w:tc>
        <w:tc>
          <w:tcPr>
            <w:tcW w:w="576" w:type="dxa"/>
          </w:tcPr>
          <w:p w14:paraId="0C548837" w14:textId="77777777" w:rsidR="00252F08" w:rsidRPr="00332F76" w:rsidRDefault="00252F08" w:rsidP="008E6F30">
            <w:pPr>
              <w:pStyle w:val="Tablecondensedheading"/>
              <w:rPr>
                <w:lang w:val="en-AU"/>
              </w:rPr>
            </w:pPr>
            <w:r w:rsidRPr="00332F76">
              <w:rPr>
                <w:lang w:val="en-AU"/>
              </w:rPr>
              <w:t>5</w:t>
            </w:r>
          </w:p>
        </w:tc>
        <w:tc>
          <w:tcPr>
            <w:tcW w:w="576" w:type="dxa"/>
          </w:tcPr>
          <w:p w14:paraId="21FA5B7B" w14:textId="77777777" w:rsidR="00252F08" w:rsidRPr="00332F76" w:rsidRDefault="00252F08" w:rsidP="008E6F30">
            <w:pPr>
              <w:pStyle w:val="Tablecondensedheading"/>
              <w:rPr>
                <w:lang w:val="en-AU"/>
              </w:rPr>
            </w:pPr>
            <w:r w:rsidRPr="00332F76">
              <w:rPr>
                <w:lang w:val="en-AU"/>
              </w:rPr>
              <w:t>6</w:t>
            </w:r>
          </w:p>
        </w:tc>
        <w:tc>
          <w:tcPr>
            <w:tcW w:w="576" w:type="dxa"/>
          </w:tcPr>
          <w:p w14:paraId="33F3B7A9" w14:textId="04620B29" w:rsidR="00252F08" w:rsidRPr="00332F76" w:rsidRDefault="00252F08" w:rsidP="008E6F30">
            <w:pPr>
              <w:pStyle w:val="Tablecondensedheading"/>
              <w:rPr>
                <w:lang w:val="en-AU"/>
              </w:rPr>
            </w:pPr>
            <w:r w:rsidRPr="00332F76">
              <w:rPr>
                <w:lang w:val="en-AU"/>
              </w:rPr>
              <w:t>7</w:t>
            </w:r>
          </w:p>
        </w:tc>
        <w:tc>
          <w:tcPr>
            <w:tcW w:w="576" w:type="dxa"/>
          </w:tcPr>
          <w:p w14:paraId="052E5A33" w14:textId="4052C9E2" w:rsidR="00252F08" w:rsidRPr="00332F76" w:rsidRDefault="00252F08" w:rsidP="008E6F30">
            <w:pPr>
              <w:pStyle w:val="Tablecondensedheading"/>
              <w:rPr>
                <w:lang w:val="en-AU"/>
              </w:rPr>
            </w:pPr>
            <w:r w:rsidRPr="00332F76">
              <w:rPr>
                <w:lang w:val="en-AU"/>
              </w:rPr>
              <w:t>8</w:t>
            </w:r>
          </w:p>
        </w:tc>
        <w:tc>
          <w:tcPr>
            <w:tcW w:w="576" w:type="dxa"/>
          </w:tcPr>
          <w:p w14:paraId="768802D9" w14:textId="4317C076" w:rsidR="00252F08" w:rsidRPr="00332F76" w:rsidRDefault="00252F08" w:rsidP="008E6F30">
            <w:pPr>
              <w:pStyle w:val="Tablecondensedheading"/>
              <w:rPr>
                <w:lang w:val="en-AU"/>
              </w:rPr>
            </w:pPr>
            <w:r w:rsidRPr="00332F76">
              <w:rPr>
                <w:lang w:val="en-AU"/>
              </w:rPr>
              <w:t>9</w:t>
            </w:r>
          </w:p>
        </w:tc>
        <w:tc>
          <w:tcPr>
            <w:tcW w:w="576" w:type="dxa"/>
          </w:tcPr>
          <w:p w14:paraId="1C944BB0" w14:textId="52E5EDD6" w:rsidR="00252F08" w:rsidRPr="00332F76" w:rsidRDefault="00252F08" w:rsidP="008E6F30">
            <w:pPr>
              <w:pStyle w:val="Tablecondensedheading"/>
              <w:rPr>
                <w:lang w:val="en-AU"/>
              </w:rPr>
            </w:pPr>
            <w:r w:rsidRPr="00332F76">
              <w:rPr>
                <w:lang w:val="en-AU"/>
              </w:rPr>
              <w:t>10</w:t>
            </w:r>
          </w:p>
        </w:tc>
      </w:tr>
      <w:tr w:rsidR="00252F08" w:rsidRPr="00332F76" w14:paraId="5579A8B3" w14:textId="77777777" w:rsidTr="00113C44">
        <w:tc>
          <w:tcPr>
            <w:tcW w:w="599" w:type="dxa"/>
          </w:tcPr>
          <w:p w14:paraId="5121CF2E" w14:textId="77777777" w:rsidR="00252F08" w:rsidRPr="00332F76" w:rsidRDefault="00252F08" w:rsidP="00252F08">
            <w:pPr>
              <w:pStyle w:val="Tablecondensed"/>
              <w:rPr>
                <w:lang w:val="en-AU"/>
              </w:rPr>
            </w:pPr>
            <w:r w:rsidRPr="00332F76">
              <w:rPr>
                <w:lang w:val="en-AU"/>
              </w:rPr>
              <w:t>%</w:t>
            </w:r>
          </w:p>
        </w:tc>
        <w:tc>
          <w:tcPr>
            <w:tcW w:w="576" w:type="dxa"/>
          </w:tcPr>
          <w:p w14:paraId="19160004" w14:textId="5A2A64F5" w:rsidR="00252F08" w:rsidRPr="00332F76" w:rsidRDefault="00252F08" w:rsidP="00252F08">
            <w:pPr>
              <w:pStyle w:val="Tablecondensed"/>
              <w:rPr>
                <w:lang w:val="en-AU"/>
              </w:rPr>
            </w:pPr>
            <w:r w:rsidRPr="00332F76">
              <w:rPr>
                <w:lang w:val="en-AU"/>
              </w:rPr>
              <w:t>6</w:t>
            </w:r>
          </w:p>
        </w:tc>
        <w:tc>
          <w:tcPr>
            <w:tcW w:w="576" w:type="dxa"/>
          </w:tcPr>
          <w:p w14:paraId="7C0B46EE" w14:textId="276FEE10" w:rsidR="00252F08" w:rsidRPr="00332F76" w:rsidRDefault="00252F08" w:rsidP="00252F08">
            <w:pPr>
              <w:pStyle w:val="Tablecondensed"/>
              <w:rPr>
                <w:lang w:val="en-AU"/>
              </w:rPr>
            </w:pPr>
            <w:r w:rsidRPr="00332F76">
              <w:rPr>
                <w:lang w:val="en-AU"/>
              </w:rPr>
              <w:t>2</w:t>
            </w:r>
          </w:p>
        </w:tc>
        <w:tc>
          <w:tcPr>
            <w:tcW w:w="576" w:type="dxa"/>
          </w:tcPr>
          <w:p w14:paraId="57AD227A" w14:textId="0C0C943D" w:rsidR="00252F08" w:rsidRPr="00332F76" w:rsidRDefault="00252F08" w:rsidP="00252F08">
            <w:pPr>
              <w:pStyle w:val="Tablecondensed"/>
              <w:rPr>
                <w:lang w:val="en-AU"/>
              </w:rPr>
            </w:pPr>
            <w:r w:rsidRPr="00332F76">
              <w:rPr>
                <w:lang w:val="en-AU"/>
              </w:rPr>
              <w:t>1</w:t>
            </w:r>
          </w:p>
        </w:tc>
        <w:tc>
          <w:tcPr>
            <w:tcW w:w="576" w:type="dxa"/>
          </w:tcPr>
          <w:p w14:paraId="281092A4" w14:textId="599F9305" w:rsidR="00252F08" w:rsidRPr="00332F76" w:rsidRDefault="00252F08" w:rsidP="00252F08">
            <w:pPr>
              <w:pStyle w:val="Tablecondensed"/>
              <w:rPr>
                <w:lang w:val="en-AU"/>
              </w:rPr>
            </w:pPr>
            <w:r w:rsidRPr="00332F76">
              <w:rPr>
                <w:lang w:val="en-AU"/>
              </w:rPr>
              <w:t>2</w:t>
            </w:r>
          </w:p>
        </w:tc>
        <w:tc>
          <w:tcPr>
            <w:tcW w:w="576" w:type="dxa"/>
          </w:tcPr>
          <w:p w14:paraId="1ED65BC5" w14:textId="59D7FCC2" w:rsidR="00252F08" w:rsidRPr="00332F76" w:rsidRDefault="00252F08" w:rsidP="00252F08">
            <w:pPr>
              <w:pStyle w:val="Tablecondensed"/>
              <w:rPr>
                <w:lang w:val="en-AU"/>
              </w:rPr>
            </w:pPr>
            <w:r w:rsidRPr="00332F76">
              <w:rPr>
                <w:lang w:val="en-AU"/>
              </w:rPr>
              <w:t>2</w:t>
            </w:r>
          </w:p>
        </w:tc>
        <w:tc>
          <w:tcPr>
            <w:tcW w:w="576" w:type="dxa"/>
          </w:tcPr>
          <w:p w14:paraId="208B6544" w14:textId="4E08856D" w:rsidR="00252F08" w:rsidRPr="00332F76" w:rsidRDefault="00252F08" w:rsidP="00252F08">
            <w:pPr>
              <w:pStyle w:val="Tablecondensed"/>
              <w:rPr>
                <w:lang w:val="en-AU"/>
              </w:rPr>
            </w:pPr>
            <w:r w:rsidRPr="00332F76">
              <w:rPr>
                <w:lang w:val="en-AU"/>
              </w:rPr>
              <w:t>2</w:t>
            </w:r>
          </w:p>
        </w:tc>
        <w:tc>
          <w:tcPr>
            <w:tcW w:w="576" w:type="dxa"/>
          </w:tcPr>
          <w:p w14:paraId="1EB8AD3C" w14:textId="37F39677" w:rsidR="00252F08" w:rsidRPr="00332F76" w:rsidRDefault="00252F08" w:rsidP="00252F08">
            <w:pPr>
              <w:pStyle w:val="Tablecondensed"/>
              <w:rPr>
                <w:lang w:val="en-AU"/>
              </w:rPr>
            </w:pPr>
            <w:r w:rsidRPr="00332F76">
              <w:rPr>
                <w:lang w:val="en-AU"/>
              </w:rPr>
              <w:t>2</w:t>
            </w:r>
          </w:p>
        </w:tc>
        <w:tc>
          <w:tcPr>
            <w:tcW w:w="576" w:type="dxa"/>
          </w:tcPr>
          <w:p w14:paraId="62DE8590" w14:textId="16E03457" w:rsidR="00252F08" w:rsidRPr="00332F76" w:rsidRDefault="00252F08" w:rsidP="00252F08">
            <w:pPr>
              <w:pStyle w:val="Tablecondensed"/>
              <w:rPr>
                <w:lang w:val="en-AU"/>
              </w:rPr>
            </w:pPr>
            <w:r w:rsidRPr="00332F76">
              <w:rPr>
                <w:lang w:val="en-AU"/>
              </w:rPr>
              <w:t>3</w:t>
            </w:r>
          </w:p>
        </w:tc>
        <w:tc>
          <w:tcPr>
            <w:tcW w:w="576" w:type="dxa"/>
          </w:tcPr>
          <w:p w14:paraId="665D59C6" w14:textId="3244B0AB" w:rsidR="00252F08" w:rsidRPr="00332F76" w:rsidRDefault="00252F08" w:rsidP="00252F08">
            <w:pPr>
              <w:pStyle w:val="Tablecondensed"/>
              <w:rPr>
                <w:lang w:val="en-AU"/>
              </w:rPr>
            </w:pPr>
            <w:r w:rsidRPr="00332F76">
              <w:rPr>
                <w:lang w:val="en-AU"/>
              </w:rPr>
              <w:t>4</w:t>
            </w:r>
          </w:p>
        </w:tc>
        <w:tc>
          <w:tcPr>
            <w:tcW w:w="576" w:type="dxa"/>
          </w:tcPr>
          <w:p w14:paraId="34AA4D3E" w14:textId="103A5967" w:rsidR="00252F08" w:rsidRPr="00332F76" w:rsidRDefault="00252F08" w:rsidP="00252F08">
            <w:pPr>
              <w:pStyle w:val="Tablecondensed"/>
              <w:rPr>
                <w:lang w:val="en-AU"/>
              </w:rPr>
            </w:pPr>
            <w:r w:rsidRPr="00332F76">
              <w:rPr>
                <w:lang w:val="en-AU"/>
              </w:rPr>
              <w:t>10</w:t>
            </w:r>
          </w:p>
        </w:tc>
        <w:tc>
          <w:tcPr>
            <w:tcW w:w="576" w:type="dxa"/>
          </w:tcPr>
          <w:p w14:paraId="2DDA8DDF" w14:textId="2984909F" w:rsidR="00252F08" w:rsidRPr="00332F76" w:rsidRDefault="00252F08" w:rsidP="00252F08">
            <w:pPr>
              <w:pStyle w:val="Tablecondensed"/>
              <w:rPr>
                <w:lang w:val="en-AU"/>
              </w:rPr>
            </w:pPr>
            <w:r w:rsidRPr="00332F76">
              <w:rPr>
                <w:lang w:val="en-AU"/>
              </w:rPr>
              <w:t>14</w:t>
            </w:r>
          </w:p>
        </w:tc>
      </w:tr>
      <w:bookmarkEnd w:id="3"/>
    </w:tbl>
    <w:p w14:paraId="696DA1C5" w14:textId="77777777" w:rsidR="00747C9C" w:rsidRPr="00332F76" w:rsidRDefault="00747C9C" w:rsidP="00F178F3">
      <w:pPr>
        <w:pStyle w:val="BodyText"/>
      </w:pP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864"/>
      </w:tblGrid>
      <w:tr w:rsidR="00252F08" w:rsidRPr="00332F76" w14:paraId="13EB2C1E" w14:textId="77777777" w:rsidTr="00113C44">
        <w:trPr>
          <w:cnfStyle w:val="100000000000" w:firstRow="1" w:lastRow="0" w:firstColumn="0" w:lastColumn="0" w:oddVBand="0" w:evenVBand="0" w:oddHBand="0" w:evenHBand="0" w:firstRowFirstColumn="0" w:firstRowLastColumn="0" w:lastRowFirstColumn="0" w:lastRowLastColumn="0"/>
        </w:trPr>
        <w:tc>
          <w:tcPr>
            <w:tcW w:w="599" w:type="dxa"/>
          </w:tcPr>
          <w:p w14:paraId="6BBAB654" w14:textId="77777777" w:rsidR="00252F08" w:rsidRPr="00332F76" w:rsidRDefault="00252F08" w:rsidP="008E6F30">
            <w:pPr>
              <w:pStyle w:val="Tablecondensedheading"/>
              <w:rPr>
                <w:lang w:val="en-AU"/>
              </w:rPr>
            </w:pPr>
            <w:r w:rsidRPr="00332F76">
              <w:rPr>
                <w:lang w:val="en-AU"/>
              </w:rPr>
              <w:t>Mark</w:t>
            </w:r>
          </w:p>
        </w:tc>
        <w:tc>
          <w:tcPr>
            <w:tcW w:w="576" w:type="dxa"/>
          </w:tcPr>
          <w:p w14:paraId="74F1A2CF" w14:textId="1F522439" w:rsidR="00252F08" w:rsidRPr="00332F76" w:rsidRDefault="00252F08" w:rsidP="008E6F30">
            <w:pPr>
              <w:pStyle w:val="Tablecondensedheading"/>
              <w:rPr>
                <w:lang w:val="en-AU"/>
              </w:rPr>
            </w:pPr>
            <w:r w:rsidRPr="00332F76">
              <w:rPr>
                <w:lang w:val="en-AU"/>
              </w:rPr>
              <w:t>11</w:t>
            </w:r>
          </w:p>
        </w:tc>
        <w:tc>
          <w:tcPr>
            <w:tcW w:w="576" w:type="dxa"/>
          </w:tcPr>
          <w:p w14:paraId="74FFC76C" w14:textId="2D445302" w:rsidR="00252F08" w:rsidRPr="00332F76" w:rsidRDefault="00252F08" w:rsidP="008E6F30">
            <w:pPr>
              <w:pStyle w:val="Tablecondensedheading"/>
              <w:rPr>
                <w:lang w:val="en-AU"/>
              </w:rPr>
            </w:pPr>
            <w:r w:rsidRPr="00332F76">
              <w:rPr>
                <w:lang w:val="en-AU"/>
              </w:rPr>
              <w:t>12</w:t>
            </w:r>
          </w:p>
        </w:tc>
        <w:tc>
          <w:tcPr>
            <w:tcW w:w="576" w:type="dxa"/>
          </w:tcPr>
          <w:p w14:paraId="13926D8D" w14:textId="594D6E7C" w:rsidR="00252F08" w:rsidRPr="00332F76" w:rsidRDefault="00252F08" w:rsidP="008E6F30">
            <w:pPr>
              <w:pStyle w:val="Tablecondensedheading"/>
              <w:rPr>
                <w:lang w:val="en-AU"/>
              </w:rPr>
            </w:pPr>
            <w:r w:rsidRPr="00332F76">
              <w:rPr>
                <w:lang w:val="en-AU"/>
              </w:rPr>
              <w:t>13</w:t>
            </w:r>
          </w:p>
        </w:tc>
        <w:tc>
          <w:tcPr>
            <w:tcW w:w="576" w:type="dxa"/>
          </w:tcPr>
          <w:p w14:paraId="738182AD" w14:textId="5AAEFBC2" w:rsidR="00252F08" w:rsidRPr="00332F76" w:rsidRDefault="00252F08" w:rsidP="008E6F30">
            <w:pPr>
              <w:pStyle w:val="Tablecondensedheading"/>
              <w:rPr>
                <w:lang w:val="en-AU"/>
              </w:rPr>
            </w:pPr>
            <w:r w:rsidRPr="00332F76">
              <w:rPr>
                <w:lang w:val="en-AU"/>
              </w:rPr>
              <w:t>14</w:t>
            </w:r>
          </w:p>
        </w:tc>
        <w:tc>
          <w:tcPr>
            <w:tcW w:w="576" w:type="dxa"/>
          </w:tcPr>
          <w:p w14:paraId="4A7F197D" w14:textId="1011536B" w:rsidR="00252F08" w:rsidRPr="00332F76" w:rsidRDefault="00252F08" w:rsidP="008E6F30">
            <w:pPr>
              <w:pStyle w:val="Tablecondensedheading"/>
              <w:rPr>
                <w:lang w:val="en-AU"/>
              </w:rPr>
            </w:pPr>
            <w:r w:rsidRPr="00332F76">
              <w:rPr>
                <w:lang w:val="en-AU"/>
              </w:rPr>
              <w:t>15</w:t>
            </w:r>
          </w:p>
        </w:tc>
        <w:tc>
          <w:tcPr>
            <w:tcW w:w="576" w:type="dxa"/>
          </w:tcPr>
          <w:p w14:paraId="0901A6F5" w14:textId="091C8067" w:rsidR="00252F08" w:rsidRPr="00332F76" w:rsidRDefault="00252F08" w:rsidP="008E6F30">
            <w:pPr>
              <w:pStyle w:val="Tablecondensedheading"/>
              <w:rPr>
                <w:lang w:val="en-AU"/>
              </w:rPr>
            </w:pPr>
            <w:r w:rsidRPr="00332F76">
              <w:rPr>
                <w:lang w:val="en-AU"/>
              </w:rPr>
              <w:t>16</w:t>
            </w:r>
          </w:p>
        </w:tc>
        <w:tc>
          <w:tcPr>
            <w:tcW w:w="576" w:type="dxa"/>
          </w:tcPr>
          <w:p w14:paraId="1F6EB09D" w14:textId="680A52D3" w:rsidR="00252F08" w:rsidRPr="00332F76" w:rsidRDefault="00252F08" w:rsidP="008E6F30">
            <w:pPr>
              <w:pStyle w:val="Tablecondensedheading"/>
              <w:rPr>
                <w:lang w:val="en-AU"/>
              </w:rPr>
            </w:pPr>
            <w:r w:rsidRPr="00332F76">
              <w:rPr>
                <w:lang w:val="en-AU"/>
              </w:rPr>
              <w:t>17</w:t>
            </w:r>
          </w:p>
        </w:tc>
        <w:tc>
          <w:tcPr>
            <w:tcW w:w="576" w:type="dxa"/>
          </w:tcPr>
          <w:p w14:paraId="747A45EF" w14:textId="2FB846A1" w:rsidR="00252F08" w:rsidRPr="00332F76" w:rsidRDefault="00252F08" w:rsidP="008E6F30">
            <w:pPr>
              <w:pStyle w:val="Tablecondensedheading"/>
              <w:rPr>
                <w:lang w:val="en-AU"/>
              </w:rPr>
            </w:pPr>
            <w:r w:rsidRPr="00332F76">
              <w:rPr>
                <w:lang w:val="en-AU"/>
              </w:rPr>
              <w:t>18</w:t>
            </w:r>
          </w:p>
        </w:tc>
        <w:tc>
          <w:tcPr>
            <w:tcW w:w="576" w:type="dxa"/>
          </w:tcPr>
          <w:p w14:paraId="11D9C5EE" w14:textId="41FE2F45" w:rsidR="00252F08" w:rsidRPr="00332F76" w:rsidRDefault="00252F08" w:rsidP="008E6F30">
            <w:pPr>
              <w:pStyle w:val="Tablecondensedheading"/>
              <w:rPr>
                <w:lang w:val="en-AU"/>
              </w:rPr>
            </w:pPr>
            <w:r w:rsidRPr="00332F76">
              <w:rPr>
                <w:lang w:val="en-AU"/>
              </w:rPr>
              <w:t>19</w:t>
            </w:r>
          </w:p>
        </w:tc>
        <w:tc>
          <w:tcPr>
            <w:tcW w:w="576" w:type="dxa"/>
          </w:tcPr>
          <w:p w14:paraId="6A8B08B6" w14:textId="498FE73E" w:rsidR="00252F08" w:rsidRPr="00332F76" w:rsidRDefault="00252F08" w:rsidP="008E6F30">
            <w:pPr>
              <w:pStyle w:val="Tablecondensedheading"/>
              <w:rPr>
                <w:lang w:val="en-AU"/>
              </w:rPr>
            </w:pPr>
            <w:r w:rsidRPr="00332F76">
              <w:rPr>
                <w:lang w:val="en-AU"/>
              </w:rPr>
              <w:t>20</w:t>
            </w:r>
          </w:p>
        </w:tc>
        <w:tc>
          <w:tcPr>
            <w:tcW w:w="864" w:type="dxa"/>
          </w:tcPr>
          <w:p w14:paraId="32FFA1B3" w14:textId="77777777" w:rsidR="00252F08" w:rsidRPr="00332F76" w:rsidRDefault="00252F08" w:rsidP="008E6F30">
            <w:pPr>
              <w:pStyle w:val="Tablecondensedheading"/>
              <w:rPr>
                <w:lang w:val="en-AU"/>
              </w:rPr>
            </w:pPr>
            <w:r w:rsidRPr="00332F76">
              <w:rPr>
                <w:lang w:val="en-AU"/>
              </w:rPr>
              <w:t>Average</w:t>
            </w:r>
          </w:p>
        </w:tc>
      </w:tr>
      <w:tr w:rsidR="00252F08" w:rsidRPr="00332F76" w14:paraId="64C5095C" w14:textId="77777777" w:rsidTr="00113C44">
        <w:tc>
          <w:tcPr>
            <w:tcW w:w="599" w:type="dxa"/>
          </w:tcPr>
          <w:p w14:paraId="40083771" w14:textId="77777777" w:rsidR="00252F08" w:rsidRPr="00332F76" w:rsidRDefault="00252F08" w:rsidP="00252F08">
            <w:pPr>
              <w:pStyle w:val="Tablecondensed"/>
              <w:rPr>
                <w:lang w:val="en-AU"/>
              </w:rPr>
            </w:pPr>
            <w:r w:rsidRPr="00332F76">
              <w:rPr>
                <w:lang w:val="en-AU"/>
              </w:rPr>
              <w:t>%</w:t>
            </w:r>
          </w:p>
        </w:tc>
        <w:tc>
          <w:tcPr>
            <w:tcW w:w="576" w:type="dxa"/>
          </w:tcPr>
          <w:p w14:paraId="1643BAE7" w14:textId="1FA20DF2" w:rsidR="00252F08" w:rsidRPr="00332F76" w:rsidRDefault="00252F08" w:rsidP="00252F08">
            <w:pPr>
              <w:pStyle w:val="Tablecondensed"/>
              <w:rPr>
                <w:lang w:val="en-AU"/>
              </w:rPr>
            </w:pPr>
            <w:r w:rsidRPr="00332F76">
              <w:rPr>
                <w:lang w:val="en-AU"/>
              </w:rPr>
              <w:t>22</w:t>
            </w:r>
          </w:p>
        </w:tc>
        <w:tc>
          <w:tcPr>
            <w:tcW w:w="576" w:type="dxa"/>
          </w:tcPr>
          <w:p w14:paraId="3F65E305" w14:textId="26FDC8BE" w:rsidR="00252F08" w:rsidRPr="00332F76" w:rsidRDefault="00252F08" w:rsidP="00252F08">
            <w:pPr>
              <w:pStyle w:val="Tablecondensed"/>
              <w:rPr>
                <w:lang w:val="en-AU"/>
              </w:rPr>
            </w:pPr>
            <w:r w:rsidRPr="00332F76">
              <w:rPr>
                <w:lang w:val="en-AU"/>
              </w:rPr>
              <w:t>5</w:t>
            </w:r>
          </w:p>
        </w:tc>
        <w:tc>
          <w:tcPr>
            <w:tcW w:w="576" w:type="dxa"/>
          </w:tcPr>
          <w:p w14:paraId="42C30C03" w14:textId="710AF3F7" w:rsidR="00252F08" w:rsidRPr="00332F76" w:rsidRDefault="00252F08" w:rsidP="00252F08">
            <w:pPr>
              <w:pStyle w:val="Tablecondensed"/>
              <w:rPr>
                <w:lang w:val="en-AU"/>
              </w:rPr>
            </w:pPr>
            <w:r w:rsidRPr="00332F76">
              <w:rPr>
                <w:lang w:val="en-AU"/>
              </w:rPr>
              <w:t>7</w:t>
            </w:r>
          </w:p>
        </w:tc>
        <w:tc>
          <w:tcPr>
            <w:tcW w:w="576" w:type="dxa"/>
          </w:tcPr>
          <w:p w14:paraId="4FB096B8" w14:textId="4C3E4DDB" w:rsidR="00252F08" w:rsidRPr="00332F76" w:rsidRDefault="00252F08" w:rsidP="00252F08">
            <w:pPr>
              <w:pStyle w:val="Tablecondensed"/>
              <w:rPr>
                <w:lang w:val="en-AU"/>
              </w:rPr>
            </w:pPr>
            <w:r w:rsidRPr="00332F76">
              <w:rPr>
                <w:lang w:val="en-AU"/>
              </w:rPr>
              <w:t>4</w:t>
            </w:r>
          </w:p>
        </w:tc>
        <w:tc>
          <w:tcPr>
            <w:tcW w:w="576" w:type="dxa"/>
          </w:tcPr>
          <w:p w14:paraId="4493038F" w14:textId="0D3D9F9B" w:rsidR="00252F08" w:rsidRPr="00332F76" w:rsidRDefault="00252F08" w:rsidP="00252F08">
            <w:pPr>
              <w:pStyle w:val="Tablecondensed"/>
              <w:rPr>
                <w:lang w:val="en-AU"/>
              </w:rPr>
            </w:pPr>
            <w:r w:rsidRPr="00332F76">
              <w:rPr>
                <w:lang w:val="en-AU"/>
              </w:rPr>
              <w:t>4</w:t>
            </w:r>
          </w:p>
        </w:tc>
        <w:tc>
          <w:tcPr>
            <w:tcW w:w="576" w:type="dxa"/>
          </w:tcPr>
          <w:p w14:paraId="56FC624F" w14:textId="1020B702" w:rsidR="00252F08" w:rsidRPr="00332F76" w:rsidRDefault="00252F08" w:rsidP="00252F08">
            <w:pPr>
              <w:pStyle w:val="Tablecondensed"/>
              <w:rPr>
                <w:lang w:val="en-AU"/>
              </w:rPr>
            </w:pPr>
            <w:r w:rsidRPr="00332F76">
              <w:rPr>
                <w:lang w:val="en-AU"/>
              </w:rPr>
              <w:t>2</w:t>
            </w:r>
          </w:p>
        </w:tc>
        <w:tc>
          <w:tcPr>
            <w:tcW w:w="576" w:type="dxa"/>
          </w:tcPr>
          <w:p w14:paraId="2B5456FA" w14:textId="521975F5" w:rsidR="00252F08" w:rsidRPr="00332F76" w:rsidRDefault="00252F08" w:rsidP="00252F08">
            <w:pPr>
              <w:pStyle w:val="Tablecondensed"/>
              <w:rPr>
                <w:lang w:val="en-AU"/>
              </w:rPr>
            </w:pPr>
            <w:r w:rsidRPr="00332F76">
              <w:rPr>
                <w:lang w:val="en-AU"/>
              </w:rPr>
              <w:t>3</w:t>
            </w:r>
          </w:p>
        </w:tc>
        <w:tc>
          <w:tcPr>
            <w:tcW w:w="576" w:type="dxa"/>
          </w:tcPr>
          <w:p w14:paraId="5D998C56" w14:textId="35CF149E" w:rsidR="00252F08" w:rsidRPr="00332F76" w:rsidRDefault="00252F08" w:rsidP="00252F08">
            <w:pPr>
              <w:pStyle w:val="Tablecondensed"/>
              <w:rPr>
                <w:lang w:val="en-AU"/>
              </w:rPr>
            </w:pPr>
            <w:r w:rsidRPr="00332F76">
              <w:rPr>
                <w:lang w:val="en-AU"/>
              </w:rPr>
              <w:t>2</w:t>
            </w:r>
          </w:p>
        </w:tc>
        <w:tc>
          <w:tcPr>
            <w:tcW w:w="576" w:type="dxa"/>
          </w:tcPr>
          <w:p w14:paraId="66A99F13" w14:textId="6456B85B" w:rsidR="00252F08" w:rsidRPr="00332F76" w:rsidRDefault="00252F08" w:rsidP="00252F08">
            <w:pPr>
              <w:pStyle w:val="Tablecondensed"/>
              <w:rPr>
                <w:lang w:val="en-AU"/>
              </w:rPr>
            </w:pPr>
            <w:r w:rsidRPr="00332F76">
              <w:rPr>
                <w:lang w:val="en-AU"/>
              </w:rPr>
              <w:t>2</w:t>
            </w:r>
          </w:p>
        </w:tc>
        <w:tc>
          <w:tcPr>
            <w:tcW w:w="576" w:type="dxa"/>
          </w:tcPr>
          <w:p w14:paraId="144881F5" w14:textId="6DEB556B" w:rsidR="00252F08" w:rsidRPr="00332F76" w:rsidRDefault="00252F08" w:rsidP="00252F08">
            <w:pPr>
              <w:pStyle w:val="Tablecondensed"/>
              <w:rPr>
                <w:lang w:val="en-AU"/>
              </w:rPr>
            </w:pPr>
            <w:r w:rsidRPr="00332F76">
              <w:rPr>
                <w:lang w:val="en-AU"/>
              </w:rPr>
              <w:t>2</w:t>
            </w:r>
          </w:p>
        </w:tc>
        <w:tc>
          <w:tcPr>
            <w:tcW w:w="864" w:type="dxa"/>
          </w:tcPr>
          <w:p w14:paraId="073DB13C" w14:textId="490C55D1" w:rsidR="00252F08" w:rsidRPr="00332F76" w:rsidRDefault="00252F08" w:rsidP="00252F08">
            <w:pPr>
              <w:pStyle w:val="Tablecondensed"/>
              <w:rPr>
                <w:lang w:val="en-AU"/>
              </w:rPr>
            </w:pPr>
            <w:r w:rsidRPr="00332F76">
              <w:rPr>
                <w:lang w:val="en-AU"/>
              </w:rPr>
              <w:t>10.2</w:t>
            </w:r>
          </w:p>
        </w:tc>
      </w:tr>
    </w:tbl>
    <w:p w14:paraId="443CE326" w14:textId="1E962D93" w:rsidR="004157B7" w:rsidRPr="00332F76" w:rsidRDefault="00332F76">
      <w:pPr>
        <w:pStyle w:val="BodyText"/>
      </w:pPr>
      <w:r>
        <w:t>Students were</w:t>
      </w:r>
      <w:r w:rsidR="004157B7" w:rsidRPr="00332F76">
        <w:t xml:space="preserve"> required to use the Personal Lens to compare artworks </w:t>
      </w:r>
      <w:r w:rsidR="35958941" w:rsidRPr="00332F76">
        <w:t xml:space="preserve">by </w:t>
      </w:r>
      <w:r w:rsidR="004157B7" w:rsidRPr="00332F76">
        <w:t xml:space="preserve">one contemporary and one historical artist that the student studied this year. Students needed </w:t>
      </w:r>
      <w:r w:rsidR="00573E26" w:rsidRPr="00332F76">
        <w:t>to refer</w:t>
      </w:r>
      <w:r w:rsidR="004157B7" w:rsidRPr="00332F76">
        <w:t xml:space="preserve"> to two artworks by each artist</w:t>
      </w:r>
      <w:r w:rsidR="00762D1E">
        <w:t xml:space="preserve"> and</w:t>
      </w:r>
      <w:r w:rsidR="00762D1E" w:rsidRPr="00332F76">
        <w:t xml:space="preserve"> </w:t>
      </w:r>
      <w:r w:rsidR="004157B7" w:rsidRPr="00332F76">
        <w:t>both artists’ life experiences and beliefs</w:t>
      </w:r>
      <w:r w:rsidR="008715AE" w:rsidRPr="00332F76">
        <w:t>,</w:t>
      </w:r>
      <w:r w:rsidR="004157B7" w:rsidRPr="00332F76">
        <w:t xml:space="preserve"> and </w:t>
      </w:r>
      <w:r w:rsidR="1B227188" w:rsidRPr="00332F76">
        <w:t xml:space="preserve">provide their </w:t>
      </w:r>
      <w:r w:rsidR="004157B7" w:rsidRPr="00332F76">
        <w:t xml:space="preserve">personal response to the artworks. </w:t>
      </w:r>
    </w:p>
    <w:p w14:paraId="5C262C8C" w14:textId="025F2CC2" w:rsidR="004157B7" w:rsidRPr="00332F76" w:rsidRDefault="008715AE" w:rsidP="00F178F3">
      <w:pPr>
        <w:pStyle w:val="BodyText"/>
        <w:rPr>
          <w:shd w:val="clear" w:color="auto" w:fill="F8F9FA"/>
        </w:rPr>
      </w:pPr>
      <w:r w:rsidRPr="00332F76">
        <w:rPr>
          <w:shd w:val="clear" w:color="auto" w:fill="F8F9FA"/>
        </w:rPr>
        <w:t>Responses that scored highly</w:t>
      </w:r>
      <w:r w:rsidR="004157B7" w:rsidRPr="00332F76">
        <w:rPr>
          <w:shd w:val="clear" w:color="auto" w:fill="F8F9FA"/>
        </w:rPr>
        <w:t xml:space="preserve"> provided a structured and coherent comparison of the meanings and messages drawing equally on all artworks. They were able to explain how both </w:t>
      </w:r>
      <w:r w:rsidRPr="00332F76">
        <w:rPr>
          <w:shd w:val="clear" w:color="auto" w:fill="F8F9FA"/>
        </w:rPr>
        <w:t xml:space="preserve">artists’ </w:t>
      </w:r>
      <w:r w:rsidR="004157B7" w:rsidRPr="00332F76">
        <w:rPr>
          <w:shd w:val="clear" w:color="auto" w:fill="F8F9FA"/>
        </w:rPr>
        <w:t xml:space="preserve">life experiences and beliefs are presented in all artworks. They were able to explain how </w:t>
      </w:r>
      <w:r w:rsidR="00573E26" w:rsidRPr="00332F76">
        <w:rPr>
          <w:shd w:val="clear" w:color="auto" w:fill="F8F9FA"/>
        </w:rPr>
        <w:t>their</w:t>
      </w:r>
      <w:r w:rsidR="004157B7" w:rsidRPr="00332F76">
        <w:rPr>
          <w:shd w:val="clear" w:color="auto" w:fill="F8F9FA"/>
        </w:rPr>
        <w:t xml:space="preserve"> </w:t>
      </w:r>
      <w:r w:rsidR="62B7D00E" w:rsidRPr="00332F76">
        <w:rPr>
          <w:shd w:val="clear" w:color="auto" w:fill="F8F9FA"/>
        </w:rPr>
        <w:t xml:space="preserve">own </w:t>
      </w:r>
      <w:r w:rsidR="004157B7" w:rsidRPr="00332F76">
        <w:rPr>
          <w:shd w:val="clear" w:color="auto" w:fill="F8F9FA"/>
        </w:rPr>
        <w:t>feelings, background or experience influenced their reaction to all artworks and used accurate, highly descriptive and relevant use of art terminology throughout the response.</w:t>
      </w:r>
    </w:p>
    <w:p w14:paraId="48C83BAB" w14:textId="734C3DDF" w:rsidR="00E722FB" w:rsidRPr="00332F76" w:rsidRDefault="004157B7" w:rsidP="00F178F3">
      <w:pPr>
        <w:pStyle w:val="BodyText"/>
        <w:rPr>
          <w:shd w:val="clear" w:color="auto" w:fill="F8F9FA"/>
        </w:rPr>
      </w:pPr>
      <w:r w:rsidRPr="00332F76">
        <w:rPr>
          <w:shd w:val="clear" w:color="auto" w:fill="F8F9FA"/>
        </w:rPr>
        <w:t xml:space="preserve">Mid-range responses </w:t>
      </w:r>
      <w:r w:rsidR="00E722FB" w:rsidRPr="00332F76">
        <w:rPr>
          <w:shd w:val="clear" w:color="auto" w:fill="F8F9FA"/>
        </w:rPr>
        <w:t xml:space="preserve">compared the meanings and messages of at least one artwork from both artists and discussed how both </w:t>
      </w:r>
      <w:r w:rsidR="008715AE" w:rsidRPr="00332F76">
        <w:rPr>
          <w:shd w:val="clear" w:color="auto" w:fill="F8F9FA"/>
        </w:rPr>
        <w:t xml:space="preserve">artists’ </w:t>
      </w:r>
      <w:r w:rsidR="00E722FB" w:rsidRPr="00332F76">
        <w:rPr>
          <w:shd w:val="clear" w:color="auto" w:fill="F8F9FA"/>
        </w:rPr>
        <w:t xml:space="preserve">life experiences and beliefs are presented in </w:t>
      </w:r>
      <w:r w:rsidR="008715AE" w:rsidRPr="00332F76">
        <w:rPr>
          <w:shd w:val="clear" w:color="auto" w:fill="F8F9FA"/>
        </w:rPr>
        <w:t xml:space="preserve">the </w:t>
      </w:r>
      <w:r w:rsidR="00E722FB" w:rsidRPr="00332F76">
        <w:rPr>
          <w:shd w:val="clear" w:color="auto" w:fill="F8F9FA"/>
        </w:rPr>
        <w:t>artworks. The student may have stated how their feelings, background or experiences related to at least one artwork by each artist. They were also able to use descriptive and relevant art terminology.</w:t>
      </w:r>
    </w:p>
    <w:p w14:paraId="143CF8E3" w14:textId="1844C57A" w:rsidR="004157B7" w:rsidRPr="00332F76" w:rsidRDefault="004157B7" w:rsidP="00F178F3">
      <w:pPr>
        <w:pStyle w:val="BodyText"/>
        <w:rPr>
          <w:shd w:val="clear" w:color="auto" w:fill="F8F9FA"/>
        </w:rPr>
      </w:pPr>
      <w:r w:rsidRPr="00332F76">
        <w:rPr>
          <w:shd w:val="clear" w:color="auto" w:fill="F8F9FA"/>
        </w:rPr>
        <w:t xml:space="preserve">A few students relied on prepared comparisons, failing to address the specifics of the question. It is essential that students use specific examples from </w:t>
      </w:r>
      <w:r w:rsidR="00E722FB" w:rsidRPr="00332F76">
        <w:rPr>
          <w:shd w:val="clear" w:color="auto" w:fill="F8F9FA"/>
        </w:rPr>
        <w:t>all</w:t>
      </w:r>
      <w:r w:rsidRPr="00332F76">
        <w:rPr>
          <w:shd w:val="clear" w:color="auto" w:fill="F8F9FA"/>
        </w:rPr>
        <w:t xml:space="preserve"> artworks </w:t>
      </w:r>
      <w:r w:rsidR="00E722FB" w:rsidRPr="00332F76">
        <w:rPr>
          <w:shd w:val="clear" w:color="auto" w:fill="F8F9FA"/>
        </w:rPr>
        <w:t>discussed</w:t>
      </w:r>
      <w:r w:rsidRPr="00332F76">
        <w:rPr>
          <w:shd w:val="clear" w:color="auto" w:fill="F8F9FA"/>
        </w:rPr>
        <w:t>.</w:t>
      </w:r>
    </w:p>
    <w:p w14:paraId="49F51170" w14:textId="2637C7FA" w:rsidR="00E722FB" w:rsidRPr="00332F76" w:rsidRDefault="004157B7" w:rsidP="00F178F3">
      <w:pPr>
        <w:pStyle w:val="BodyText"/>
      </w:pPr>
      <w:r w:rsidRPr="00332F76">
        <w:rPr>
          <w:shd w:val="clear" w:color="auto" w:fill="F8F9FA"/>
        </w:rPr>
        <w:t>While many students structured their responses well in term</w:t>
      </w:r>
      <w:r w:rsidR="00573E26" w:rsidRPr="00332F76">
        <w:rPr>
          <w:shd w:val="clear" w:color="auto" w:fill="F8F9FA"/>
        </w:rPr>
        <w:t>s of their knowledge of artists and artworks studied, their ability to consider how their own feelings, background, experiences, society and culture can influence their physical and emotional reactions to an artwork as a viewer or member of an audience</w:t>
      </w:r>
      <w:r w:rsidRPr="00332F76">
        <w:rPr>
          <w:shd w:val="clear" w:color="auto" w:fill="F8F9FA"/>
        </w:rPr>
        <w:t xml:space="preserve"> was often insufficient. Students should ensure they </w:t>
      </w:r>
      <w:r w:rsidR="3501DEFF" w:rsidRPr="00332F76">
        <w:rPr>
          <w:shd w:val="clear" w:color="auto" w:fill="F8F9FA"/>
        </w:rPr>
        <w:t xml:space="preserve">fully </w:t>
      </w:r>
      <w:r w:rsidRPr="00332F76">
        <w:rPr>
          <w:shd w:val="clear" w:color="auto" w:fill="F8F9FA"/>
        </w:rPr>
        <w:t xml:space="preserve">understand </w:t>
      </w:r>
      <w:r w:rsidR="1BC28EB0" w:rsidRPr="00332F76">
        <w:rPr>
          <w:shd w:val="clear" w:color="auto" w:fill="F8F9FA"/>
        </w:rPr>
        <w:t xml:space="preserve">all aspects of the Personal Lens defined in the </w:t>
      </w:r>
      <w:r w:rsidR="00843FEF">
        <w:rPr>
          <w:shd w:val="clear" w:color="auto" w:fill="F8F9FA"/>
        </w:rPr>
        <w:t>‘S</w:t>
      </w:r>
      <w:r w:rsidR="00762D1E" w:rsidRPr="00332F76">
        <w:rPr>
          <w:shd w:val="clear" w:color="auto" w:fill="F8F9FA"/>
        </w:rPr>
        <w:t xml:space="preserve">tudy </w:t>
      </w:r>
      <w:r w:rsidR="1BC28EB0" w:rsidRPr="00332F76">
        <w:rPr>
          <w:shd w:val="clear" w:color="auto" w:fill="F8F9FA"/>
        </w:rPr>
        <w:t>specifications</w:t>
      </w:r>
      <w:r w:rsidR="00843FEF">
        <w:rPr>
          <w:shd w:val="clear" w:color="auto" w:fill="F8F9FA"/>
        </w:rPr>
        <w:t>’ section</w:t>
      </w:r>
      <w:r w:rsidR="1BC28EB0" w:rsidRPr="00332F76">
        <w:rPr>
          <w:shd w:val="clear" w:color="auto" w:fill="F8F9FA"/>
        </w:rPr>
        <w:t xml:space="preserve"> on page 15 of the Art Creative Practice </w:t>
      </w:r>
      <w:r w:rsidR="00762D1E">
        <w:rPr>
          <w:shd w:val="clear" w:color="auto" w:fill="F8F9FA"/>
        </w:rPr>
        <w:t>S</w:t>
      </w:r>
      <w:r w:rsidR="00762D1E" w:rsidRPr="00332F76">
        <w:rPr>
          <w:shd w:val="clear" w:color="auto" w:fill="F8F9FA"/>
        </w:rPr>
        <w:t xml:space="preserve">tudy </w:t>
      </w:r>
      <w:r w:rsidR="00762D1E">
        <w:rPr>
          <w:shd w:val="clear" w:color="auto" w:fill="F8F9FA"/>
        </w:rPr>
        <w:t>D</w:t>
      </w:r>
      <w:r w:rsidR="00762D1E" w:rsidRPr="00332F76">
        <w:rPr>
          <w:shd w:val="clear" w:color="auto" w:fill="F8F9FA"/>
        </w:rPr>
        <w:t>esign</w:t>
      </w:r>
      <w:r w:rsidR="1BC28EB0" w:rsidRPr="00332F76">
        <w:rPr>
          <w:shd w:val="clear" w:color="auto" w:fill="F8F9FA"/>
        </w:rPr>
        <w:t xml:space="preserve">. </w:t>
      </w:r>
      <w:r w:rsidRPr="00332F76">
        <w:rPr>
          <w:shd w:val="clear" w:color="auto" w:fill="F8F9FA"/>
        </w:rPr>
        <w:t xml:space="preserve">A strong understanding of the command term </w:t>
      </w:r>
      <w:r w:rsidR="008715AE" w:rsidRPr="00332F76">
        <w:rPr>
          <w:shd w:val="clear" w:color="auto" w:fill="F8F9FA"/>
        </w:rPr>
        <w:t>‘</w:t>
      </w:r>
      <w:r w:rsidRPr="00332F76">
        <w:rPr>
          <w:shd w:val="clear" w:color="auto" w:fill="F8F9FA"/>
        </w:rPr>
        <w:t>compare</w:t>
      </w:r>
      <w:r w:rsidR="008715AE" w:rsidRPr="00332F76">
        <w:rPr>
          <w:shd w:val="clear" w:color="auto" w:fill="F8F9FA"/>
        </w:rPr>
        <w:t>’</w:t>
      </w:r>
      <w:r w:rsidRPr="00332F76">
        <w:rPr>
          <w:shd w:val="clear" w:color="auto" w:fill="F8F9FA"/>
        </w:rPr>
        <w:t xml:space="preserve"> is essential. To achieve a top score, responses should include multiple, consistent comparisons and provide a balanced analysis of each </w:t>
      </w:r>
      <w:r w:rsidR="00FA2049" w:rsidRPr="00332F76">
        <w:rPr>
          <w:shd w:val="clear" w:color="auto" w:fill="F8F9FA"/>
        </w:rPr>
        <w:t xml:space="preserve">artwork. </w:t>
      </w:r>
      <w:r w:rsidR="7EDC274B" w:rsidRPr="00332F76">
        <w:rPr>
          <w:shd w:val="clear" w:color="auto" w:fill="F8F9FA"/>
        </w:rPr>
        <w:t>This question also drew on the requirements of Unit 4</w:t>
      </w:r>
      <w:r w:rsidR="008715AE" w:rsidRPr="00332F76">
        <w:rPr>
          <w:shd w:val="clear" w:color="auto" w:fill="F8F9FA"/>
        </w:rPr>
        <w:t>,</w:t>
      </w:r>
      <w:r w:rsidR="7EDC274B" w:rsidRPr="00332F76">
        <w:rPr>
          <w:shd w:val="clear" w:color="auto" w:fill="F8F9FA"/>
        </w:rPr>
        <w:t xml:space="preserve"> Area of Study 3 </w:t>
      </w:r>
      <w:r w:rsidR="58A5D598" w:rsidRPr="00332F76">
        <w:rPr>
          <w:shd w:val="clear" w:color="auto" w:fill="F8F9FA"/>
        </w:rPr>
        <w:t xml:space="preserve">on page 34 of the Art Creative Practice </w:t>
      </w:r>
      <w:r w:rsidR="00762D1E">
        <w:rPr>
          <w:shd w:val="clear" w:color="auto" w:fill="F8F9FA"/>
        </w:rPr>
        <w:t>S</w:t>
      </w:r>
      <w:r w:rsidR="00762D1E" w:rsidRPr="00332F76">
        <w:rPr>
          <w:shd w:val="clear" w:color="auto" w:fill="F8F9FA"/>
        </w:rPr>
        <w:t xml:space="preserve">tudy </w:t>
      </w:r>
      <w:r w:rsidR="00762D1E">
        <w:rPr>
          <w:shd w:val="clear" w:color="auto" w:fill="F8F9FA"/>
        </w:rPr>
        <w:t>D</w:t>
      </w:r>
      <w:r w:rsidR="00762D1E" w:rsidRPr="00332F76">
        <w:rPr>
          <w:shd w:val="clear" w:color="auto" w:fill="F8F9FA"/>
        </w:rPr>
        <w:t>esign</w:t>
      </w:r>
      <w:r w:rsidR="008715AE" w:rsidRPr="00332F76">
        <w:rPr>
          <w:shd w:val="clear" w:color="auto" w:fill="F8F9FA"/>
        </w:rPr>
        <w:t>,</w:t>
      </w:r>
      <w:r w:rsidR="58A5D598" w:rsidRPr="00332F76">
        <w:rPr>
          <w:shd w:val="clear" w:color="auto" w:fill="F8F9FA"/>
        </w:rPr>
        <w:t xml:space="preserve"> </w:t>
      </w:r>
      <w:r w:rsidR="7EDC274B" w:rsidRPr="00332F76">
        <w:rPr>
          <w:shd w:val="clear" w:color="auto" w:fill="F8F9FA"/>
        </w:rPr>
        <w:t>where students must</w:t>
      </w:r>
      <w:r w:rsidR="61259CA8" w:rsidRPr="00332F76">
        <w:rPr>
          <w:shd w:val="clear" w:color="auto" w:fill="F8F9FA"/>
        </w:rPr>
        <w:t xml:space="preserve">: </w:t>
      </w:r>
    </w:p>
    <w:p w14:paraId="07EE9051" w14:textId="52517E7B" w:rsidR="00E722FB" w:rsidRPr="00332F76" w:rsidRDefault="61259CA8" w:rsidP="00C63CF8">
      <w:pPr>
        <w:pStyle w:val="ListParagraph"/>
        <w:numPr>
          <w:ilvl w:val="0"/>
          <w:numId w:val="1"/>
        </w:numPr>
        <w:spacing w:after="0"/>
        <w:ind w:left="426" w:hanging="437"/>
        <w:rPr>
          <w:rFonts w:ascii="Arial" w:eastAsia="Arial" w:hAnsi="Arial" w:cs="Arial"/>
          <w:sz w:val="20"/>
          <w:szCs w:val="20"/>
          <w:lang w:val="en-AU"/>
        </w:rPr>
      </w:pPr>
      <w:r w:rsidRPr="00332F76">
        <w:rPr>
          <w:rFonts w:ascii="Arial" w:eastAsia="Arial" w:hAnsi="Arial" w:cs="Arial"/>
          <w:sz w:val="20"/>
          <w:szCs w:val="20"/>
          <w:lang w:val="en-AU"/>
        </w:rPr>
        <w:t>research at least one historical artist, their practice and their artworks, and at least one contemporary artist, their practice and their artworks</w:t>
      </w:r>
    </w:p>
    <w:p w14:paraId="45B45873" w14:textId="3BF34217" w:rsidR="00E722FB" w:rsidRPr="00332F76" w:rsidRDefault="61259CA8" w:rsidP="00C63CF8">
      <w:pPr>
        <w:pStyle w:val="ListParagraph"/>
        <w:numPr>
          <w:ilvl w:val="0"/>
          <w:numId w:val="1"/>
        </w:numPr>
        <w:spacing w:after="0"/>
        <w:ind w:left="426" w:hanging="437"/>
        <w:rPr>
          <w:rFonts w:ascii="Arial" w:eastAsia="Arial" w:hAnsi="Arial" w:cs="Arial"/>
          <w:sz w:val="20"/>
          <w:szCs w:val="20"/>
          <w:lang w:val="en-AU"/>
        </w:rPr>
      </w:pPr>
      <w:r w:rsidRPr="00332F76">
        <w:rPr>
          <w:rFonts w:ascii="Arial" w:eastAsia="Arial" w:hAnsi="Arial" w:cs="Arial"/>
          <w:sz w:val="20"/>
          <w:szCs w:val="20"/>
          <w:lang w:val="en-AU"/>
        </w:rPr>
        <w:t>compare the practices of the selected artists</w:t>
      </w:r>
    </w:p>
    <w:p w14:paraId="2B40572C" w14:textId="180D28A9" w:rsidR="00E722FB" w:rsidRPr="00332F76" w:rsidRDefault="61259CA8" w:rsidP="00C63CF8">
      <w:pPr>
        <w:pStyle w:val="ListParagraph"/>
        <w:numPr>
          <w:ilvl w:val="0"/>
          <w:numId w:val="1"/>
        </w:numPr>
        <w:spacing w:after="0"/>
        <w:ind w:left="426" w:hanging="437"/>
        <w:rPr>
          <w:rFonts w:ascii="Arial" w:eastAsia="Arial" w:hAnsi="Arial" w:cs="Arial"/>
          <w:sz w:val="20"/>
          <w:szCs w:val="20"/>
          <w:lang w:val="en-AU"/>
        </w:rPr>
      </w:pPr>
      <w:r w:rsidRPr="00332F76">
        <w:rPr>
          <w:rFonts w:ascii="Arial" w:eastAsia="Arial" w:hAnsi="Arial" w:cs="Arial"/>
          <w:sz w:val="20"/>
          <w:szCs w:val="20"/>
          <w:lang w:val="en-AU"/>
        </w:rPr>
        <w:t>apply all three Interpretive Lenses to analyse and interpret the meanings and messages of at least two artworks by each artist</w:t>
      </w:r>
    </w:p>
    <w:p w14:paraId="196ED0DF" w14:textId="30D7CF1D" w:rsidR="00E722FB" w:rsidRPr="00332F76" w:rsidRDefault="61259CA8" w:rsidP="00C63CF8">
      <w:pPr>
        <w:pStyle w:val="ListParagraph"/>
        <w:numPr>
          <w:ilvl w:val="0"/>
          <w:numId w:val="1"/>
        </w:numPr>
        <w:spacing w:after="0"/>
        <w:ind w:left="426" w:hanging="437"/>
        <w:rPr>
          <w:rFonts w:ascii="Arial" w:eastAsia="Arial" w:hAnsi="Arial" w:cs="Arial"/>
          <w:sz w:val="20"/>
          <w:szCs w:val="20"/>
          <w:lang w:val="en-AU"/>
        </w:rPr>
      </w:pPr>
      <w:r w:rsidRPr="00332F76">
        <w:rPr>
          <w:rFonts w:ascii="Arial" w:eastAsia="Arial" w:hAnsi="Arial" w:cs="Arial"/>
          <w:sz w:val="20"/>
          <w:szCs w:val="20"/>
          <w:lang w:val="en-AU"/>
        </w:rPr>
        <w:t>source evidence to support their interpretation and point of view.</w:t>
      </w:r>
    </w:p>
    <w:p w14:paraId="3B3517E2" w14:textId="744859F1" w:rsidR="00E722FB" w:rsidRPr="00332F76" w:rsidRDefault="4BBAE804" w:rsidP="00F178F3">
      <w:pPr>
        <w:pStyle w:val="BodyText"/>
        <w:rPr>
          <w:shd w:val="clear" w:color="auto" w:fill="F8F9FA"/>
        </w:rPr>
      </w:pPr>
      <w:r w:rsidRPr="00332F76">
        <w:rPr>
          <w:shd w:val="clear" w:color="auto" w:fill="F8F9FA"/>
        </w:rPr>
        <w:t>Therefore, s</w:t>
      </w:r>
      <w:r w:rsidR="00FA2049" w:rsidRPr="00332F76">
        <w:rPr>
          <w:shd w:val="clear" w:color="auto" w:fill="F8F9FA"/>
        </w:rPr>
        <w:t>tudents are advised to read all aspects of the question carefully.</w:t>
      </w:r>
    </w:p>
    <w:p w14:paraId="63D87A39" w14:textId="0D9397B5" w:rsidR="0002511C" w:rsidRPr="00A23DEA" w:rsidRDefault="0002511C" w:rsidP="00762D1E">
      <w:pPr>
        <w:pStyle w:val="BodyText"/>
      </w:pPr>
      <w:r w:rsidRPr="00A23DEA">
        <w:t>The following is an example of a high scoring response.</w:t>
      </w:r>
    </w:p>
    <w:p w14:paraId="34A38D3F" w14:textId="0D3873EA" w:rsidR="00F178F3" w:rsidRPr="00332F76" w:rsidRDefault="009E7513" w:rsidP="00CE5FE6">
      <w:pPr>
        <w:pStyle w:val="Studentresponse"/>
        <w:rPr>
          <w:b/>
        </w:rPr>
      </w:pPr>
      <w:r w:rsidRPr="00332F76">
        <w:t>Both Schenck and Shiota focus heavily on relationships within nature. For Schenck, the Danish artist grew up travelling around Europe to enrich his artistry.</w:t>
      </w:r>
      <w:r w:rsidR="008E73F5" w:rsidRPr="00332F76">
        <w:t xml:space="preserve"> This</w:t>
      </w:r>
      <w:r w:rsidR="008E73F5" w:rsidRPr="00332F76">
        <w:rPr>
          <w:b/>
        </w:rPr>
        <w:t xml:space="preserve"> </w:t>
      </w:r>
      <w:r w:rsidR="008E73F5" w:rsidRPr="00332F76">
        <w:t>time spent in nature, particularly due to Europe’s deeply embedded agricultural lifestyle, is likely to have influenced Schenck’s oeuvre, which consists primarily</w:t>
      </w:r>
      <w:r w:rsidR="00FD075B" w:rsidRPr="00332F76">
        <w:t xml:space="preserve"> of</w:t>
      </w:r>
      <w:r w:rsidR="008E73F5" w:rsidRPr="00332F76">
        <w:t xml:space="preserve"> animal subject</w:t>
      </w:r>
      <w:r w:rsidR="00FD075B" w:rsidRPr="00332F76">
        <w:t>s</w:t>
      </w:r>
      <w:r w:rsidR="008E73F5" w:rsidRPr="00332F76">
        <w:t>. Based on his travels, the artist likely grew to appreciate the obser</w:t>
      </w:r>
      <w:r w:rsidR="00473D88" w:rsidRPr="00332F76">
        <w:t>v</w:t>
      </w:r>
      <w:r w:rsidR="008E73F5" w:rsidRPr="00332F76">
        <w:t>able relationships within nature, such as between a mother ewe and lamb, as is the subject of both L’orphelin and Anguish, L’Orphelin being a reversed counterpart for Anguish. Through his time in nature growing up, perhaps Schenck bore witness to such scenes where animals so intensely seem to exhibit human emotion resp</w:t>
      </w:r>
      <w:r w:rsidR="00473D88" w:rsidRPr="00332F76">
        <w:t>o</w:t>
      </w:r>
      <w:r w:rsidR="008E73F5" w:rsidRPr="00332F76">
        <w:t xml:space="preserve">nding in anguish and fear to the loss of loved ones, natural cycles of life and death such as the mother losing its lamb and vice versa. </w:t>
      </w:r>
      <w:r w:rsidR="00FD075B" w:rsidRPr="00332F76">
        <w:t>As vignettes, the two complementa</w:t>
      </w:r>
      <w:r w:rsidR="003A678C" w:rsidRPr="00332F76">
        <w:t>r</w:t>
      </w:r>
      <w:r w:rsidR="00FD075B" w:rsidRPr="00332F76">
        <w:t>y artw</w:t>
      </w:r>
      <w:r w:rsidR="00473D88" w:rsidRPr="00332F76">
        <w:t>or</w:t>
      </w:r>
      <w:r w:rsidR="00FD075B" w:rsidRPr="00332F76">
        <w:t>ks show differing</w:t>
      </w:r>
      <w:r w:rsidR="00473D88" w:rsidRPr="00332F76">
        <w:t xml:space="preserve"> perspectives of a similar theme – vulnerability, suggesting that animals experience human emotions also in nuanced, complex ways. Similarly, Shiota explores the theme of vulne</w:t>
      </w:r>
      <w:r w:rsidR="003A678C" w:rsidRPr="00332F76">
        <w:t>r</w:t>
      </w:r>
      <w:r w:rsidR="00473D88" w:rsidRPr="00332F76">
        <w:t>ability in her intimate installations inspired by the Japanese folk tale, the red thread of fate. The artist explicates the feelin</w:t>
      </w:r>
      <w:r w:rsidR="003A678C" w:rsidRPr="00332F76">
        <w:t>g</w:t>
      </w:r>
      <w:r w:rsidR="00473D88" w:rsidRPr="00332F76">
        <w:t>s of disconnection she experienced during her battle against cancer, wherein she felt intense fear for how her death would impact her family, including her you</w:t>
      </w:r>
      <w:r w:rsidR="003A678C" w:rsidRPr="00332F76">
        <w:t>ng</w:t>
      </w:r>
      <w:r w:rsidR="00473D88" w:rsidRPr="00332F76">
        <w:t xml:space="preserve"> daughter. She claims to have felt as if sitting on a “conveyor belt”, her body and soul “no longer one”. This is symbolised in both Internal Line and Absence embodied, through the hauntingly beautiful floating bodiless dresses in Internal Line (</w:t>
      </w:r>
      <w:r w:rsidR="003A678C" w:rsidRPr="00332F76">
        <w:t xml:space="preserve">the </w:t>
      </w:r>
      <w:r w:rsidR="00473D88" w:rsidRPr="00332F76">
        <w:t>il</w:t>
      </w:r>
      <w:r w:rsidR="003A678C" w:rsidRPr="00332F76">
        <w:t>l</w:t>
      </w:r>
      <w:r w:rsidR="00473D88" w:rsidRPr="00332F76">
        <w:t>uminat</w:t>
      </w:r>
      <w:r w:rsidR="003A678C" w:rsidRPr="00332F76">
        <w:t>ion</w:t>
      </w:r>
      <w:r w:rsidR="00473D88" w:rsidRPr="00332F76">
        <w:t xml:space="preserve"> of stocking scarlet red against the gloss black flooring emphasising the ethereal, ghostly,</w:t>
      </w:r>
      <w:r w:rsidR="003A678C" w:rsidRPr="00332F76">
        <w:t xml:space="preserve"> </w:t>
      </w:r>
      <w:r w:rsidR="00473D88" w:rsidRPr="00332F76">
        <w:t>spiritual</w:t>
      </w:r>
      <w:r w:rsidR="00B00455" w:rsidRPr="00332F76">
        <w:t>, i</w:t>
      </w:r>
      <w:r w:rsidR="00473D88" w:rsidRPr="00332F76">
        <w:t xml:space="preserve">dyllic qualities of the dresses, as they dance connected by undulating fabric seas, flesh bodies absent) and the physical </w:t>
      </w:r>
      <w:r w:rsidR="00D53FB6" w:rsidRPr="00332F76">
        <w:t xml:space="preserve">scattering and dismemberment of human limb sculptures in Absence embodied. In both, the artist reflects on how while people may be physically absent or separated, a constant, </w:t>
      </w:r>
      <w:r w:rsidR="008715AE" w:rsidRPr="00332F76">
        <w:t>never-ending</w:t>
      </w:r>
      <w:r w:rsidR="00D53FB6" w:rsidRPr="00332F76">
        <w:t xml:space="preserve"> network of human consciousness binds people’s souls represented by the red thread web personally tied individually together by Shiota across the installation rooms. In Absence embodied, a sea of connections radiate above the limbs, like a gentle comforting blanket. Thus Shiota aims to uplift audiences, reassuring herself and others that despite death, life is intricately and inextricably bound by the universe. Contrastingly, Schenck’s beliefs of naturalism, common in the 19</w:t>
      </w:r>
      <w:r w:rsidR="00D53FB6" w:rsidRPr="00A23DEA">
        <w:t>th</w:t>
      </w:r>
      <w:r w:rsidR="00D53FB6" w:rsidRPr="00332F76">
        <w:t xml:space="preserve"> century, may have influenced his view of life and death to be more polar, with death being the ultimate end. In both L’Orphelin and Anguis</w:t>
      </w:r>
      <w:r w:rsidR="00B00455" w:rsidRPr="00332F76">
        <w:t>h</w:t>
      </w:r>
      <w:r w:rsidR="00D53FB6" w:rsidRPr="00332F76">
        <w:t xml:space="preserve"> the compositional hierarchy of the organised and ominously patient murder of crows lined waiting</w:t>
      </w:r>
      <w:r w:rsidR="00F8648B" w:rsidRPr="00332F76">
        <w:t xml:space="preserve"> on the encircling fence, and the desolate surround of the chilling European snowscape contributes to an apocalyptic and disturbing atmosphere permeated with a sense of looming death. Jutaposed against this is the sof</w:t>
      </w:r>
      <w:r w:rsidR="00B00455" w:rsidRPr="00332F76">
        <w:t>t</w:t>
      </w:r>
      <w:r w:rsidR="00F8648B" w:rsidRPr="00332F76">
        <w:t xml:space="preserve">, </w:t>
      </w:r>
      <w:r w:rsidR="008B255B" w:rsidRPr="00332F76">
        <w:t xml:space="preserve">purified, </w:t>
      </w:r>
      <w:r w:rsidR="00F8648B" w:rsidRPr="00332F76">
        <w:t>white innocent sheep pair, at the feet of the crows who sit waiting to “scavange the carcass”. The lamb bleats helplessly and fearful, while the mother cries out in pain. The power imbalance presents death in a villainous, unforgiving light, contrasting with Shiota’s more hopeful message of human connection. Overall, while both artists engage in the explorations of relationships, death, and vulnerability in fear, Shiota’s works display a stronger connection with the idea of life and energy binding humanity, whereas Schenck’s works call for more sympath</w:t>
      </w:r>
      <w:r w:rsidR="00B00455" w:rsidRPr="00332F76">
        <w:t>y</w:t>
      </w:r>
      <w:r w:rsidR="00F8648B" w:rsidRPr="00332F76">
        <w:t>. I am moved by both artists’ raw and intimate styles, and the evocative nature of their compositions. For Schenck, I am drawn to his depiction of the human emotion through animal expression, and thus I feel a stronger human connection, as I can empathise</w:t>
      </w:r>
      <w:r w:rsidR="003A678C" w:rsidRPr="00332F76">
        <w:t xml:space="preserve"> with the scene and the emotions of human fear and anguish visible in the sheep’s eyes. However, for Shiota, while I do not relate to her experiences of fearing being disconnected as death cuts life short, I still feel empowered and hopeful knowing that I am a part of a greater web of connections that bring all people together.</w:t>
      </w:r>
      <w:r w:rsidR="00F178F3" w:rsidRPr="00332F76">
        <w:rPr>
          <w:b/>
        </w:rPr>
        <w:t xml:space="preserve"> </w:t>
      </w:r>
    </w:p>
    <w:p w14:paraId="5C9EE4AA" w14:textId="50D6832D" w:rsidR="00B45417" w:rsidRPr="00332F76" w:rsidRDefault="00B45417" w:rsidP="00CE5FE6">
      <w:pPr>
        <w:pStyle w:val="BodyText"/>
        <w:rPr>
          <w:color w:val="FF0000"/>
        </w:rPr>
      </w:pPr>
    </w:p>
    <w:sectPr w:rsidR="00B45417" w:rsidRPr="00332F76"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29B08" w14:textId="77777777" w:rsidR="00FD10A9" w:rsidRDefault="00FD10A9" w:rsidP="00304EA1">
      <w:pPr>
        <w:spacing w:after="0" w:line="240" w:lineRule="auto"/>
      </w:pPr>
      <w:r>
        <w:separator/>
      </w:r>
    </w:p>
  </w:endnote>
  <w:endnote w:type="continuationSeparator" w:id="0">
    <w:p w14:paraId="7CFA1238" w14:textId="77777777" w:rsidR="00FD10A9" w:rsidRDefault="00FD10A9" w:rsidP="00304EA1">
      <w:pPr>
        <w:spacing w:after="0" w:line="240" w:lineRule="auto"/>
      </w:pPr>
      <w:r>
        <w:continuationSeparator/>
      </w:r>
    </w:p>
  </w:endnote>
  <w:endnote w:type="continuationNotice" w:id="1">
    <w:p w14:paraId="00EDF85A" w14:textId="77777777" w:rsidR="00FD10A9" w:rsidRDefault="00FD10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66592" w14:textId="77777777" w:rsidR="00FD10A9" w:rsidRDefault="00FD10A9" w:rsidP="00304EA1">
      <w:pPr>
        <w:spacing w:after="0" w:line="240" w:lineRule="auto"/>
      </w:pPr>
      <w:r>
        <w:separator/>
      </w:r>
    </w:p>
  </w:footnote>
  <w:footnote w:type="continuationSeparator" w:id="0">
    <w:p w14:paraId="220457EA" w14:textId="77777777" w:rsidR="00FD10A9" w:rsidRDefault="00FD10A9" w:rsidP="00304EA1">
      <w:pPr>
        <w:spacing w:after="0" w:line="240" w:lineRule="auto"/>
      </w:pPr>
      <w:r>
        <w:continuationSeparator/>
      </w:r>
    </w:p>
  </w:footnote>
  <w:footnote w:type="continuationNotice" w:id="1">
    <w:p w14:paraId="4785732A" w14:textId="77777777" w:rsidR="00FD10A9" w:rsidRDefault="00FD10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6464737" w:rsidR="00FD29D3" w:rsidRPr="002B0664" w:rsidRDefault="00830FC4" w:rsidP="00D86DE4">
    <w:pPr>
      <w:pStyle w:val="Captionsandfootnotes"/>
      <w:rPr>
        <w:color w:val="auto"/>
      </w:rPr>
    </w:pPr>
    <w:r>
      <w:rPr>
        <w:color w:val="auto"/>
      </w:rPr>
      <w:t>2025 VCE Art Creative Practice external assessment report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BE8FD5"/>
    <w:multiLevelType w:val="hybridMultilevel"/>
    <w:tmpl w:val="C6C03160"/>
    <w:lvl w:ilvl="0" w:tplc="BCFA5292">
      <w:start w:val="1"/>
      <w:numFmt w:val="bullet"/>
      <w:lvlText w:val="·"/>
      <w:lvlJc w:val="left"/>
      <w:pPr>
        <w:ind w:left="720" w:hanging="360"/>
      </w:pPr>
      <w:rPr>
        <w:rFonts w:ascii="Symbol" w:hAnsi="Symbol" w:hint="default"/>
      </w:rPr>
    </w:lvl>
    <w:lvl w:ilvl="1" w:tplc="0A5CD290">
      <w:start w:val="1"/>
      <w:numFmt w:val="bullet"/>
      <w:lvlText w:val="o"/>
      <w:lvlJc w:val="left"/>
      <w:pPr>
        <w:ind w:left="1440" w:hanging="360"/>
      </w:pPr>
      <w:rPr>
        <w:rFonts w:ascii="Courier New" w:hAnsi="Courier New" w:hint="default"/>
      </w:rPr>
    </w:lvl>
    <w:lvl w:ilvl="2" w:tplc="8A0A42B0">
      <w:start w:val="1"/>
      <w:numFmt w:val="bullet"/>
      <w:lvlText w:val=""/>
      <w:lvlJc w:val="left"/>
      <w:pPr>
        <w:ind w:left="2160" w:hanging="360"/>
      </w:pPr>
      <w:rPr>
        <w:rFonts w:ascii="Wingdings" w:hAnsi="Wingdings" w:hint="default"/>
      </w:rPr>
    </w:lvl>
    <w:lvl w:ilvl="3" w:tplc="C94AD452">
      <w:start w:val="1"/>
      <w:numFmt w:val="bullet"/>
      <w:lvlText w:val=""/>
      <w:lvlJc w:val="left"/>
      <w:pPr>
        <w:ind w:left="2880" w:hanging="360"/>
      </w:pPr>
      <w:rPr>
        <w:rFonts w:ascii="Symbol" w:hAnsi="Symbol" w:hint="default"/>
      </w:rPr>
    </w:lvl>
    <w:lvl w:ilvl="4" w:tplc="F40E57AA">
      <w:start w:val="1"/>
      <w:numFmt w:val="bullet"/>
      <w:lvlText w:val="o"/>
      <w:lvlJc w:val="left"/>
      <w:pPr>
        <w:ind w:left="3600" w:hanging="360"/>
      </w:pPr>
      <w:rPr>
        <w:rFonts w:ascii="Courier New" w:hAnsi="Courier New" w:hint="default"/>
      </w:rPr>
    </w:lvl>
    <w:lvl w:ilvl="5" w:tplc="8D0C7C8C">
      <w:start w:val="1"/>
      <w:numFmt w:val="bullet"/>
      <w:lvlText w:val=""/>
      <w:lvlJc w:val="left"/>
      <w:pPr>
        <w:ind w:left="4320" w:hanging="360"/>
      </w:pPr>
      <w:rPr>
        <w:rFonts w:ascii="Wingdings" w:hAnsi="Wingdings" w:hint="default"/>
      </w:rPr>
    </w:lvl>
    <w:lvl w:ilvl="6" w:tplc="77C07BC4">
      <w:start w:val="1"/>
      <w:numFmt w:val="bullet"/>
      <w:lvlText w:val=""/>
      <w:lvlJc w:val="left"/>
      <w:pPr>
        <w:ind w:left="5040" w:hanging="360"/>
      </w:pPr>
      <w:rPr>
        <w:rFonts w:ascii="Symbol" w:hAnsi="Symbol" w:hint="default"/>
      </w:rPr>
    </w:lvl>
    <w:lvl w:ilvl="7" w:tplc="8D043664">
      <w:start w:val="1"/>
      <w:numFmt w:val="bullet"/>
      <w:lvlText w:val="o"/>
      <w:lvlJc w:val="left"/>
      <w:pPr>
        <w:ind w:left="5760" w:hanging="360"/>
      </w:pPr>
      <w:rPr>
        <w:rFonts w:ascii="Courier New" w:hAnsi="Courier New" w:hint="default"/>
      </w:rPr>
    </w:lvl>
    <w:lvl w:ilvl="8" w:tplc="F64448EA">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23641169">
    <w:abstractNumId w:val="11"/>
  </w:num>
  <w:num w:numId="2" w16cid:durableId="1208764004">
    <w:abstractNumId w:val="16"/>
  </w:num>
  <w:num w:numId="3" w16cid:durableId="1678000311">
    <w:abstractNumId w:val="14"/>
  </w:num>
  <w:num w:numId="4" w16cid:durableId="1018848057">
    <w:abstractNumId w:val="12"/>
  </w:num>
  <w:num w:numId="5" w16cid:durableId="1304190575">
    <w:abstractNumId w:val="10"/>
  </w:num>
  <w:num w:numId="6" w16cid:durableId="2057312338">
    <w:abstractNumId w:val="15"/>
  </w:num>
  <w:num w:numId="7" w16cid:durableId="1378581537">
    <w:abstractNumId w:val="9"/>
  </w:num>
  <w:num w:numId="8" w16cid:durableId="177081491">
    <w:abstractNumId w:val="7"/>
  </w:num>
  <w:num w:numId="9" w16cid:durableId="1056662414">
    <w:abstractNumId w:val="6"/>
  </w:num>
  <w:num w:numId="10" w16cid:durableId="351690595">
    <w:abstractNumId w:val="5"/>
  </w:num>
  <w:num w:numId="11" w16cid:durableId="563222272">
    <w:abstractNumId w:val="4"/>
  </w:num>
  <w:num w:numId="12" w16cid:durableId="927617986">
    <w:abstractNumId w:val="8"/>
  </w:num>
  <w:num w:numId="13" w16cid:durableId="983192970">
    <w:abstractNumId w:val="3"/>
  </w:num>
  <w:num w:numId="14" w16cid:durableId="76288812">
    <w:abstractNumId w:val="2"/>
  </w:num>
  <w:num w:numId="15" w16cid:durableId="764307513">
    <w:abstractNumId w:val="1"/>
  </w:num>
  <w:num w:numId="16" w16cid:durableId="296838537">
    <w:abstractNumId w:val="0"/>
  </w:num>
  <w:num w:numId="17" w16cid:durableId="20054293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79FF"/>
    <w:rsid w:val="000106B6"/>
    <w:rsid w:val="0002511C"/>
    <w:rsid w:val="00051904"/>
    <w:rsid w:val="0005780E"/>
    <w:rsid w:val="00061BDC"/>
    <w:rsid w:val="00065CC6"/>
    <w:rsid w:val="000A71F7"/>
    <w:rsid w:val="000B1A8D"/>
    <w:rsid w:val="000B6496"/>
    <w:rsid w:val="000B6551"/>
    <w:rsid w:val="000C12FC"/>
    <w:rsid w:val="000D1438"/>
    <w:rsid w:val="000E46AF"/>
    <w:rsid w:val="000F09E4"/>
    <w:rsid w:val="000F16FD"/>
    <w:rsid w:val="000F5AAF"/>
    <w:rsid w:val="00113C44"/>
    <w:rsid w:val="0012083A"/>
    <w:rsid w:val="00142593"/>
    <w:rsid w:val="00143520"/>
    <w:rsid w:val="00153AD2"/>
    <w:rsid w:val="00156F12"/>
    <w:rsid w:val="00164B41"/>
    <w:rsid w:val="001779EA"/>
    <w:rsid w:val="001B39B5"/>
    <w:rsid w:val="001C5F7E"/>
    <w:rsid w:val="001D3246"/>
    <w:rsid w:val="001D3F75"/>
    <w:rsid w:val="001E12CA"/>
    <w:rsid w:val="002002C3"/>
    <w:rsid w:val="00201161"/>
    <w:rsid w:val="002153E8"/>
    <w:rsid w:val="002279BA"/>
    <w:rsid w:val="002329F3"/>
    <w:rsid w:val="00243F0D"/>
    <w:rsid w:val="00252F08"/>
    <w:rsid w:val="00256E34"/>
    <w:rsid w:val="00260767"/>
    <w:rsid w:val="002647BB"/>
    <w:rsid w:val="00271CF5"/>
    <w:rsid w:val="002754C1"/>
    <w:rsid w:val="002762C7"/>
    <w:rsid w:val="002841C8"/>
    <w:rsid w:val="0028516B"/>
    <w:rsid w:val="002A0C8F"/>
    <w:rsid w:val="002B0664"/>
    <w:rsid w:val="002C6F90"/>
    <w:rsid w:val="002E2B6E"/>
    <w:rsid w:val="002E49D1"/>
    <w:rsid w:val="002E4FB5"/>
    <w:rsid w:val="00302FB8"/>
    <w:rsid w:val="00304EA1"/>
    <w:rsid w:val="00314D81"/>
    <w:rsid w:val="00322FC6"/>
    <w:rsid w:val="00332F76"/>
    <w:rsid w:val="00342D80"/>
    <w:rsid w:val="003455B8"/>
    <w:rsid w:val="0035293F"/>
    <w:rsid w:val="00365146"/>
    <w:rsid w:val="00381C75"/>
    <w:rsid w:val="00391986"/>
    <w:rsid w:val="003A00B4"/>
    <w:rsid w:val="003A06B2"/>
    <w:rsid w:val="003A678C"/>
    <w:rsid w:val="003C456C"/>
    <w:rsid w:val="003C5E71"/>
    <w:rsid w:val="004157B7"/>
    <w:rsid w:val="00417AA3"/>
    <w:rsid w:val="00425DFE"/>
    <w:rsid w:val="0042799D"/>
    <w:rsid w:val="00434EDB"/>
    <w:rsid w:val="00440B32"/>
    <w:rsid w:val="0046078D"/>
    <w:rsid w:val="004626C0"/>
    <w:rsid w:val="00473D88"/>
    <w:rsid w:val="0048143D"/>
    <w:rsid w:val="00490D0D"/>
    <w:rsid w:val="00495C80"/>
    <w:rsid w:val="00495ED4"/>
    <w:rsid w:val="00497A37"/>
    <w:rsid w:val="004A2ED8"/>
    <w:rsid w:val="004C00A4"/>
    <w:rsid w:val="004F5BDA"/>
    <w:rsid w:val="0051631E"/>
    <w:rsid w:val="00531DDC"/>
    <w:rsid w:val="00537A1F"/>
    <w:rsid w:val="00566029"/>
    <w:rsid w:val="00573E26"/>
    <w:rsid w:val="00580103"/>
    <w:rsid w:val="0058694F"/>
    <w:rsid w:val="005917BC"/>
    <w:rsid w:val="005923CB"/>
    <w:rsid w:val="005B391B"/>
    <w:rsid w:val="005B5E7F"/>
    <w:rsid w:val="005B6D1F"/>
    <w:rsid w:val="005D3D78"/>
    <w:rsid w:val="005E2EF0"/>
    <w:rsid w:val="005E5B45"/>
    <w:rsid w:val="005F4092"/>
    <w:rsid w:val="00612D1A"/>
    <w:rsid w:val="00621A5C"/>
    <w:rsid w:val="00640198"/>
    <w:rsid w:val="0068430F"/>
    <w:rsid w:val="0068471E"/>
    <w:rsid w:val="00684F98"/>
    <w:rsid w:val="00693FFD"/>
    <w:rsid w:val="00696209"/>
    <w:rsid w:val="006D1789"/>
    <w:rsid w:val="006D2159"/>
    <w:rsid w:val="006D43E6"/>
    <w:rsid w:val="006F1BF4"/>
    <w:rsid w:val="006F3885"/>
    <w:rsid w:val="006F3FDB"/>
    <w:rsid w:val="006F787C"/>
    <w:rsid w:val="00702636"/>
    <w:rsid w:val="00724507"/>
    <w:rsid w:val="00747C9C"/>
    <w:rsid w:val="00762D1E"/>
    <w:rsid w:val="007704E8"/>
    <w:rsid w:val="00773489"/>
    <w:rsid w:val="00773E6C"/>
    <w:rsid w:val="00775101"/>
    <w:rsid w:val="00775B6F"/>
    <w:rsid w:val="00781FB1"/>
    <w:rsid w:val="0079062F"/>
    <w:rsid w:val="007930A5"/>
    <w:rsid w:val="007B0FED"/>
    <w:rsid w:val="007B5D0E"/>
    <w:rsid w:val="007B6A09"/>
    <w:rsid w:val="007D1B6D"/>
    <w:rsid w:val="007D31F7"/>
    <w:rsid w:val="007E0FD7"/>
    <w:rsid w:val="00813C37"/>
    <w:rsid w:val="008154B5"/>
    <w:rsid w:val="00823962"/>
    <w:rsid w:val="00830FC4"/>
    <w:rsid w:val="00841AAE"/>
    <w:rsid w:val="00843FEF"/>
    <w:rsid w:val="00850410"/>
    <w:rsid w:val="00852719"/>
    <w:rsid w:val="00856091"/>
    <w:rsid w:val="00860115"/>
    <w:rsid w:val="008619AF"/>
    <w:rsid w:val="00870A89"/>
    <w:rsid w:val="008715AE"/>
    <w:rsid w:val="008869E3"/>
    <w:rsid w:val="0088783C"/>
    <w:rsid w:val="00894B5B"/>
    <w:rsid w:val="008A39A2"/>
    <w:rsid w:val="008B255B"/>
    <w:rsid w:val="008B5027"/>
    <w:rsid w:val="008B678E"/>
    <w:rsid w:val="008D297B"/>
    <w:rsid w:val="008E73F5"/>
    <w:rsid w:val="0090358C"/>
    <w:rsid w:val="009077FE"/>
    <w:rsid w:val="009132B1"/>
    <w:rsid w:val="009262C9"/>
    <w:rsid w:val="009370BC"/>
    <w:rsid w:val="00963EE3"/>
    <w:rsid w:val="0096556B"/>
    <w:rsid w:val="00970580"/>
    <w:rsid w:val="0098739B"/>
    <w:rsid w:val="009A282C"/>
    <w:rsid w:val="009A57E3"/>
    <w:rsid w:val="009A5A56"/>
    <w:rsid w:val="009B61E5"/>
    <w:rsid w:val="009B7CF2"/>
    <w:rsid w:val="009C49BD"/>
    <w:rsid w:val="009C4FA7"/>
    <w:rsid w:val="009D084F"/>
    <w:rsid w:val="009D1E89"/>
    <w:rsid w:val="009D28DE"/>
    <w:rsid w:val="009D646C"/>
    <w:rsid w:val="009E5707"/>
    <w:rsid w:val="009E7513"/>
    <w:rsid w:val="00A17661"/>
    <w:rsid w:val="00A23DEA"/>
    <w:rsid w:val="00A24B2D"/>
    <w:rsid w:val="00A40966"/>
    <w:rsid w:val="00A64A9F"/>
    <w:rsid w:val="00A91E25"/>
    <w:rsid w:val="00A921E0"/>
    <w:rsid w:val="00A922F4"/>
    <w:rsid w:val="00A92E2B"/>
    <w:rsid w:val="00AA0B34"/>
    <w:rsid w:val="00AD5EC8"/>
    <w:rsid w:val="00AE5526"/>
    <w:rsid w:val="00AF051B"/>
    <w:rsid w:val="00B00455"/>
    <w:rsid w:val="00B01578"/>
    <w:rsid w:val="00B0738F"/>
    <w:rsid w:val="00B13D3B"/>
    <w:rsid w:val="00B21510"/>
    <w:rsid w:val="00B230DB"/>
    <w:rsid w:val="00B26601"/>
    <w:rsid w:val="00B41951"/>
    <w:rsid w:val="00B45417"/>
    <w:rsid w:val="00B53229"/>
    <w:rsid w:val="00B56539"/>
    <w:rsid w:val="00B6027B"/>
    <w:rsid w:val="00B608F5"/>
    <w:rsid w:val="00B62480"/>
    <w:rsid w:val="00B73216"/>
    <w:rsid w:val="00B81B70"/>
    <w:rsid w:val="00B95505"/>
    <w:rsid w:val="00BB3BAB"/>
    <w:rsid w:val="00BB6064"/>
    <w:rsid w:val="00BB7413"/>
    <w:rsid w:val="00BD0724"/>
    <w:rsid w:val="00BD2B91"/>
    <w:rsid w:val="00BD6CAE"/>
    <w:rsid w:val="00BE5521"/>
    <w:rsid w:val="00BE75BA"/>
    <w:rsid w:val="00BF6C23"/>
    <w:rsid w:val="00C014F8"/>
    <w:rsid w:val="00C33247"/>
    <w:rsid w:val="00C33E8D"/>
    <w:rsid w:val="00C36EC5"/>
    <w:rsid w:val="00C37031"/>
    <w:rsid w:val="00C41F23"/>
    <w:rsid w:val="00C53263"/>
    <w:rsid w:val="00C623B2"/>
    <w:rsid w:val="00C63305"/>
    <w:rsid w:val="00C63CF8"/>
    <w:rsid w:val="00C7281C"/>
    <w:rsid w:val="00C75F1D"/>
    <w:rsid w:val="00C7643A"/>
    <w:rsid w:val="00C77BEB"/>
    <w:rsid w:val="00C81757"/>
    <w:rsid w:val="00C95156"/>
    <w:rsid w:val="00CA0DC2"/>
    <w:rsid w:val="00CB293C"/>
    <w:rsid w:val="00CB68E8"/>
    <w:rsid w:val="00CE5FE6"/>
    <w:rsid w:val="00D04F01"/>
    <w:rsid w:val="00D06414"/>
    <w:rsid w:val="00D24E5A"/>
    <w:rsid w:val="00D275DF"/>
    <w:rsid w:val="00D33258"/>
    <w:rsid w:val="00D338E4"/>
    <w:rsid w:val="00D35224"/>
    <w:rsid w:val="00D469D8"/>
    <w:rsid w:val="00D51947"/>
    <w:rsid w:val="00D532F0"/>
    <w:rsid w:val="00D5387F"/>
    <w:rsid w:val="00D53FB6"/>
    <w:rsid w:val="00D56E0F"/>
    <w:rsid w:val="00D60714"/>
    <w:rsid w:val="00D76E10"/>
    <w:rsid w:val="00D77413"/>
    <w:rsid w:val="00D80C6C"/>
    <w:rsid w:val="00D82759"/>
    <w:rsid w:val="00D86DE4"/>
    <w:rsid w:val="00DA1CD2"/>
    <w:rsid w:val="00DC2F83"/>
    <w:rsid w:val="00DE1629"/>
    <w:rsid w:val="00DE1909"/>
    <w:rsid w:val="00DE51DB"/>
    <w:rsid w:val="00DF7107"/>
    <w:rsid w:val="00E07BCD"/>
    <w:rsid w:val="00E208DF"/>
    <w:rsid w:val="00E23F1D"/>
    <w:rsid w:val="00E30E05"/>
    <w:rsid w:val="00E36361"/>
    <w:rsid w:val="00E4252A"/>
    <w:rsid w:val="00E55AE9"/>
    <w:rsid w:val="00E61466"/>
    <w:rsid w:val="00E61572"/>
    <w:rsid w:val="00E71100"/>
    <w:rsid w:val="00E7229D"/>
    <w:rsid w:val="00E722FB"/>
    <w:rsid w:val="00E758A4"/>
    <w:rsid w:val="00E841F6"/>
    <w:rsid w:val="00E8516E"/>
    <w:rsid w:val="00E904C6"/>
    <w:rsid w:val="00EB0C84"/>
    <w:rsid w:val="00EB76AB"/>
    <w:rsid w:val="00ED0232"/>
    <w:rsid w:val="00F02D16"/>
    <w:rsid w:val="00F178F3"/>
    <w:rsid w:val="00F17FDE"/>
    <w:rsid w:val="00F20F96"/>
    <w:rsid w:val="00F212C4"/>
    <w:rsid w:val="00F22020"/>
    <w:rsid w:val="00F23F2B"/>
    <w:rsid w:val="00F40D53"/>
    <w:rsid w:val="00F417E1"/>
    <w:rsid w:val="00F425C2"/>
    <w:rsid w:val="00F4525C"/>
    <w:rsid w:val="00F45FFD"/>
    <w:rsid w:val="00F50D86"/>
    <w:rsid w:val="00F619A1"/>
    <w:rsid w:val="00F70DE3"/>
    <w:rsid w:val="00F8648B"/>
    <w:rsid w:val="00F91C22"/>
    <w:rsid w:val="00FA056D"/>
    <w:rsid w:val="00FA2049"/>
    <w:rsid w:val="00FD075B"/>
    <w:rsid w:val="00FD10A9"/>
    <w:rsid w:val="00FD142E"/>
    <w:rsid w:val="00FD29D3"/>
    <w:rsid w:val="00FE3F0B"/>
    <w:rsid w:val="00FE6FEA"/>
    <w:rsid w:val="02504DAE"/>
    <w:rsid w:val="02D0ED7B"/>
    <w:rsid w:val="03DAD5FB"/>
    <w:rsid w:val="04032732"/>
    <w:rsid w:val="042B1E5A"/>
    <w:rsid w:val="04565E58"/>
    <w:rsid w:val="049FB325"/>
    <w:rsid w:val="053E5104"/>
    <w:rsid w:val="05A101A9"/>
    <w:rsid w:val="0682C023"/>
    <w:rsid w:val="0749716D"/>
    <w:rsid w:val="0773A0E8"/>
    <w:rsid w:val="07AD09E7"/>
    <w:rsid w:val="08AD96C0"/>
    <w:rsid w:val="097DE386"/>
    <w:rsid w:val="098EA2DC"/>
    <w:rsid w:val="0AA54D2D"/>
    <w:rsid w:val="0AC470D2"/>
    <w:rsid w:val="0AEE44A6"/>
    <w:rsid w:val="0B26D7D4"/>
    <w:rsid w:val="0CCDC92B"/>
    <w:rsid w:val="0D882785"/>
    <w:rsid w:val="0D89D09A"/>
    <w:rsid w:val="10A490A7"/>
    <w:rsid w:val="10DBDE50"/>
    <w:rsid w:val="113D2709"/>
    <w:rsid w:val="12CE605A"/>
    <w:rsid w:val="130ECDC3"/>
    <w:rsid w:val="1394FD06"/>
    <w:rsid w:val="13FF53AE"/>
    <w:rsid w:val="148B96A6"/>
    <w:rsid w:val="1644238E"/>
    <w:rsid w:val="170ED4F3"/>
    <w:rsid w:val="18F7F43F"/>
    <w:rsid w:val="19AFA8DF"/>
    <w:rsid w:val="1B227188"/>
    <w:rsid w:val="1BC28EB0"/>
    <w:rsid w:val="1E68134E"/>
    <w:rsid w:val="1EE53FBA"/>
    <w:rsid w:val="1F4737DC"/>
    <w:rsid w:val="20218002"/>
    <w:rsid w:val="21CC107F"/>
    <w:rsid w:val="2333A835"/>
    <w:rsid w:val="23F24815"/>
    <w:rsid w:val="2542235C"/>
    <w:rsid w:val="25910677"/>
    <w:rsid w:val="2662CEB8"/>
    <w:rsid w:val="269ED57D"/>
    <w:rsid w:val="28038EF8"/>
    <w:rsid w:val="290AA50D"/>
    <w:rsid w:val="2AEFA72C"/>
    <w:rsid w:val="2C499FA4"/>
    <w:rsid w:val="304D5D09"/>
    <w:rsid w:val="317328A4"/>
    <w:rsid w:val="3195D9E5"/>
    <w:rsid w:val="32ACDA97"/>
    <w:rsid w:val="32CA0F14"/>
    <w:rsid w:val="3434616E"/>
    <w:rsid w:val="3501DEFF"/>
    <w:rsid w:val="351899FC"/>
    <w:rsid w:val="355726BF"/>
    <w:rsid w:val="357F63CC"/>
    <w:rsid w:val="35958941"/>
    <w:rsid w:val="3750F2E7"/>
    <w:rsid w:val="377897B4"/>
    <w:rsid w:val="38BEA620"/>
    <w:rsid w:val="38C64056"/>
    <w:rsid w:val="392B9B2F"/>
    <w:rsid w:val="3C49A057"/>
    <w:rsid w:val="3CC372AF"/>
    <w:rsid w:val="3CCE1F81"/>
    <w:rsid w:val="3CFB37C5"/>
    <w:rsid w:val="3F4858AB"/>
    <w:rsid w:val="400A24A7"/>
    <w:rsid w:val="4383D2D3"/>
    <w:rsid w:val="44420FC7"/>
    <w:rsid w:val="44C2762B"/>
    <w:rsid w:val="45810CB2"/>
    <w:rsid w:val="47AF4F00"/>
    <w:rsid w:val="48336360"/>
    <w:rsid w:val="49772E80"/>
    <w:rsid w:val="4BBAE804"/>
    <w:rsid w:val="4C889BDC"/>
    <w:rsid w:val="4DB0D1D4"/>
    <w:rsid w:val="4ED79B1C"/>
    <w:rsid w:val="4FDAC7E2"/>
    <w:rsid w:val="5138B05C"/>
    <w:rsid w:val="52E2FA0C"/>
    <w:rsid w:val="543C308F"/>
    <w:rsid w:val="543DDA29"/>
    <w:rsid w:val="55F57340"/>
    <w:rsid w:val="56611A51"/>
    <w:rsid w:val="57C6D477"/>
    <w:rsid w:val="57DD12C7"/>
    <w:rsid w:val="581A2099"/>
    <w:rsid w:val="58299502"/>
    <w:rsid w:val="583DC67E"/>
    <w:rsid w:val="5842EBD2"/>
    <w:rsid w:val="58A5D598"/>
    <w:rsid w:val="58B3DCC8"/>
    <w:rsid w:val="5941BA39"/>
    <w:rsid w:val="59774E70"/>
    <w:rsid w:val="59F90EFF"/>
    <w:rsid w:val="5B0B57B7"/>
    <w:rsid w:val="5BB0892A"/>
    <w:rsid w:val="5DBD3E77"/>
    <w:rsid w:val="5DEED1E5"/>
    <w:rsid w:val="5E4D773E"/>
    <w:rsid w:val="6029E1A5"/>
    <w:rsid w:val="60379FEC"/>
    <w:rsid w:val="61237B97"/>
    <w:rsid w:val="61259CA8"/>
    <w:rsid w:val="617D5BDC"/>
    <w:rsid w:val="62B7D00E"/>
    <w:rsid w:val="6342FE4B"/>
    <w:rsid w:val="635E8C68"/>
    <w:rsid w:val="63A1B0C2"/>
    <w:rsid w:val="68BA6DAB"/>
    <w:rsid w:val="6B72EB70"/>
    <w:rsid w:val="6D358BD7"/>
    <w:rsid w:val="75658E9B"/>
    <w:rsid w:val="760E604D"/>
    <w:rsid w:val="7619383D"/>
    <w:rsid w:val="76A221B3"/>
    <w:rsid w:val="7709D105"/>
    <w:rsid w:val="7779A636"/>
    <w:rsid w:val="779EEDE6"/>
    <w:rsid w:val="780D4A8F"/>
    <w:rsid w:val="79094146"/>
    <w:rsid w:val="79485A63"/>
    <w:rsid w:val="79893F09"/>
    <w:rsid w:val="7A61005F"/>
    <w:rsid w:val="7B7B8BBE"/>
    <w:rsid w:val="7CA909C0"/>
    <w:rsid w:val="7CAFBD24"/>
    <w:rsid w:val="7D9527DA"/>
    <w:rsid w:val="7EDC274B"/>
    <w:rsid w:val="7F55A8F2"/>
    <w:rsid w:val="7FBA8DA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31"/>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2"/>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3"/>
      </w:numPr>
      <w:ind w:left="850" w:hanging="425"/>
    </w:pPr>
  </w:style>
  <w:style w:type="paragraph" w:customStyle="1" w:styleId="Numbers">
    <w:name w:val="Numbers"/>
    <w:basedOn w:val="Bullet"/>
    <w:qFormat/>
    <w:rsid w:val="0035293F"/>
    <w:pPr>
      <w:numPr>
        <w:numId w:val="4"/>
      </w:numPr>
      <w:ind w:left="425" w:hanging="425"/>
    </w:pPr>
    <w:rPr>
      <w:lang w:val="en-US"/>
    </w:rPr>
  </w:style>
  <w:style w:type="paragraph" w:customStyle="1" w:styleId="Tablecondensedbullet">
    <w:name w:val="Table condensed bullet"/>
    <w:basedOn w:val="Normal"/>
    <w:qFormat/>
    <w:rsid w:val="00495C80"/>
    <w:pPr>
      <w:numPr>
        <w:numId w:val="5"/>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6"/>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7"/>
      </w:numPr>
      <w:contextualSpacing/>
    </w:pPr>
  </w:style>
  <w:style w:type="paragraph" w:styleId="ListBullet2">
    <w:name w:val="List Bullet 2"/>
    <w:basedOn w:val="Normal"/>
    <w:uiPriority w:val="99"/>
    <w:semiHidden/>
    <w:unhideWhenUsed/>
    <w:rsid w:val="00870A89"/>
    <w:pPr>
      <w:numPr>
        <w:numId w:val="8"/>
      </w:numPr>
      <w:contextualSpacing/>
    </w:pPr>
  </w:style>
  <w:style w:type="paragraph" w:styleId="ListBullet3">
    <w:name w:val="List Bullet 3"/>
    <w:basedOn w:val="Normal"/>
    <w:uiPriority w:val="99"/>
    <w:semiHidden/>
    <w:unhideWhenUsed/>
    <w:rsid w:val="00870A89"/>
    <w:pPr>
      <w:numPr>
        <w:numId w:val="9"/>
      </w:numPr>
      <w:contextualSpacing/>
    </w:pPr>
  </w:style>
  <w:style w:type="paragraph" w:styleId="ListBullet4">
    <w:name w:val="List Bullet 4"/>
    <w:basedOn w:val="Normal"/>
    <w:uiPriority w:val="99"/>
    <w:semiHidden/>
    <w:unhideWhenUsed/>
    <w:rsid w:val="00870A89"/>
    <w:pPr>
      <w:numPr>
        <w:numId w:val="10"/>
      </w:numPr>
      <w:contextualSpacing/>
    </w:pPr>
  </w:style>
  <w:style w:type="paragraph" w:styleId="ListBullet5">
    <w:name w:val="List Bullet 5"/>
    <w:basedOn w:val="Normal"/>
    <w:uiPriority w:val="99"/>
    <w:semiHidden/>
    <w:unhideWhenUsed/>
    <w:rsid w:val="00870A89"/>
    <w:pPr>
      <w:numPr>
        <w:numId w:val="11"/>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2"/>
      </w:numPr>
      <w:contextualSpacing/>
    </w:pPr>
  </w:style>
  <w:style w:type="paragraph" w:styleId="ListNumber2">
    <w:name w:val="List Number 2"/>
    <w:basedOn w:val="Normal"/>
    <w:uiPriority w:val="99"/>
    <w:semiHidden/>
    <w:unhideWhenUsed/>
    <w:rsid w:val="00870A89"/>
    <w:pPr>
      <w:numPr>
        <w:numId w:val="13"/>
      </w:numPr>
      <w:contextualSpacing/>
    </w:pPr>
  </w:style>
  <w:style w:type="paragraph" w:styleId="ListNumber3">
    <w:name w:val="List Number 3"/>
    <w:basedOn w:val="Normal"/>
    <w:uiPriority w:val="99"/>
    <w:semiHidden/>
    <w:unhideWhenUsed/>
    <w:rsid w:val="00870A89"/>
    <w:pPr>
      <w:numPr>
        <w:numId w:val="14"/>
      </w:numPr>
      <w:contextualSpacing/>
    </w:pPr>
  </w:style>
  <w:style w:type="paragraph" w:styleId="ListNumber4">
    <w:name w:val="List Number 4"/>
    <w:basedOn w:val="Normal"/>
    <w:uiPriority w:val="99"/>
    <w:semiHidden/>
    <w:unhideWhenUsed/>
    <w:rsid w:val="00870A89"/>
    <w:pPr>
      <w:numPr>
        <w:numId w:val="15"/>
      </w:numPr>
      <w:contextualSpacing/>
    </w:pPr>
  </w:style>
  <w:style w:type="paragraph" w:styleId="ListNumber5">
    <w:name w:val="List Number 5"/>
    <w:basedOn w:val="Normal"/>
    <w:uiPriority w:val="99"/>
    <w:semiHidden/>
    <w:unhideWhenUsed/>
    <w:rsid w:val="00870A89"/>
    <w:pPr>
      <w:numPr>
        <w:numId w:val="16"/>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C37031"/>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Studentresponse">
    <w:name w:val="Student response"/>
    <w:basedOn w:val="BodyText"/>
    <w:link w:val="StudentresponseChar"/>
    <w:qFormat/>
    <w:rsid w:val="00CE5FE6"/>
    <w:pPr>
      <w:ind w:left="284"/>
    </w:pPr>
    <w:rPr>
      <w:i/>
    </w:rPr>
  </w:style>
  <w:style w:type="character" w:customStyle="1" w:styleId="StudentresponseChar">
    <w:name w:val="Student response Char"/>
    <w:basedOn w:val="BodyTextChar"/>
    <w:link w:val="Studentresponse"/>
    <w:rsid w:val="00CE5FE6"/>
    <w:rPr>
      <w:rFonts w:ascii="Arial" w:hAnsi="Arial" w:cs="Arial"/>
      <w:i/>
      <w:color w:val="000000" w:themeColor="text1"/>
      <w:sz w:val="20"/>
      <w:lang w:val="en-AU" w:eastAsia="en-AU"/>
    </w:rPr>
  </w:style>
  <w:style w:type="table" w:customStyle="1" w:styleId="VCAATableClosed">
    <w:name w:val="VCAA Table Closed"/>
    <w:basedOn w:val="TableNormal"/>
    <w:uiPriority w:val="99"/>
    <w:rsid w:val="00271CF5"/>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91E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439311">
      <w:bodyDiv w:val="1"/>
      <w:marLeft w:val="0"/>
      <w:marRight w:val="0"/>
      <w:marTop w:val="0"/>
      <w:marBottom w:val="0"/>
      <w:divBdr>
        <w:top w:val="none" w:sz="0" w:space="0" w:color="auto"/>
        <w:left w:val="none" w:sz="0" w:space="0" w:color="auto"/>
        <w:bottom w:val="none" w:sz="0" w:space="0" w:color="auto"/>
        <w:right w:val="none" w:sz="0" w:space="0" w:color="auto"/>
      </w:divBdr>
      <w:divsChild>
        <w:div w:id="1102189796">
          <w:marLeft w:val="0"/>
          <w:marRight w:val="0"/>
          <w:marTop w:val="0"/>
          <w:marBottom w:val="0"/>
          <w:divBdr>
            <w:top w:val="none" w:sz="0" w:space="0" w:color="auto"/>
            <w:left w:val="none" w:sz="0" w:space="0" w:color="auto"/>
            <w:bottom w:val="none" w:sz="0" w:space="0" w:color="auto"/>
            <w:right w:val="none" w:sz="0" w:space="0" w:color="auto"/>
          </w:divBdr>
          <w:divsChild>
            <w:div w:id="973945144">
              <w:marLeft w:val="0"/>
              <w:marRight w:val="0"/>
              <w:marTop w:val="0"/>
              <w:marBottom w:val="0"/>
              <w:divBdr>
                <w:top w:val="none" w:sz="0" w:space="0" w:color="auto"/>
                <w:left w:val="none" w:sz="0" w:space="0" w:color="auto"/>
                <w:bottom w:val="none" w:sz="0" w:space="0" w:color="auto"/>
                <w:right w:val="none" w:sz="0" w:space="0" w:color="auto"/>
              </w:divBdr>
            </w:div>
          </w:divsChild>
        </w:div>
        <w:div w:id="1205631039">
          <w:marLeft w:val="0"/>
          <w:marRight w:val="0"/>
          <w:marTop w:val="0"/>
          <w:marBottom w:val="0"/>
          <w:divBdr>
            <w:top w:val="none" w:sz="0" w:space="0" w:color="auto"/>
            <w:left w:val="none" w:sz="0" w:space="0" w:color="auto"/>
            <w:bottom w:val="none" w:sz="0" w:space="0" w:color="auto"/>
            <w:right w:val="none" w:sz="0" w:space="0" w:color="auto"/>
          </w:divBdr>
          <w:divsChild>
            <w:div w:id="121576685">
              <w:marLeft w:val="0"/>
              <w:marRight w:val="0"/>
              <w:marTop w:val="0"/>
              <w:marBottom w:val="0"/>
              <w:divBdr>
                <w:top w:val="none" w:sz="0" w:space="0" w:color="auto"/>
                <w:left w:val="none" w:sz="0" w:space="0" w:color="auto"/>
                <w:bottom w:val="none" w:sz="0" w:space="0" w:color="auto"/>
                <w:right w:val="none" w:sz="0" w:space="0" w:color="auto"/>
              </w:divBdr>
            </w:div>
          </w:divsChild>
        </w:div>
        <w:div w:id="29499923">
          <w:marLeft w:val="0"/>
          <w:marRight w:val="0"/>
          <w:marTop w:val="0"/>
          <w:marBottom w:val="0"/>
          <w:divBdr>
            <w:top w:val="none" w:sz="0" w:space="0" w:color="auto"/>
            <w:left w:val="none" w:sz="0" w:space="0" w:color="auto"/>
            <w:bottom w:val="none" w:sz="0" w:space="0" w:color="auto"/>
            <w:right w:val="none" w:sz="0" w:space="0" w:color="auto"/>
          </w:divBdr>
          <w:divsChild>
            <w:div w:id="1065491925">
              <w:marLeft w:val="0"/>
              <w:marRight w:val="0"/>
              <w:marTop w:val="0"/>
              <w:marBottom w:val="0"/>
              <w:divBdr>
                <w:top w:val="none" w:sz="0" w:space="0" w:color="auto"/>
                <w:left w:val="none" w:sz="0" w:space="0" w:color="auto"/>
                <w:bottom w:val="none" w:sz="0" w:space="0" w:color="auto"/>
                <w:right w:val="none" w:sz="0" w:space="0" w:color="auto"/>
              </w:divBdr>
            </w:div>
          </w:divsChild>
        </w:div>
        <w:div w:id="572396690">
          <w:marLeft w:val="0"/>
          <w:marRight w:val="0"/>
          <w:marTop w:val="0"/>
          <w:marBottom w:val="0"/>
          <w:divBdr>
            <w:top w:val="none" w:sz="0" w:space="0" w:color="auto"/>
            <w:left w:val="none" w:sz="0" w:space="0" w:color="auto"/>
            <w:bottom w:val="none" w:sz="0" w:space="0" w:color="auto"/>
            <w:right w:val="none" w:sz="0" w:space="0" w:color="auto"/>
          </w:divBdr>
          <w:divsChild>
            <w:div w:id="929436170">
              <w:marLeft w:val="0"/>
              <w:marRight w:val="0"/>
              <w:marTop w:val="0"/>
              <w:marBottom w:val="0"/>
              <w:divBdr>
                <w:top w:val="none" w:sz="0" w:space="0" w:color="auto"/>
                <w:left w:val="none" w:sz="0" w:space="0" w:color="auto"/>
                <w:bottom w:val="none" w:sz="0" w:space="0" w:color="auto"/>
                <w:right w:val="none" w:sz="0" w:space="0" w:color="auto"/>
              </w:divBdr>
            </w:div>
          </w:divsChild>
        </w:div>
        <w:div w:id="1176189799">
          <w:marLeft w:val="0"/>
          <w:marRight w:val="0"/>
          <w:marTop w:val="0"/>
          <w:marBottom w:val="0"/>
          <w:divBdr>
            <w:top w:val="none" w:sz="0" w:space="0" w:color="auto"/>
            <w:left w:val="none" w:sz="0" w:space="0" w:color="auto"/>
            <w:bottom w:val="none" w:sz="0" w:space="0" w:color="auto"/>
            <w:right w:val="none" w:sz="0" w:space="0" w:color="auto"/>
          </w:divBdr>
          <w:divsChild>
            <w:div w:id="833373577">
              <w:marLeft w:val="0"/>
              <w:marRight w:val="0"/>
              <w:marTop w:val="0"/>
              <w:marBottom w:val="0"/>
              <w:divBdr>
                <w:top w:val="none" w:sz="0" w:space="0" w:color="auto"/>
                <w:left w:val="none" w:sz="0" w:space="0" w:color="auto"/>
                <w:bottom w:val="none" w:sz="0" w:space="0" w:color="auto"/>
                <w:right w:val="none" w:sz="0" w:space="0" w:color="auto"/>
              </w:divBdr>
            </w:div>
          </w:divsChild>
        </w:div>
        <w:div w:id="558589215">
          <w:marLeft w:val="0"/>
          <w:marRight w:val="0"/>
          <w:marTop w:val="0"/>
          <w:marBottom w:val="0"/>
          <w:divBdr>
            <w:top w:val="none" w:sz="0" w:space="0" w:color="auto"/>
            <w:left w:val="none" w:sz="0" w:space="0" w:color="auto"/>
            <w:bottom w:val="none" w:sz="0" w:space="0" w:color="auto"/>
            <w:right w:val="none" w:sz="0" w:space="0" w:color="auto"/>
          </w:divBdr>
          <w:divsChild>
            <w:div w:id="1712656496">
              <w:marLeft w:val="0"/>
              <w:marRight w:val="0"/>
              <w:marTop w:val="0"/>
              <w:marBottom w:val="0"/>
              <w:divBdr>
                <w:top w:val="none" w:sz="0" w:space="0" w:color="auto"/>
                <w:left w:val="none" w:sz="0" w:space="0" w:color="auto"/>
                <w:bottom w:val="none" w:sz="0" w:space="0" w:color="auto"/>
                <w:right w:val="none" w:sz="0" w:space="0" w:color="auto"/>
              </w:divBdr>
            </w:div>
          </w:divsChild>
        </w:div>
        <w:div w:id="22249373">
          <w:marLeft w:val="0"/>
          <w:marRight w:val="0"/>
          <w:marTop w:val="0"/>
          <w:marBottom w:val="0"/>
          <w:divBdr>
            <w:top w:val="none" w:sz="0" w:space="0" w:color="auto"/>
            <w:left w:val="none" w:sz="0" w:space="0" w:color="auto"/>
            <w:bottom w:val="none" w:sz="0" w:space="0" w:color="auto"/>
            <w:right w:val="none" w:sz="0" w:space="0" w:color="auto"/>
          </w:divBdr>
          <w:divsChild>
            <w:div w:id="108015532">
              <w:marLeft w:val="0"/>
              <w:marRight w:val="0"/>
              <w:marTop w:val="0"/>
              <w:marBottom w:val="0"/>
              <w:divBdr>
                <w:top w:val="none" w:sz="0" w:space="0" w:color="auto"/>
                <w:left w:val="none" w:sz="0" w:space="0" w:color="auto"/>
                <w:bottom w:val="none" w:sz="0" w:space="0" w:color="auto"/>
                <w:right w:val="none" w:sz="0" w:space="0" w:color="auto"/>
              </w:divBdr>
            </w:div>
          </w:divsChild>
        </w:div>
        <w:div w:id="207886799">
          <w:marLeft w:val="0"/>
          <w:marRight w:val="0"/>
          <w:marTop w:val="0"/>
          <w:marBottom w:val="0"/>
          <w:divBdr>
            <w:top w:val="none" w:sz="0" w:space="0" w:color="auto"/>
            <w:left w:val="none" w:sz="0" w:space="0" w:color="auto"/>
            <w:bottom w:val="none" w:sz="0" w:space="0" w:color="auto"/>
            <w:right w:val="none" w:sz="0" w:space="0" w:color="auto"/>
          </w:divBdr>
          <w:divsChild>
            <w:div w:id="1577935552">
              <w:marLeft w:val="0"/>
              <w:marRight w:val="0"/>
              <w:marTop w:val="0"/>
              <w:marBottom w:val="0"/>
              <w:divBdr>
                <w:top w:val="none" w:sz="0" w:space="0" w:color="auto"/>
                <w:left w:val="none" w:sz="0" w:space="0" w:color="auto"/>
                <w:bottom w:val="none" w:sz="0" w:space="0" w:color="auto"/>
                <w:right w:val="none" w:sz="0" w:space="0" w:color="auto"/>
              </w:divBdr>
            </w:div>
          </w:divsChild>
        </w:div>
        <w:div w:id="494800607">
          <w:marLeft w:val="0"/>
          <w:marRight w:val="0"/>
          <w:marTop w:val="0"/>
          <w:marBottom w:val="0"/>
          <w:divBdr>
            <w:top w:val="none" w:sz="0" w:space="0" w:color="auto"/>
            <w:left w:val="none" w:sz="0" w:space="0" w:color="auto"/>
            <w:bottom w:val="none" w:sz="0" w:space="0" w:color="auto"/>
            <w:right w:val="none" w:sz="0" w:space="0" w:color="auto"/>
          </w:divBdr>
          <w:divsChild>
            <w:div w:id="476344085">
              <w:marLeft w:val="0"/>
              <w:marRight w:val="0"/>
              <w:marTop w:val="0"/>
              <w:marBottom w:val="0"/>
              <w:divBdr>
                <w:top w:val="none" w:sz="0" w:space="0" w:color="auto"/>
                <w:left w:val="none" w:sz="0" w:space="0" w:color="auto"/>
                <w:bottom w:val="none" w:sz="0" w:space="0" w:color="auto"/>
                <w:right w:val="none" w:sz="0" w:space="0" w:color="auto"/>
              </w:divBdr>
            </w:div>
          </w:divsChild>
        </w:div>
        <w:div w:id="1744599750">
          <w:marLeft w:val="0"/>
          <w:marRight w:val="0"/>
          <w:marTop w:val="0"/>
          <w:marBottom w:val="0"/>
          <w:divBdr>
            <w:top w:val="none" w:sz="0" w:space="0" w:color="auto"/>
            <w:left w:val="none" w:sz="0" w:space="0" w:color="auto"/>
            <w:bottom w:val="none" w:sz="0" w:space="0" w:color="auto"/>
            <w:right w:val="none" w:sz="0" w:space="0" w:color="auto"/>
          </w:divBdr>
          <w:divsChild>
            <w:div w:id="233440626">
              <w:marLeft w:val="0"/>
              <w:marRight w:val="0"/>
              <w:marTop w:val="0"/>
              <w:marBottom w:val="0"/>
              <w:divBdr>
                <w:top w:val="none" w:sz="0" w:space="0" w:color="auto"/>
                <w:left w:val="none" w:sz="0" w:space="0" w:color="auto"/>
                <w:bottom w:val="none" w:sz="0" w:space="0" w:color="auto"/>
                <w:right w:val="none" w:sz="0" w:space="0" w:color="auto"/>
              </w:divBdr>
            </w:div>
          </w:divsChild>
        </w:div>
        <w:div w:id="472912259">
          <w:marLeft w:val="0"/>
          <w:marRight w:val="0"/>
          <w:marTop w:val="0"/>
          <w:marBottom w:val="0"/>
          <w:divBdr>
            <w:top w:val="none" w:sz="0" w:space="0" w:color="auto"/>
            <w:left w:val="none" w:sz="0" w:space="0" w:color="auto"/>
            <w:bottom w:val="none" w:sz="0" w:space="0" w:color="auto"/>
            <w:right w:val="none" w:sz="0" w:space="0" w:color="auto"/>
          </w:divBdr>
          <w:divsChild>
            <w:div w:id="704062010">
              <w:marLeft w:val="0"/>
              <w:marRight w:val="0"/>
              <w:marTop w:val="0"/>
              <w:marBottom w:val="0"/>
              <w:divBdr>
                <w:top w:val="none" w:sz="0" w:space="0" w:color="auto"/>
                <w:left w:val="none" w:sz="0" w:space="0" w:color="auto"/>
                <w:bottom w:val="none" w:sz="0" w:space="0" w:color="auto"/>
                <w:right w:val="none" w:sz="0" w:space="0" w:color="auto"/>
              </w:divBdr>
            </w:div>
          </w:divsChild>
        </w:div>
        <w:div w:id="636375115">
          <w:marLeft w:val="0"/>
          <w:marRight w:val="0"/>
          <w:marTop w:val="0"/>
          <w:marBottom w:val="0"/>
          <w:divBdr>
            <w:top w:val="none" w:sz="0" w:space="0" w:color="auto"/>
            <w:left w:val="none" w:sz="0" w:space="0" w:color="auto"/>
            <w:bottom w:val="none" w:sz="0" w:space="0" w:color="auto"/>
            <w:right w:val="none" w:sz="0" w:space="0" w:color="auto"/>
          </w:divBdr>
          <w:divsChild>
            <w:div w:id="1333527119">
              <w:marLeft w:val="0"/>
              <w:marRight w:val="0"/>
              <w:marTop w:val="0"/>
              <w:marBottom w:val="0"/>
              <w:divBdr>
                <w:top w:val="none" w:sz="0" w:space="0" w:color="auto"/>
                <w:left w:val="none" w:sz="0" w:space="0" w:color="auto"/>
                <w:bottom w:val="none" w:sz="0" w:space="0" w:color="auto"/>
                <w:right w:val="none" w:sz="0" w:space="0" w:color="auto"/>
              </w:divBdr>
            </w:div>
          </w:divsChild>
        </w:div>
        <w:div w:id="997995926">
          <w:marLeft w:val="0"/>
          <w:marRight w:val="0"/>
          <w:marTop w:val="0"/>
          <w:marBottom w:val="0"/>
          <w:divBdr>
            <w:top w:val="none" w:sz="0" w:space="0" w:color="auto"/>
            <w:left w:val="none" w:sz="0" w:space="0" w:color="auto"/>
            <w:bottom w:val="none" w:sz="0" w:space="0" w:color="auto"/>
            <w:right w:val="none" w:sz="0" w:space="0" w:color="auto"/>
          </w:divBdr>
          <w:divsChild>
            <w:div w:id="1949854272">
              <w:marLeft w:val="0"/>
              <w:marRight w:val="0"/>
              <w:marTop w:val="0"/>
              <w:marBottom w:val="0"/>
              <w:divBdr>
                <w:top w:val="none" w:sz="0" w:space="0" w:color="auto"/>
                <w:left w:val="none" w:sz="0" w:space="0" w:color="auto"/>
                <w:bottom w:val="none" w:sz="0" w:space="0" w:color="auto"/>
                <w:right w:val="none" w:sz="0" w:space="0" w:color="auto"/>
              </w:divBdr>
            </w:div>
          </w:divsChild>
        </w:div>
        <w:div w:id="979772258">
          <w:marLeft w:val="0"/>
          <w:marRight w:val="0"/>
          <w:marTop w:val="0"/>
          <w:marBottom w:val="0"/>
          <w:divBdr>
            <w:top w:val="none" w:sz="0" w:space="0" w:color="auto"/>
            <w:left w:val="none" w:sz="0" w:space="0" w:color="auto"/>
            <w:bottom w:val="none" w:sz="0" w:space="0" w:color="auto"/>
            <w:right w:val="none" w:sz="0" w:space="0" w:color="auto"/>
          </w:divBdr>
          <w:divsChild>
            <w:div w:id="112742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3684</Words>
  <Characters>21001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Art Creative Practice external assessment report</dc:title>
  <dc:creator/>
  <cp:lastModifiedBy/>
  <cp:revision>1</cp:revision>
  <dcterms:created xsi:type="dcterms:W3CDTF">2026-01-28T04:53:00Z</dcterms:created>
  <dcterms:modified xsi:type="dcterms:W3CDTF">2026-02-04T23:20:00Z</dcterms:modified>
</cp:coreProperties>
</file>