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6C4BB" w14:textId="5D980D6B" w:rsidR="00F4525C" w:rsidRPr="00370818" w:rsidRDefault="00ED7D65" w:rsidP="00880DA3">
      <w:pPr>
        <w:pStyle w:val="Documenttitle"/>
        <w:rPr>
          <w:noProof w:val="0"/>
        </w:rPr>
      </w:pPr>
      <w:r w:rsidRPr="00370818">
        <w:rPr>
          <w:noProof w:val="0"/>
        </w:rPr>
        <w:t>2025 VCE Art Making and Exhibiting external assessment report</w:t>
      </w:r>
    </w:p>
    <w:p w14:paraId="323621B3" w14:textId="77777777" w:rsidR="006007E8" w:rsidRPr="00370818" w:rsidRDefault="006007E8" w:rsidP="00C971E2">
      <w:pPr>
        <w:pStyle w:val="BodyText"/>
      </w:pPr>
      <w:bookmarkStart w:id="0" w:name="TemplateOverview"/>
      <w:bookmarkEnd w:id="0"/>
      <w:r w:rsidRPr="00370818">
        <w:t xml:space="preserve">Note: Student responses reproduced in this report have not been corrected for grammar, spelling or </w:t>
      </w:r>
      <w:proofErr w:type="gramStart"/>
      <w:r w:rsidRPr="00370818">
        <w:t>factual information</w:t>
      </w:r>
      <w:proofErr w:type="gramEnd"/>
      <w:r w:rsidRPr="00370818">
        <w:t>.</w:t>
      </w:r>
    </w:p>
    <w:p w14:paraId="61B79E2D" w14:textId="77777777" w:rsidR="006007E8" w:rsidRPr="00370818" w:rsidRDefault="006007E8" w:rsidP="00C971E2">
      <w:pPr>
        <w:pStyle w:val="BodyText"/>
      </w:pPr>
      <w:r w:rsidRPr="00370818">
        <w:t xml:space="preserve">This report provides sample </w:t>
      </w:r>
      <w:proofErr w:type="gramStart"/>
      <w:r w:rsidRPr="00370818">
        <w:t>answers</w:t>
      </w:r>
      <w:proofErr w:type="gramEnd"/>
      <w:r w:rsidRPr="00370818">
        <w:t xml:space="preserve"> or an indication of what answers may have included. Unless otherwise stated, these are not intended to be exemplary or complete responses. </w:t>
      </w:r>
    </w:p>
    <w:p w14:paraId="5C9EE4AA" w14:textId="3FECBE34" w:rsidR="00B45417" w:rsidRPr="00370818" w:rsidRDefault="006007E8" w:rsidP="00C971E2">
      <w:pPr>
        <w:pStyle w:val="BodyText"/>
      </w:pPr>
      <w:r w:rsidRPr="00370818">
        <w:t>The statistics in this report may be subject to rounding, resulting in a total of more or less than 100 per cent.</w:t>
      </w:r>
    </w:p>
    <w:p w14:paraId="1D2EC585" w14:textId="6D329002" w:rsidR="00E66A5C" w:rsidRPr="00370818" w:rsidRDefault="00E66A5C" w:rsidP="003E611C">
      <w:pPr>
        <w:pStyle w:val="Heading2"/>
      </w:pPr>
      <w:r w:rsidRPr="00370818">
        <w:t>Question 1</w:t>
      </w:r>
    </w:p>
    <w:tbl>
      <w:tblPr>
        <w:tblW w:w="46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621"/>
        <w:gridCol w:w="621"/>
        <w:gridCol w:w="621"/>
        <w:gridCol w:w="621"/>
        <w:gridCol w:w="620"/>
        <w:gridCol w:w="620"/>
        <w:gridCol w:w="907"/>
      </w:tblGrid>
      <w:tr w:rsidR="00742C80" w:rsidRPr="00370818" w14:paraId="57913629" w14:textId="77777777" w:rsidTr="0053499B">
        <w:trPr>
          <w:tblHeader/>
        </w:trPr>
        <w:tc>
          <w:tcPr>
            <w:tcW w:w="621" w:type="dxa"/>
            <w:shd w:val="clear" w:color="auto" w:fill="0F7EB4"/>
          </w:tcPr>
          <w:p w14:paraId="58E6FAAE" w14:textId="03F7B9FD" w:rsidR="00742C80" w:rsidRPr="00370818" w:rsidRDefault="00742C80" w:rsidP="0053499B">
            <w:pPr>
              <w:pStyle w:val="Tablecondensedheading"/>
              <w:rPr>
                <w:lang w:val="en-AU"/>
              </w:rPr>
            </w:pPr>
            <w:r w:rsidRPr="00370818">
              <w:rPr>
                <w:lang w:val="en-AU"/>
              </w:rPr>
              <w:t>Mark</w:t>
            </w:r>
          </w:p>
        </w:tc>
        <w:tc>
          <w:tcPr>
            <w:tcW w:w="621" w:type="dxa"/>
            <w:shd w:val="clear" w:color="auto" w:fill="0F7EB4"/>
          </w:tcPr>
          <w:p w14:paraId="302BB9F5" w14:textId="77777777" w:rsidR="00742C80" w:rsidRPr="00370818" w:rsidRDefault="00742C80" w:rsidP="0053499B">
            <w:pPr>
              <w:pStyle w:val="Tablecondensedheading"/>
              <w:rPr>
                <w:lang w:val="en-AU"/>
              </w:rPr>
            </w:pPr>
            <w:r w:rsidRPr="00370818">
              <w:rPr>
                <w:lang w:val="en-AU"/>
              </w:rPr>
              <w:t>0</w:t>
            </w:r>
          </w:p>
        </w:tc>
        <w:tc>
          <w:tcPr>
            <w:tcW w:w="621" w:type="dxa"/>
            <w:shd w:val="clear" w:color="auto" w:fill="0F7EB4"/>
          </w:tcPr>
          <w:p w14:paraId="1889B031" w14:textId="77777777" w:rsidR="00742C80" w:rsidRPr="00370818" w:rsidRDefault="00742C80" w:rsidP="0053499B">
            <w:pPr>
              <w:pStyle w:val="Tablecondensedheading"/>
              <w:rPr>
                <w:lang w:val="en-AU"/>
              </w:rPr>
            </w:pPr>
            <w:r w:rsidRPr="00370818">
              <w:rPr>
                <w:lang w:val="en-AU"/>
              </w:rPr>
              <w:t>1</w:t>
            </w:r>
          </w:p>
        </w:tc>
        <w:tc>
          <w:tcPr>
            <w:tcW w:w="621" w:type="dxa"/>
            <w:shd w:val="clear" w:color="auto" w:fill="0F7EB4"/>
          </w:tcPr>
          <w:p w14:paraId="75390683" w14:textId="77777777" w:rsidR="00742C80" w:rsidRPr="00370818" w:rsidRDefault="00742C80" w:rsidP="0053499B">
            <w:pPr>
              <w:pStyle w:val="Tablecondensedheading"/>
              <w:rPr>
                <w:lang w:val="en-AU"/>
              </w:rPr>
            </w:pPr>
            <w:r w:rsidRPr="00370818">
              <w:rPr>
                <w:lang w:val="en-AU"/>
              </w:rPr>
              <w:t>2</w:t>
            </w:r>
          </w:p>
        </w:tc>
        <w:tc>
          <w:tcPr>
            <w:tcW w:w="620" w:type="dxa"/>
            <w:shd w:val="clear" w:color="auto" w:fill="0F7EB4"/>
          </w:tcPr>
          <w:p w14:paraId="27BBD111" w14:textId="77777777" w:rsidR="00742C80" w:rsidRPr="00370818" w:rsidRDefault="00742C80" w:rsidP="0053499B">
            <w:pPr>
              <w:pStyle w:val="Tablecondensedheading"/>
              <w:rPr>
                <w:lang w:val="en-AU"/>
              </w:rPr>
            </w:pPr>
            <w:r w:rsidRPr="00370818">
              <w:rPr>
                <w:lang w:val="en-AU"/>
              </w:rPr>
              <w:t>3</w:t>
            </w:r>
          </w:p>
        </w:tc>
        <w:tc>
          <w:tcPr>
            <w:tcW w:w="620" w:type="dxa"/>
            <w:shd w:val="clear" w:color="auto" w:fill="0F7EB4"/>
          </w:tcPr>
          <w:p w14:paraId="6B504E38" w14:textId="77777777" w:rsidR="00742C80" w:rsidRPr="00370818" w:rsidRDefault="00742C80" w:rsidP="0053499B">
            <w:pPr>
              <w:pStyle w:val="Tablecondensedheading"/>
              <w:rPr>
                <w:lang w:val="en-AU"/>
              </w:rPr>
            </w:pPr>
            <w:r w:rsidRPr="00370818">
              <w:rPr>
                <w:lang w:val="en-AU"/>
              </w:rPr>
              <w:t>4</w:t>
            </w:r>
          </w:p>
        </w:tc>
        <w:tc>
          <w:tcPr>
            <w:tcW w:w="907" w:type="dxa"/>
            <w:shd w:val="clear" w:color="auto" w:fill="0F7EB4"/>
          </w:tcPr>
          <w:p w14:paraId="02D59A68" w14:textId="77777777" w:rsidR="00742C80" w:rsidRPr="00370818" w:rsidRDefault="00742C80" w:rsidP="0053499B">
            <w:pPr>
              <w:pStyle w:val="Tablecondensedheading"/>
              <w:rPr>
                <w:lang w:val="en-AU"/>
              </w:rPr>
            </w:pPr>
            <w:r w:rsidRPr="00370818">
              <w:rPr>
                <w:lang w:val="en-AU"/>
              </w:rPr>
              <w:t>Average</w:t>
            </w:r>
          </w:p>
        </w:tc>
      </w:tr>
      <w:tr w:rsidR="00742C80" w:rsidRPr="00370818" w14:paraId="43881E19" w14:textId="77777777" w:rsidTr="0053499B">
        <w:tc>
          <w:tcPr>
            <w:tcW w:w="621" w:type="dxa"/>
          </w:tcPr>
          <w:p w14:paraId="78D7AD71" w14:textId="77777777" w:rsidR="00742C80" w:rsidRPr="00370818" w:rsidRDefault="00742C80" w:rsidP="00742C80">
            <w:pPr>
              <w:pStyle w:val="Tablecondensed"/>
              <w:rPr>
                <w:lang w:val="en-AU"/>
              </w:rPr>
            </w:pPr>
            <w:r w:rsidRPr="00370818">
              <w:rPr>
                <w:lang w:val="en-AU"/>
              </w:rPr>
              <w:t>%</w:t>
            </w:r>
          </w:p>
        </w:tc>
        <w:tc>
          <w:tcPr>
            <w:tcW w:w="621" w:type="dxa"/>
          </w:tcPr>
          <w:p w14:paraId="0525C423" w14:textId="3A1D7812" w:rsidR="00742C80" w:rsidRPr="00370818" w:rsidRDefault="00742C80" w:rsidP="00742C80">
            <w:pPr>
              <w:pStyle w:val="Tablecondensed"/>
              <w:rPr>
                <w:lang w:val="en-AU"/>
              </w:rPr>
            </w:pPr>
            <w:r w:rsidRPr="00370818">
              <w:rPr>
                <w:lang w:val="en-AU"/>
              </w:rPr>
              <w:t>2</w:t>
            </w:r>
          </w:p>
        </w:tc>
        <w:tc>
          <w:tcPr>
            <w:tcW w:w="621" w:type="dxa"/>
          </w:tcPr>
          <w:p w14:paraId="14E21E67" w14:textId="282ABB96" w:rsidR="00742C80" w:rsidRPr="00370818" w:rsidRDefault="00742C80" w:rsidP="00742C80">
            <w:pPr>
              <w:pStyle w:val="Tablecondensed"/>
              <w:rPr>
                <w:lang w:val="en-AU"/>
              </w:rPr>
            </w:pPr>
            <w:r w:rsidRPr="00370818">
              <w:rPr>
                <w:lang w:val="en-AU"/>
              </w:rPr>
              <w:t>14</w:t>
            </w:r>
          </w:p>
        </w:tc>
        <w:tc>
          <w:tcPr>
            <w:tcW w:w="621" w:type="dxa"/>
          </w:tcPr>
          <w:p w14:paraId="41B504EC" w14:textId="4D3A05A0" w:rsidR="00742C80" w:rsidRPr="00370818" w:rsidRDefault="00742C80" w:rsidP="00742C80">
            <w:pPr>
              <w:pStyle w:val="Tablecondensed"/>
              <w:rPr>
                <w:lang w:val="en-AU"/>
              </w:rPr>
            </w:pPr>
            <w:r w:rsidRPr="00370818">
              <w:rPr>
                <w:lang w:val="en-AU"/>
              </w:rPr>
              <w:t>37</w:t>
            </w:r>
          </w:p>
        </w:tc>
        <w:tc>
          <w:tcPr>
            <w:tcW w:w="620" w:type="dxa"/>
          </w:tcPr>
          <w:p w14:paraId="588AB1B7" w14:textId="200141FA" w:rsidR="00742C80" w:rsidRPr="00370818" w:rsidRDefault="00742C80" w:rsidP="00742C80">
            <w:pPr>
              <w:pStyle w:val="Tablecondensed"/>
              <w:rPr>
                <w:lang w:val="en-AU"/>
              </w:rPr>
            </w:pPr>
            <w:r w:rsidRPr="00370818">
              <w:rPr>
                <w:lang w:val="en-AU"/>
              </w:rPr>
              <w:t>36</w:t>
            </w:r>
          </w:p>
        </w:tc>
        <w:tc>
          <w:tcPr>
            <w:tcW w:w="620" w:type="dxa"/>
          </w:tcPr>
          <w:p w14:paraId="5BD0AD78" w14:textId="7DD0E5E5" w:rsidR="00742C80" w:rsidRPr="00370818" w:rsidRDefault="00742C80" w:rsidP="00742C80">
            <w:pPr>
              <w:pStyle w:val="Tablecondensed"/>
              <w:rPr>
                <w:lang w:val="en-AU"/>
              </w:rPr>
            </w:pPr>
            <w:r w:rsidRPr="00370818">
              <w:rPr>
                <w:lang w:val="en-AU"/>
              </w:rPr>
              <w:t>11</w:t>
            </w:r>
          </w:p>
        </w:tc>
        <w:tc>
          <w:tcPr>
            <w:tcW w:w="907" w:type="dxa"/>
          </w:tcPr>
          <w:p w14:paraId="6F9BB553" w14:textId="2390E47F" w:rsidR="00742C80" w:rsidRPr="00370818" w:rsidRDefault="00742C80" w:rsidP="00742C80">
            <w:pPr>
              <w:pStyle w:val="Tablecondensed"/>
              <w:rPr>
                <w:lang w:val="en-AU"/>
              </w:rPr>
            </w:pPr>
            <w:r w:rsidRPr="00370818">
              <w:rPr>
                <w:lang w:val="en-AU"/>
              </w:rPr>
              <w:t>2.4</w:t>
            </w:r>
          </w:p>
        </w:tc>
      </w:tr>
    </w:tbl>
    <w:p w14:paraId="72C581CA" w14:textId="5710343C" w:rsidR="00930C0E" w:rsidRPr="00370818" w:rsidRDefault="001A185B" w:rsidP="00C971E2">
      <w:pPr>
        <w:pStyle w:val="BodyText"/>
      </w:pPr>
      <w:r w:rsidRPr="00370818">
        <w:t xml:space="preserve">This </w:t>
      </w:r>
      <w:r w:rsidR="00930C0E" w:rsidRPr="00370818">
        <w:t xml:space="preserve">question required a description of how </w:t>
      </w:r>
      <w:r w:rsidR="00930C0E" w:rsidRPr="00370818">
        <w:rPr>
          <w:b/>
          <w:bCs/>
        </w:rPr>
        <w:t xml:space="preserve">tone </w:t>
      </w:r>
      <w:r w:rsidR="00930C0E" w:rsidRPr="00370818">
        <w:t xml:space="preserve">was used, with most students able to recognise light and dark areas and establish in what way it had been used in their response. </w:t>
      </w:r>
      <w:r w:rsidRPr="00370818">
        <w:t>R</w:t>
      </w:r>
      <w:r w:rsidR="00930C0E" w:rsidRPr="00370818">
        <w:t xml:space="preserve">esponses </w:t>
      </w:r>
      <w:r w:rsidRPr="00370818">
        <w:t xml:space="preserve">that scored highly </w:t>
      </w:r>
      <w:r w:rsidR="00930C0E" w:rsidRPr="00370818">
        <w:t>moved beyond simple identification, using adjectives to describe tonal qualities and linking these to visual effects such as balance, emphasis or depth. These students showed that tone is not only a technical device</w:t>
      </w:r>
      <w:r w:rsidR="00AB2D87" w:rsidRPr="00370818">
        <w:t>,</w:t>
      </w:r>
      <w:r w:rsidR="00930C0E" w:rsidRPr="00370818">
        <w:t xml:space="preserve"> but also an expressive tool, shaping mood and spatial qualities within the print.</w:t>
      </w:r>
    </w:p>
    <w:p w14:paraId="1E1117CC" w14:textId="5BB5A3F1" w:rsidR="00930C0E" w:rsidRPr="00370818" w:rsidRDefault="001A185B" w:rsidP="00C971E2">
      <w:pPr>
        <w:pStyle w:val="BodyText"/>
      </w:pPr>
      <w:r w:rsidRPr="00370818">
        <w:t>R</w:t>
      </w:r>
      <w:r w:rsidR="00930C0E" w:rsidRPr="00370818">
        <w:t xml:space="preserve">esponses </w:t>
      </w:r>
      <w:r w:rsidRPr="00370818">
        <w:t xml:space="preserve">that did not score well </w:t>
      </w:r>
      <w:r w:rsidR="00930C0E" w:rsidRPr="00370818">
        <w:t xml:space="preserve">tended to list tonal contrasts without providing detail about their appearance, showing a limited ability to describe how tone contributes to visual language. </w:t>
      </w:r>
      <w:r w:rsidR="00AB2D87" w:rsidRPr="00370818">
        <w:t>S</w:t>
      </w:r>
      <w:r w:rsidR="00930C0E" w:rsidRPr="00370818">
        <w:t xml:space="preserve">tudents are expected to provide clear, detailed accounts of what they see and </w:t>
      </w:r>
      <w:r w:rsidR="00AB2D87" w:rsidRPr="00370818">
        <w:t xml:space="preserve">describing </w:t>
      </w:r>
      <w:r w:rsidR="00930C0E" w:rsidRPr="00370818">
        <w:t>how it appears to the viewer. To reach full marks, responses should reference specific areas of the artwork, use precise art terminology, and connect tonal variation to principles such as harmony or contrast. Consistent practice with descriptive vocabulary and short descriptive writing tasks will help students build confidence and accuracy in their responses.</w:t>
      </w:r>
    </w:p>
    <w:p w14:paraId="132B8B44" w14:textId="77777777" w:rsidR="003E611C" w:rsidRPr="00370818" w:rsidRDefault="00930C0E" w:rsidP="003E611C">
      <w:pPr>
        <w:pStyle w:val="BodyText"/>
      </w:pPr>
      <w:r w:rsidRPr="00370818">
        <w:t>Students are reminded that the legibility of handwriting is of critical importance in examination settings</w:t>
      </w:r>
      <w:r w:rsidR="005C198E" w:rsidRPr="00370818">
        <w:t>, and practice in such settings is recommended</w:t>
      </w:r>
      <w:r w:rsidR="0084261C" w:rsidRPr="00370818">
        <w:t>.</w:t>
      </w:r>
    </w:p>
    <w:p w14:paraId="02B19B15" w14:textId="2A8A354D" w:rsidR="00C72140" w:rsidRPr="00370818" w:rsidRDefault="00154348" w:rsidP="003E611C">
      <w:pPr>
        <w:pStyle w:val="BodyText"/>
        <w:rPr>
          <w:rFonts w:eastAsia="Times New Roman"/>
        </w:rPr>
      </w:pPr>
      <w:r w:rsidRPr="00370818">
        <w:t>The following is an example of a high-scoring response.</w:t>
      </w:r>
    </w:p>
    <w:p w14:paraId="52706187" w14:textId="5695232D" w:rsidR="00C72140" w:rsidRPr="00370818" w:rsidRDefault="00C72140" w:rsidP="00C971E2">
      <w:pPr>
        <w:pStyle w:val="Studentresponse"/>
      </w:pPr>
      <w:proofErr w:type="spellStart"/>
      <w:r w:rsidRPr="00370818">
        <w:t>Luccio</w:t>
      </w:r>
      <w:proofErr w:type="spellEnd"/>
      <w:r w:rsidRPr="00370818">
        <w:t xml:space="preserve"> has used a harsh difference between the highlights and shadows of the work for a wide tonal range. The use of deep blacks to portray intricate linework contrasts the white negative space illustrating the shapes of the trains, pipes and industrial setting. The dark tones add a sense of seriousness and intensity due to the impactful nature of stark lines. Moreover, the deep tones form a sketch appearance ranging in tonal value creating implied texture in the work</w:t>
      </w:r>
      <w:r w:rsidR="00806D1F" w:rsidRPr="00370818">
        <w:t xml:space="preserve"> –</w:t>
      </w:r>
      <w:r w:rsidRPr="00370818">
        <w:t xml:space="preserve"> the tone shift also contributes to movement.</w:t>
      </w:r>
    </w:p>
    <w:p w14:paraId="35CACCA2" w14:textId="77777777" w:rsidR="005D3D4E" w:rsidRPr="00370818" w:rsidRDefault="005D3D4E">
      <w:pPr>
        <w:spacing w:line="276" w:lineRule="auto"/>
        <w:rPr>
          <w:rFonts w:ascii="Arial" w:hAnsi="Arial" w:cs="Arial"/>
          <w:color w:val="0F7EB4"/>
          <w:sz w:val="28"/>
          <w:lang w:val="en-AU" w:eastAsia="en-AU"/>
        </w:rPr>
      </w:pPr>
      <w:r w:rsidRPr="00370818">
        <w:rPr>
          <w:lang w:val="en-AU"/>
        </w:rPr>
        <w:br w:type="page"/>
      </w:r>
    </w:p>
    <w:p w14:paraId="55A739E4" w14:textId="4EDAAA79" w:rsidR="00E66A5C" w:rsidRPr="00370818" w:rsidRDefault="00E66A5C" w:rsidP="003E611C">
      <w:pPr>
        <w:pStyle w:val="Heading2"/>
        <w:rPr>
          <w:rFonts w:ascii="Times New Roman" w:eastAsia="Times New Roman" w:hAnsi="Times New Roman" w:cs="Times New Roman"/>
          <w:sz w:val="20"/>
          <w:szCs w:val="20"/>
          <w:lang w:eastAsia="en-GB"/>
        </w:rPr>
      </w:pPr>
      <w:r w:rsidRPr="00370818">
        <w:lastRenderedPageBreak/>
        <w:t>Question 2</w:t>
      </w:r>
    </w:p>
    <w:tbl>
      <w:tblPr>
        <w:tblW w:w="46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621"/>
        <w:gridCol w:w="621"/>
        <w:gridCol w:w="621"/>
        <w:gridCol w:w="621"/>
        <w:gridCol w:w="620"/>
        <w:gridCol w:w="620"/>
        <w:gridCol w:w="907"/>
      </w:tblGrid>
      <w:tr w:rsidR="00742C80" w:rsidRPr="00370818" w14:paraId="48AE2B7C" w14:textId="77777777" w:rsidTr="0053499B">
        <w:trPr>
          <w:tblHeader/>
        </w:trPr>
        <w:tc>
          <w:tcPr>
            <w:tcW w:w="621" w:type="dxa"/>
            <w:shd w:val="clear" w:color="auto" w:fill="0F7EB4"/>
          </w:tcPr>
          <w:p w14:paraId="4BA5F045" w14:textId="77777777" w:rsidR="00742C80" w:rsidRPr="00370818" w:rsidRDefault="00742C80" w:rsidP="0053499B">
            <w:pPr>
              <w:pStyle w:val="Tablecondensedheading"/>
              <w:rPr>
                <w:lang w:val="en-AU"/>
              </w:rPr>
            </w:pPr>
            <w:r w:rsidRPr="00370818">
              <w:rPr>
                <w:lang w:val="en-AU"/>
              </w:rPr>
              <w:t>Mark</w:t>
            </w:r>
          </w:p>
        </w:tc>
        <w:tc>
          <w:tcPr>
            <w:tcW w:w="621" w:type="dxa"/>
            <w:shd w:val="clear" w:color="auto" w:fill="0F7EB4"/>
          </w:tcPr>
          <w:p w14:paraId="37FF5392" w14:textId="77777777" w:rsidR="00742C80" w:rsidRPr="00370818" w:rsidRDefault="00742C80" w:rsidP="0053499B">
            <w:pPr>
              <w:pStyle w:val="Tablecondensedheading"/>
              <w:rPr>
                <w:lang w:val="en-AU"/>
              </w:rPr>
            </w:pPr>
            <w:r w:rsidRPr="00370818">
              <w:rPr>
                <w:lang w:val="en-AU"/>
              </w:rPr>
              <w:t>0</w:t>
            </w:r>
          </w:p>
        </w:tc>
        <w:tc>
          <w:tcPr>
            <w:tcW w:w="621" w:type="dxa"/>
            <w:shd w:val="clear" w:color="auto" w:fill="0F7EB4"/>
          </w:tcPr>
          <w:p w14:paraId="5935CCF9" w14:textId="77777777" w:rsidR="00742C80" w:rsidRPr="00370818" w:rsidRDefault="00742C80" w:rsidP="0053499B">
            <w:pPr>
              <w:pStyle w:val="Tablecondensedheading"/>
              <w:rPr>
                <w:lang w:val="en-AU"/>
              </w:rPr>
            </w:pPr>
            <w:r w:rsidRPr="00370818">
              <w:rPr>
                <w:lang w:val="en-AU"/>
              </w:rPr>
              <w:t>1</w:t>
            </w:r>
          </w:p>
        </w:tc>
        <w:tc>
          <w:tcPr>
            <w:tcW w:w="621" w:type="dxa"/>
            <w:shd w:val="clear" w:color="auto" w:fill="0F7EB4"/>
          </w:tcPr>
          <w:p w14:paraId="00054A7F" w14:textId="77777777" w:rsidR="00742C80" w:rsidRPr="00370818" w:rsidRDefault="00742C80" w:rsidP="0053499B">
            <w:pPr>
              <w:pStyle w:val="Tablecondensedheading"/>
              <w:rPr>
                <w:lang w:val="en-AU"/>
              </w:rPr>
            </w:pPr>
            <w:r w:rsidRPr="00370818">
              <w:rPr>
                <w:lang w:val="en-AU"/>
              </w:rPr>
              <w:t>2</w:t>
            </w:r>
          </w:p>
        </w:tc>
        <w:tc>
          <w:tcPr>
            <w:tcW w:w="620" w:type="dxa"/>
            <w:shd w:val="clear" w:color="auto" w:fill="0F7EB4"/>
          </w:tcPr>
          <w:p w14:paraId="66079C09" w14:textId="77777777" w:rsidR="00742C80" w:rsidRPr="00370818" w:rsidRDefault="00742C80" w:rsidP="0053499B">
            <w:pPr>
              <w:pStyle w:val="Tablecondensedheading"/>
              <w:rPr>
                <w:lang w:val="en-AU"/>
              </w:rPr>
            </w:pPr>
            <w:r w:rsidRPr="00370818">
              <w:rPr>
                <w:lang w:val="en-AU"/>
              </w:rPr>
              <w:t>3</w:t>
            </w:r>
          </w:p>
        </w:tc>
        <w:tc>
          <w:tcPr>
            <w:tcW w:w="620" w:type="dxa"/>
            <w:shd w:val="clear" w:color="auto" w:fill="0F7EB4"/>
          </w:tcPr>
          <w:p w14:paraId="4CFA046C" w14:textId="77777777" w:rsidR="00742C80" w:rsidRPr="00370818" w:rsidRDefault="00742C80" w:rsidP="0053499B">
            <w:pPr>
              <w:pStyle w:val="Tablecondensedheading"/>
              <w:rPr>
                <w:lang w:val="en-AU"/>
              </w:rPr>
            </w:pPr>
            <w:r w:rsidRPr="00370818">
              <w:rPr>
                <w:lang w:val="en-AU"/>
              </w:rPr>
              <w:t>4</w:t>
            </w:r>
          </w:p>
        </w:tc>
        <w:tc>
          <w:tcPr>
            <w:tcW w:w="907" w:type="dxa"/>
            <w:shd w:val="clear" w:color="auto" w:fill="0F7EB4"/>
          </w:tcPr>
          <w:p w14:paraId="2E88944D" w14:textId="77777777" w:rsidR="00742C80" w:rsidRPr="00370818" w:rsidRDefault="00742C80" w:rsidP="0053499B">
            <w:pPr>
              <w:pStyle w:val="Tablecondensedheading"/>
              <w:rPr>
                <w:lang w:val="en-AU"/>
              </w:rPr>
            </w:pPr>
            <w:r w:rsidRPr="00370818">
              <w:rPr>
                <w:lang w:val="en-AU"/>
              </w:rPr>
              <w:t>Average</w:t>
            </w:r>
          </w:p>
        </w:tc>
      </w:tr>
      <w:tr w:rsidR="00742C80" w:rsidRPr="00370818" w14:paraId="04B246C5" w14:textId="77777777" w:rsidTr="0053499B">
        <w:tc>
          <w:tcPr>
            <w:tcW w:w="621" w:type="dxa"/>
          </w:tcPr>
          <w:p w14:paraId="5CC701E5" w14:textId="77777777" w:rsidR="00742C80" w:rsidRPr="00370818" w:rsidRDefault="00742C80" w:rsidP="00742C80">
            <w:pPr>
              <w:pStyle w:val="Tablecondensed"/>
              <w:rPr>
                <w:lang w:val="en-AU"/>
              </w:rPr>
            </w:pPr>
            <w:r w:rsidRPr="00370818">
              <w:rPr>
                <w:lang w:val="en-AU"/>
              </w:rPr>
              <w:t>%</w:t>
            </w:r>
          </w:p>
        </w:tc>
        <w:tc>
          <w:tcPr>
            <w:tcW w:w="621" w:type="dxa"/>
          </w:tcPr>
          <w:p w14:paraId="59A0A3D4" w14:textId="089C18FB" w:rsidR="00742C80" w:rsidRPr="00370818" w:rsidRDefault="00742C80" w:rsidP="00742C80">
            <w:pPr>
              <w:pStyle w:val="Tablecondensed"/>
              <w:rPr>
                <w:lang w:val="en-AU"/>
              </w:rPr>
            </w:pPr>
            <w:r w:rsidRPr="00370818">
              <w:rPr>
                <w:lang w:val="en-AU"/>
              </w:rPr>
              <w:t>2</w:t>
            </w:r>
          </w:p>
        </w:tc>
        <w:tc>
          <w:tcPr>
            <w:tcW w:w="621" w:type="dxa"/>
          </w:tcPr>
          <w:p w14:paraId="02B9DC9A" w14:textId="5F79ABB3" w:rsidR="00742C80" w:rsidRPr="00370818" w:rsidRDefault="00742C80" w:rsidP="00742C80">
            <w:pPr>
              <w:pStyle w:val="Tablecondensed"/>
              <w:rPr>
                <w:lang w:val="en-AU"/>
              </w:rPr>
            </w:pPr>
            <w:r w:rsidRPr="00370818">
              <w:rPr>
                <w:lang w:val="en-AU"/>
              </w:rPr>
              <w:t>15</w:t>
            </w:r>
          </w:p>
        </w:tc>
        <w:tc>
          <w:tcPr>
            <w:tcW w:w="621" w:type="dxa"/>
          </w:tcPr>
          <w:p w14:paraId="2F50B898" w14:textId="3C784337" w:rsidR="00742C80" w:rsidRPr="00370818" w:rsidRDefault="00742C80" w:rsidP="00742C80">
            <w:pPr>
              <w:pStyle w:val="Tablecondensed"/>
              <w:rPr>
                <w:lang w:val="en-AU"/>
              </w:rPr>
            </w:pPr>
            <w:r w:rsidRPr="00370818">
              <w:rPr>
                <w:lang w:val="en-AU"/>
              </w:rPr>
              <w:t>44</w:t>
            </w:r>
          </w:p>
        </w:tc>
        <w:tc>
          <w:tcPr>
            <w:tcW w:w="620" w:type="dxa"/>
          </w:tcPr>
          <w:p w14:paraId="46C65EFC" w14:textId="53D88353" w:rsidR="00742C80" w:rsidRPr="00370818" w:rsidRDefault="00742C80" w:rsidP="00742C80">
            <w:pPr>
              <w:pStyle w:val="Tablecondensed"/>
              <w:rPr>
                <w:lang w:val="en-AU"/>
              </w:rPr>
            </w:pPr>
            <w:r w:rsidRPr="00370818">
              <w:rPr>
                <w:lang w:val="en-AU"/>
              </w:rPr>
              <w:t>31</w:t>
            </w:r>
          </w:p>
        </w:tc>
        <w:tc>
          <w:tcPr>
            <w:tcW w:w="620" w:type="dxa"/>
          </w:tcPr>
          <w:p w14:paraId="4336CA21" w14:textId="1DAC506F" w:rsidR="00742C80" w:rsidRPr="00370818" w:rsidRDefault="00742C80" w:rsidP="00742C80">
            <w:pPr>
              <w:pStyle w:val="Tablecondensed"/>
              <w:rPr>
                <w:lang w:val="en-AU"/>
              </w:rPr>
            </w:pPr>
            <w:r w:rsidRPr="00370818">
              <w:rPr>
                <w:lang w:val="en-AU"/>
              </w:rPr>
              <w:t>8</w:t>
            </w:r>
          </w:p>
        </w:tc>
        <w:tc>
          <w:tcPr>
            <w:tcW w:w="907" w:type="dxa"/>
          </w:tcPr>
          <w:p w14:paraId="27F53300" w14:textId="46A157E9" w:rsidR="00742C80" w:rsidRPr="00370818" w:rsidRDefault="00742C80" w:rsidP="00742C80">
            <w:pPr>
              <w:pStyle w:val="Tablecondensed"/>
              <w:rPr>
                <w:lang w:val="en-AU"/>
              </w:rPr>
            </w:pPr>
            <w:r w:rsidRPr="00370818">
              <w:rPr>
                <w:lang w:val="en-AU"/>
              </w:rPr>
              <w:t>2.3</w:t>
            </w:r>
          </w:p>
        </w:tc>
      </w:tr>
    </w:tbl>
    <w:p w14:paraId="37D84D46" w14:textId="056F6186" w:rsidR="007B64FE" w:rsidRPr="00370818" w:rsidRDefault="007B64FE" w:rsidP="00C971E2">
      <w:pPr>
        <w:pStyle w:val="BodyText"/>
      </w:pPr>
      <w:r w:rsidRPr="00370818">
        <w:t xml:space="preserve">This question required students to describe space. Most students recognised the vase as the focal point in Ambrosius </w:t>
      </w:r>
      <w:proofErr w:type="spellStart"/>
      <w:r w:rsidRPr="00370818">
        <w:t>Bosschaert’s</w:t>
      </w:r>
      <w:proofErr w:type="spellEnd"/>
      <w:r w:rsidRPr="00370818">
        <w:t> </w:t>
      </w:r>
      <w:r w:rsidRPr="00370818">
        <w:rPr>
          <w:i/>
          <w:iCs/>
        </w:rPr>
        <w:t>Flower Vase in a Window Niche</w:t>
      </w:r>
      <w:r w:rsidRPr="00370818">
        <w:t xml:space="preserve">. However, many responses stopped short of describing how the artist used space to shape the composition. </w:t>
      </w:r>
      <w:r w:rsidR="00AB2D87" w:rsidRPr="00370818">
        <w:t>Responses that scored highly</w:t>
      </w:r>
      <w:r w:rsidRPr="00370818">
        <w:t xml:space="preserve"> gave detailed accounts of the depth created by the window niche and the overlapping flowers, showing how these choices guide the viewer’s eye and build a sense of layering. These responses described that space is not only about placement, but also about how the arrangement leads the viewer into the artwork.</w:t>
      </w:r>
    </w:p>
    <w:p w14:paraId="001935D3" w14:textId="20CDC9F1" w:rsidR="007B64FE" w:rsidRPr="00370818" w:rsidRDefault="00AB2D87" w:rsidP="00C971E2">
      <w:pPr>
        <w:pStyle w:val="BodyText"/>
      </w:pPr>
      <w:r w:rsidRPr="00370818">
        <w:t>Reponses that did not score well</w:t>
      </w:r>
      <w:r w:rsidR="007B64FE" w:rsidRPr="00370818">
        <w:t xml:space="preserve"> tended to identify the vase without describing spatial relationships or perspective. </w:t>
      </w:r>
      <w:r w:rsidR="0084261C" w:rsidRPr="00370818">
        <w:t>S</w:t>
      </w:r>
      <w:r w:rsidR="007B64FE" w:rsidRPr="00370818">
        <w:t>tudents are expected to</w:t>
      </w:r>
      <w:r w:rsidR="0084261C" w:rsidRPr="00370818">
        <w:t xml:space="preserve"> describe how space appears</w:t>
      </w:r>
      <w:r w:rsidR="007B64FE" w:rsidRPr="00370818">
        <w:t xml:space="preserve"> us</w:t>
      </w:r>
      <w:r w:rsidR="0084261C" w:rsidRPr="00370818">
        <w:t>ing</w:t>
      </w:r>
      <w:r w:rsidR="007B64FE" w:rsidRPr="00370818">
        <w:t xml:space="preserve"> clear adjectives and synonyms such as layered, recessed, balanced or crowded</w:t>
      </w:r>
      <w:r w:rsidR="0084261C" w:rsidRPr="00370818">
        <w:t>.</w:t>
      </w:r>
      <w:r w:rsidR="007B64FE" w:rsidRPr="00370818">
        <w:t xml:space="preserve"> Importantly, students should also note how space affects the viewer: the niche frames the vase to create focus, overlapping petals add richness and abundance, and the depth of the recess invites the viewer to look beyond the surface. To reach full marks, responses should reference specific features and use precise art terminology to connect spatial description to the composition and the viewer’s experience.</w:t>
      </w:r>
    </w:p>
    <w:p w14:paraId="3F2B7778" w14:textId="77777777" w:rsidR="003E611C" w:rsidRPr="00370818" w:rsidRDefault="00154348" w:rsidP="003E611C">
      <w:pPr>
        <w:pStyle w:val="BodyText"/>
      </w:pPr>
      <w:r w:rsidRPr="00370818">
        <w:t>The following is an example of a high-scoring response.</w:t>
      </w:r>
    </w:p>
    <w:p w14:paraId="1F7E8D57" w14:textId="11C8E457" w:rsidR="00C85802" w:rsidRPr="00370818" w:rsidRDefault="00383BBB" w:rsidP="00C971E2">
      <w:pPr>
        <w:pStyle w:val="Studentresponse"/>
        <w:rPr>
          <w:rFonts w:eastAsia="Times New Roman"/>
          <w:lang w:eastAsia="en-GB"/>
        </w:rPr>
      </w:pPr>
      <w:proofErr w:type="spellStart"/>
      <w:r w:rsidRPr="00370818">
        <w:t>Bosschaert</w:t>
      </w:r>
      <w:proofErr w:type="spellEnd"/>
      <w:r w:rsidRPr="00370818">
        <w:t xml:space="preserve"> has utilised a minimal negative space by employing fine detail in the flowers. The scale of the flower bouquet in comparison to the </w:t>
      </w:r>
      <w:proofErr w:type="gramStart"/>
      <w:r w:rsidRPr="00370818">
        <w:t>window sill</w:t>
      </w:r>
      <w:proofErr w:type="gramEnd"/>
      <w:r w:rsidRPr="00370818">
        <w:t xml:space="preserve"> evokes a busy and chaotic atmosphere. However, the high detail and lack of negative space in the </w:t>
      </w:r>
      <w:proofErr w:type="gramStart"/>
      <w:r w:rsidRPr="00370818">
        <w:t>window sill</w:t>
      </w:r>
      <w:proofErr w:type="gramEnd"/>
      <w:r w:rsidRPr="00370818">
        <w:t xml:space="preserve"> enhance the perspective of distance in the background of the painting. Furthermore, the high density of the painting </w:t>
      </w:r>
      <w:r w:rsidR="001A2EE2">
        <w:t>encou</w:t>
      </w:r>
      <w:r w:rsidR="001A2EE2" w:rsidRPr="00370818">
        <w:t xml:space="preserve">rages </w:t>
      </w:r>
      <w:r w:rsidRPr="00370818">
        <w:t>the eye of the viewer to move around the painting and observe each individual life of the flowers.</w:t>
      </w:r>
    </w:p>
    <w:p w14:paraId="5561B122" w14:textId="3891DD98" w:rsidR="00E66A5C" w:rsidRPr="00370818" w:rsidRDefault="00E66A5C" w:rsidP="003E611C">
      <w:pPr>
        <w:pStyle w:val="Heading2"/>
      </w:pPr>
      <w:r w:rsidRPr="00370818">
        <w:t>Question 3</w:t>
      </w:r>
    </w:p>
    <w:tbl>
      <w:tblPr>
        <w:tblW w:w="58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621"/>
        <w:gridCol w:w="621"/>
        <w:gridCol w:w="621"/>
        <w:gridCol w:w="621"/>
        <w:gridCol w:w="620"/>
        <w:gridCol w:w="620"/>
        <w:gridCol w:w="620"/>
        <w:gridCol w:w="620"/>
        <w:gridCol w:w="907"/>
      </w:tblGrid>
      <w:tr w:rsidR="00742C80" w:rsidRPr="00370818" w14:paraId="3B73CF06" w14:textId="77777777" w:rsidTr="0053499B">
        <w:trPr>
          <w:tblHeader/>
        </w:trPr>
        <w:tc>
          <w:tcPr>
            <w:tcW w:w="621" w:type="dxa"/>
            <w:shd w:val="clear" w:color="auto" w:fill="0F7EB4"/>
          </w:tcPr>
          <w:p w14:paraId="29985A12" w14:textId="77777777" w:rsidR="00742C80" w:rsidRPr="00370818" w:rsidRDefault="00742C80" w:rsidP="0053499B">
            <w:pPr>
              <w:pStyle w:val="Tablecondensedheading"/>
              <w:rPr>
                <w:lang w:val="en-AU"/>
              </w:rPr>
            </w:pPr>
            <w:r w:rsidRPr="00370818">
              <w:rPr>
                <w:lang w:val="en-AU"/>
              </w:rPr>
              <w:t>Mark</w:t>
            </w:r>
          </w:p>
        </w:tc>
        <w:tc>
          <w:tcPr>
            <w:tcW w:w="621" w:type="dxa"/>
            <w:shd w:val="clear" w:color="auto" w:fill="0F7EB4"/>
          </w:tcPr>
          <w:p w14:paraId="54C43D8E" w14:textId="77777777" w:rsidR="00742C80" w:rsidRPr="00370818" w:rsidRDefault="00742C80" w:rsidP="0053499B">
            <w:pPr>
              <w:pStyle w:val="Tablecondensedheading"/>
              <w:rPr>
                <w:lang w:val="en-AU"/>
              </w:rPr>
            </w:pPr>
            <w:r w:rsidRPr="00370818">
              <w:rPr>
                <w:lang w:val="en-AU"/>
              </w:rPr>
              <w:t>0</w:t>
            </w:r>
          </w:p>
        </w:tc>
        <w:tc>
          <w:tcPr>
            <w:tcW w:w="621" w:type="dxa"/>
            <w:shd w:val="clear" w:color="auto" w:fill="0F7EB4"/>
          </w:tcPr>
          <w:p w14:paraId="077A4256" w14:textId="77777777" w:rsidR="00742C80" w:rsidRPr="00370818" w:rsidRDefault="00742C80" w:rsidP="0053499B">
            <w:pPr>
              <w:pStyle w:val="Tablecondensedheading"/>
              <w:rPr>
                <w:lang w:val="en-AU"/>
              </w:rPr>
            </w:pPr>
            <w:r w:rsidRPr="00370818">
              <w:rPr>
                <w:lang w:val="en-AU"/>
              </w:rPr>
              <w:t>1</w:t>
            </w:r>
          </w:p>
        </w:tc>
        <w:tc>
          <w:tcPr>
            <w:tcW w:w="621" w:type="dxa"/>
            <w:shd w:val="clear" w:color="auto" w:fill="0F7EB4"/>
          </w:tcPr>
          <w:p w14:paraId="784F973C" w14:textId="77777777" w:rsidR="00742C80" w:rsidRPr="00370818" w:rsidRDefault="00742C80" w:rsidP="0053499B">
            <w:pPr>
              <w:pStyle w:val="Tablecondensedheading"/>
              <w:rPr>
                <w:lang w:val="en-AU"/>
              </w:rPr>
            </w:pPr>
            <w:r w:rsidRPr="00370818">
              <w:rPr>
                <w:lang w:val="en-AU"/>
              </w:rPr>
              <w:t>2</w:t>
            </w:r>
          </w:p>
        </w:tc>
        <w:tc>
          <w:tcPr>
            <w:tcW w:w="620" w:type="dxa"/>
            <w:shd w:val="clear" w:color="auto" w:fill="0F7EB4"/>
          </w:tcPr>
          <w:p w14:paraId="2069C944" w14:textId="77777777" w:rsidR="00742C80" w:rsidRPr="00370818" w:rsidRDefault="00742C80" w:rsidP="0053499B">
            <w:pPr>
              <w:pStyle w:val="Tablecondensedheading"/>
              <w:rPr>
                <w:lang w:val="en-AU"/>
              </w:rPr>
            </w:pPr>
            <w:r w:rsidRPr="00370818">
              <w:rPr>
                <w:lang w:val="en-AU"/>
              </w:rPr>
              <w:t>3</w:t>
            </w:r>
          </w:p>
        </w:tc>
        <w:tc>
          <w:tcPr>
            <w:tcW w:w="620" w:type="dxa"/>
            <w:shd w:val="clear" w:color="auto" w:fill="0F7EB4"/>
          </w:tcPr>
          <w:p w14:paraId="155B01E8" w14:textId="77777777" w:rsidR="00742C80" w:rsidRPr="00370818" w:rsidRDefault="00742C80" w:rsidP="0053499B">
            <w:pPr>
              <w:pStyle w:val="Tablecondensedheading"/>
              <w:rPr>
                <w:lang w:val="en-AU"/>
              </w:rPr>
            </w:pPr>
            <w:r w:rsidRPr="00370818">
              <w:rPr>
                <w:lang w:val="en-AU"/>
              </w:rPr>
              <w:t>4</w:t>
            </w:r>
          </w:p>
        </w:tc>
        <w:tc>
          <w:tcPr>
            <w:tcW w:w="620" w:type="dxa"/>
            <w:shd w:val="clear" w:color="auto" w:fill="0F7EB4"/>
          </w:tcPr>
          <w:p w14:paraId="5F64F0B4" w14:textId="77777777" w:rsidR="00742C80" w:rsidRPr="00370818" w:rsidRDefault="00742C80" w:rsidP="0053499B">
            <w:pPr>
              <w:pStyle w:val="Tablecondensedheading"/>
              <w:rPr>
                <w:lang w:val="en-AU"/>
              </w:rPr>
            </w:pPr>
            <w:r w:rsidRPr="00370818">
              <w:rPr>
                <w:lang w:val="en-AU"/>
              </w:rPr>
              <w:t>5</w:t>
            </w:r>
          </w:p>
        </w:tc>
        <w:tc>
          <w:tcPr>
            <w:tcW w:w="620" w:type="dxa"/>
            <w:shd w:val="clear" w:color="auto" w:fill="0F7EB4"/>
          </w:tcPr>
          <w:p w14:paraId="3E7317E9" w14:textId="77777777" w:rsidR="00742C80" w:rsidRPr="00370818" w:rsidRDefault="00742C80" w:rsidP="0053499B">
            <w:pPr>
              <w:pStyle w:val="Tablecondensedheading"/>
              <w:rPr>
                <w:lang w:val="en-AU"/>
              </w:rPr>
            </w:pPr>
            <w:r w:rsidRPr="00370818">
              <w:rPr>
                <w:lang w:val="en-AU"/>
              </w:rPr>
              <w:t>6</w:t>
            </w:r>
          </w:p>
        </w:tc>
        <w:tc>
          <w:tcPr>
            <w:tcW w:w="907" w:type="dxa"/>
            <w:shd w:val="clear" w:color="auto" w:fill="0F7EB4"/>
          </w:tcPr>
          <w:p w14:paraId="60691C69" w14:textId="77777777" w:rsidR="00742C80" w:rsidRPr="00370818" w:rsidRDefault="00742C80" w:rsidP="0053499B">
            <w:pPr>
              <w:pStyle w:val="Tablecondensedheading"/>
              <w:rPr>
                <w:lang w:val="en-AU"/>
              </w:rPr>
            </w:pPr>
            <w:r w:rsidRPr="00370818">
              <w:rPr>
                <w:lang w:val="en-AU"/>
              </w:rPr>
              <w:t>Average</w:t>
            </w:r>
          </w:p>
        </w:tc>
      </w:tr>
      <w:tr w:rsidR="00742C80" w:rsidRPr="00370818" w14:paraId="1A12DE79" w14:textId="77777777" w:rsidTr="0053499B">
        <w:tc>
          <w:tcPr>
            <w:tcW w:w="621" w:type="dxa"/>
          </w:tcPr>
          <w:p w14:paraId="64D9DBB7" w14:textId="77777777" w:rsidR="00742C80" w:rsidRPr="00370818" w:rsidRDefault="00742C80" w:rsidP="00742C80">
            <w:pPr>
              <w:pStyle w:val="Tablecondensed"/>
              <w:rPr>
                <w:lang w:val="en-AU"/>
              </w:rPr>
            </w:pPr>
            <w:r w:rsidRPr="00370818">
              <w:rPr>
                <w:lang w:val="en-AU"/>
              </w:rPr>
              <w:t>%</w:t>
            </w:r>
          </w:p>
        </w:tc>
        <w:tc>
          <w:tcPr>
            <w:tcW w:w="621" w:type="dxa"/>
          </w:tcPr>
          <w:p w14:paraId="14CEE0B6" w14:textId="5F535456" w:rsidR="00742C80" w:rsidRPr="00370818" w:rsidRDefault="00742C80" w:rsidP="00742C80">
            <w:pPr>
              <w:pStyle w:val="Tablecondensed"/>
              <w:rPr>
                <w:lang w:val="en-AU"/>
              </w:rPr>
            </w:pPr>
            <w:r w:rsidRPr="00370818">
              <w:rPr>
                <w:lang w:val="en-AU"/>
              </w:rPr>
              <w:t>5</w:t>
            </w:r>
          </w:p>
        </w:tc>
        <w:tc>
          <w:tcPr>
            <w:tcW w:w="621" w:type="dxa"/>
          </w:tcPr>
          <w:p w14:paraId="5F8F68CD" w14:textId="51BCF3B6" w:rsidR="00742C80" w:rsidRPr="00370818" w:rsidRDefault="00742C80" w:rsidP="00742C80">
            <w:pPr>
              <w:pStyle w:val="Tablecondensed"/>
              <w:rPr>
                <w:lang w:val="en-AU"/>
              </w:rPr>
            </w:pPr>
            <w:r w:rsidRPr="00370818">
              <w:rPr>
                <w:lang w:val="en-AU"/>
              </w:rPr>
              <w:t>4</w:t>
            </w:r>
          </w:p>
        </w:tc>
        <w:tc>
          <w:tcPr>
            <w:tcW w:w="621" w:type="dxa"/>
          </w:tcPr>
          <w:p w14:paraId="1BB473A4" w14:textId="66A7DC1B" w:rsidR="00742C80" w:rsidRPr="00370818" w:rsidRDefault="00742C80" w:rsidP="00742C80">
            <w:pPr>
              <w:pStyle w:val="Tablecondensed"/>
              <w:rPr>
                <w:lang w:val="en-AU"/>
              </w:rPr>
            </w:pPr>
            <w:r w:rsidRPr="00370818">
              <w:rPr>
                <w:lang w:val="en-AU"/>
              </w:rPr>
              <w:t>14</w:t>
            </w:r>
          </w:p>
        </w:tc>
        <w:tc>
          <w:tcPr>
            <w:tcW w:w="620" w:type="dxa"/>
          </w:tcPr>
          <w:p w14:paraId="74C51505" w14:textId="205E7DDF" w:rsidR="00742C80" w:rsidRPr="00370818" w:rsidRDefault="00742C80" w:rsidP="00742C80">
            <w:pPr>
              <w:pStyle w:val="Tablecondensed"/>
              <w:rPr>
                <w:lang w:val="en-AU"/>
              </w:rPr>
            </w:pPr>
            <w:r w:rsidRPr="00370818">
              <w:rPr>
                <w:lang w:val="en-AU"/>
              </w:rPr>
              <w:t>34</w:t>
            </w:r>
          </w:p>
        </w:tc>
        <w:tc>
          <w:tcPr>
            <w:tcW w:w="620" w:type="dxa"/>
          </w:tcPr>
          <w:p w14:paraId="47C454BB" w14:textId="459C37C0" w:rsidR="00742C80" w:rsidRPr="00370818" w:rsidRDefault="00742C80" w:rsidP="00742C80">
            <w:pPr>
              <w:pStyle w:val="Tablecondensed"/>
              <w:rPr>
                <w:lang w:val="en-AU"/>
              </w:rPr>
            </w:pPr>
            <w:r w:rsidRPr="00370818">
              <w:rPr>
                <w:lang w:val="en-AU"/>
              </w:rPr>
              <w:t>27</w:t>
            </w:r>
          </w:p>
        </w:tc>
        <w:tc>
          <w:tcPr>
            <w:tcW w:w="620" w:type="dxa"/>
          </w:tcPr>
          <w:p w14:paraId="51F363C6" w14:textId="2CE1DBBC" w:rsidR="00742C80" w:rsidRPr="00370818" w:rsidRDefault="00742C80" w:rsidP="00742C80">
            <w:pPr>
              <w:pStyle w:val="Tablecondensed"/>
              <w:rPr>
                <w:lang w:val="en-AU"/>
              </w:rPr>
            </w:pPr>
            <w:r w:rsidRPr="00370818">
              <w:rPr>
                <w:lang w:val="en-AU"/>
              </w:rPr>
              <w:t>12</w:t>
            </w:r>
          </w:p>
        </w:tc>
        <w:tc>
          <w:tcPr>
            <w:tcW w:w="620" w:type="dxa"/>
          </w:tcPr>
          <w:p w14:paraId="0147749B" w14:textId="6F0F8656" w:rsidR="00742C80" w:rsidRPr="00370818" w:rsidRDefault="00742C80" w:rsidP="00742C80">
            <w:pPr>
              <w:pStyle w:val="Tablecondensed"/>
              <w:rPr>
                <w:lang w:val="en-AU"/>
              </w:rPr>
            </w:pPr>
            <w:r w:rsidRPr="00370818">
              <w:rPr>
                <w:lang w:val="en-AU"/>
              </w:rPr>
              <w:t>4</w:t>
            </w:r>
          </w:p>
        </w:tc>
        <w:tc>
          <w:tcPr>
            <w:tcW w:w="907" w:type="dxa"/>
          </w:tcPr>
          <w:p w14:paraId="2D511156" w14:textId="26CC15C7" w:rsidR="00742C80" w:rsidRPr="00370818" w:rsidRDefault="00742C80" w:rsidP="00742C80">
            <w:pPr>
              <w:pStyle w:val="Tablecondensed"/>
              <w:rPr>
                <w:lang w:val="en-AU"/>
              </w:rPr>
            </w:pPr>
            <w:r w:rsidRPr="00370818">
              <w:rPr>
                <w:lang w:val="en-AU"/>
              </w:rPr>
              <w:t>3.3</w:t>
            </w:r>
          </w:p>
        </w:tc>
      </w:tr>
    </w:tbl>
    <w:p w14:paraId="1BEBE6C7" w14:textId="1D828998" w:rsidR="007B64FE" w:rsidRPr="00370818" w:rsidRDefault="007B64FE" w:rsidP="00C971E2">
      <w:pPr>
        <w:pStyle w:val="BodyText"/>
      </w:pPr>
      <w:r w:rsidRPr="00370818">
        <w:t xml:space="preserve">In responding to the question, students were expected not only to identify materials, techniques and processes, but also to discuss how these choices shaped the artist’s visual language, through symbols, stylistic devices and expressive qualities that communicate meaning to </w:t>
      </w:r>
      <w:r w:rsidR="00B44C77" w:rsidRPr="00370818">
        <w:t>an audience</w:t>
      </w:r>
      <w:r w:rsidRPr="00370818">
        <w:t xml:space="preserve">. </w:t>
      </w:r>
      <w:r w:rsidR="001E0020" w:rsidRPr="00370818">
        <w:t>Responses that scored highly</w:t>
      </w:r>
      <w:r w:rsidRPr="00370818">
        <w:t xml:space="preserve"> moved beyond simply naming materials or describing techniques. </w:t>
      </w:r>
    </w:p>
    <w:p w14:paraId="3149F9BB" w14:textId="5554F5C4" w:rsidR="007B64FE" w:rsidRPr="00370818" w:rsidRDefault="007B64FE" w:rsidP="00C971E2">
      <w:pPr>
        <w:pStyle w:val="BodyText"/>
      </w:pPr>
      <w:r w:rsidRPr="00370818">
        <w:t xml:space="preserve">High-scoring </w:t>
      </w:r>
      <w:r w:rsidR="001E0020" w:rsidRPr="00370818">
        <w:t xml:space="preserve">responses </w:t>
      </w:r>
      <w:r w:rsidRPr="00370818">
        <w:t xml:space="preserve">successfully linked specific techniques (such as layering, texture or manipulation of line) to the way meaning was constructed, showing how the artist’s decisions influenced </w:t>
      </w:r>
      <w:r w:rsidR="00A03976" w:rsidRPr="00370818">
        <w:t>visual lang</w:t>
      </w:r>
      <w:r w:rsidR="00BD582C" w:rsidRPr="00370818">
        <w:t>ua</w:t>
      </w:r>
      <w:r w:rsidR="00A03976" w:rsidRPr="00370818">
        <w:t>ge</w:t>
      </w:r>
      <w:r w:rsidR="00143C30" w:rsidRPr="00370818">
        <w:t>.</w:t>
      </w:r>
      <w:r w:rsidRPr="00370818">
        <w:t xml:space="preserve"> For example, rather than stating </w:t>
      </w:r>
      <w:r w:rsidR="001E0020" w:rsidRPr="00370818">
        <w:t>‘</w:t>
      </w:r>
      <w:r w:rsidRPr="00370818">
        <w:t>the artist used chalk</w:t>
      </w:r>
      <w:r w:rsidR="001E0020" w:rsidRPr="00370818">
        <w:t>’</w:t>
      </w:r>
      <w:r w:rsidRPr="00370818">
        <w:t xml:space="preserve">, a more developed response would discuss how smudging the chalk created softness or mood that reinforced the artist’s </w:t>
      </w:r>
      <w:r w:rsidR="00B44C77" w:rsidRPr="00370818">
        <w:t>ideas</w:t>
      </w:r>
      <w:r w:rsidRPr="00370818">
        <w:t>.</w:t>
      </w:r>
    </w:p>
    <w:p w14:paraId="7DFE3899" w14:textId="4340AB61" w:rsidR="007B64FE" w:rsidRPr="00370818" w:rsidRDefault="007B64FE" w:rsidP="00C971E2">
      <w:pPr>
        <w:pStyle w:val="BodyText"/>
      </w:pPr>
      <w:r w:rsidRPr="00370818">
        <w:t xml:space="preserve">In contrast, </w:t>
      </w:r>
      <w:r w:rsidR="001E0020" w:rsidRPr="00370818">
        <w:t xml:space="preserve">lower-scoring </w:t>
      </w:r>
      <w:r w:rsidRPr="00370818">
        <w:t>responses tended to remain descriptive, listing materials or naming processes without discussing their impact, which limited their ability to demonstrate understanding. To improve</w:t>
      </w:r>
      <w:r w:rsidR="005E7506">
        <w:t xml:space="preserve"> their skills</w:t>
      </w:r>
      <w:r w:rsidRPr="00370818">
        <w:t xml:space="preserve">, students should </w:t>
      </w:r>
      <w:r w:rsidR="00B43F9B" w:rsidRPr="00370818">
        <w:t xml:space="preserve">practise </w:t>
      </w:r>
      <w:r w:rsidRPr="00370818">
        <w:t>connecting technical observations to the communicative effect of visual language, using precise vocabulary and examples.</w:t>
      </w:r>
    </w:p>
    <w:p w14:paraId="1CCE323B" w14:textId="25C4982D" w:rsidR="007B64FE" w:rsidRPr="00370818" w:rsidRDefault="001E0020" w:rsidP="00C971E2">
      <w:pPr>
        <w:pStyle w:val="BodyText"/>
      </w:pPr>
      <w:r w:rsidRPr="00370818">
        <w:t>Students should consider</w:t>
      </w:r>
      <w:r w:rsidR="007B64FE" w:rsidRPr="00370818">
        <w:t>:</w:t>
      </w:r>
    </w:p>
    <w:p w14:paraId="2D69C372" w14:textId="77777777" w:rsidR="007B64FE" w:rsidRPr="00370818" w:rsidRDefault="007B64FE" w:rsidP="00C971E2">
      <w:pPr>
        <w:pStyle w:val="Bullet"/>
        <w:rPr>
          <w:lang w:val="en-AU"/>
        </w:rPr>
      </w:pPr>
      <w:r w:rsidRPr="00370818">
        <w:rPr>
          <w:lang w:val="en-AU"/>
        </w:rPr>
        <w:t>What effect does this technique create?</w:t>
      </w:r>
    </w:p>
    <w:p w14:paraId="4D7BC73A" w14:textId="77777777" w:rsidR="007B64FE" w:rsidRPr="00370818" w:rsidRDefault="007B64FE" w:rsidP="00C971E2">
      <w:pPr>
        <w:pStyle w:val="Bullet"/>
        <w:rPr>
          <w:lang w:val="en-AU"/>
        </w:rPr>
      </w:pPr>
      <w:r w:rsidRPr="00370818">
        <w:rPr>
          <w:lang w:val="en-AU"/>
        </w:rPr>
        <w:t>How does it shape the viewer’s interpretation?</w:t>
      </w:r>
    </w:p>
    <w:p w14:paraId="2096DB9B" w14:textId="16365207" w:rsidR="007B64FE" w:rsidRPr="00370818" w:rsidRDefault="007B64FE" w:rsidP="00C971E2">
      <w:pPr>
        <w:pStyle w:val="BodyText"/>
      </w:pPr>
      <w:r w:rsidRPr="00370818">
        <w:lastRenderedPageBreak/>
        <w:t>Embedding this link between material practice and meaning will strengthen responses and ensure students meet the expectations of the </w:t>
      </w:r>
      <w:r w:rsidR="00D6610F" w:rsidRPr="00370818">
        <w:t>‘</w:t>
      </w:r>
      <w:r w:rsidRPr="00370818">
        <w:t>discuss</w:t>
      </w:r>
      <w:r w:rsidR="00D6610F" w:rsidRPr="00370818">
        <w:t>’</w:t>
      </w:r>
      <w:r w:rsidRPr="00370818">
        <w:t> command term.</w:t>
      </w:r>
    </w:p>
    <w:p w14:paraId="4ED510B7" w14:textId="0E4D591E" w:rsidR="207950BB" w:rsidRPr="00370818" w:rsidRDefault="207950BB" w:rsidP="00C971E2">
      <w:pPr>
        <w:pStyle w:val="BodyText"/>
      </w:pPr>
      <w:r w:rsidRPr="00370818">
        <w:t xml:space="preserve">Students are reminded that there is a definition of </w:t>
      </w:r>
      <w:r w:rsidR="00370818">
        <w:t>v</w:t>
      </w:r>
      <w:r w:rsidRPr="00370818">
        <w:t xml:space="preserve">isual language in the </w:t>
      </w:r>
      <w:r w:rsidR="00370818">
        <w:t>‘</w:t>
      </w:r>
      <w:r w:rsidRPr="00370818">
        <w:t>Terms used in the study</w:t>
      </w:r>
      <w:r w:rsidR="00370818">
        <w:t>’ section</w:t>
      </w:r>
      <w:r w:rsidRPr="00370818">
        <w:t xml:space="preserve"> on page 15 of the Art Making and Exhibiting </w:t>
      </w:r>
      <w:r w:rsidR="003018E8">
        <w:t>S</w:t>
      </w:r>
      <w:r w:rsidRPr="00370818">
        <w:t xml:space="preserve">tudy </w:t>
      </w:r>
      <w:r w:rsidR="003018E8">
        <w:t>D</w:t>
      </w:r>
      <w:r w:rsidRPr="00370818">
        <w:t>esign.</w:t>
      </w:r>
      <w:r w:rsidR="5AE5C9FD" w:rsidRPr="00370818">
        <w:t xml:space="preserve"> Students must also have a th</w:t>
      </w:r>
      <w:r w:rsidR="00D6610F" w:rsidRPr="00370818">
        <w:t>o</w:t>
      </w:r>
      <w:r w:rsidR="5AE5C9FD" w:rsidRPr="00370818">
        <w:t>rough understanding of the art form of the selected artwork to discuss the materials, techniques and processes used in developing visual language. There is also a definition of art forms in the</w:t>
      </w:r>
      <w:r w:rsidR="0C740E73" w:rsidRPr="00370818">
        <w:t xml:space="preserve"> </w:t>
      </w:r>
      <w:r w:rsidR="00370818">
        <w:t>‘</w:t>
      </w:r>
      <w:r w:rsidR="0C740E73" w:rsidRPr="00370818">
        <w:t>Terms used in the study</w:t>
      </w:r>
      <w:r w:rsidR="00370818">
        <w:t>’ section</w:t>
      </w:r>
      <w:r w:rsidR="0C740E73" w:rsidRPr="00370818">
        <w:t xml:space="preserve">. </w:t>
      </w:r>
    </w:p>
    <w:p w14:paraId="4DF2D866" w14:textId="77777777" w:rsidR="003E611C" w:rsidRPr="00370818" w:rsidRDefault="00154348" w:rsidP="003E611C">
      <w:pPr>
        <w:pStyle w:val="BodyText"/>
      </w:pPr>
      <w:r w:rsidRPr="00370818">
        <w:t>The following is an example of a high-scoring response.</w:t>
      </w:r>
    </w:p>
    <w:p w14:paraId="773CB0D7" w14:textId="46087810" w:rsidR="00E66A5C" w:rsidRPr="00370818" w:rsidRDefault="00383BBB" w:rsidP="00C971E2">
      <w:pPr>
        <w:pStyle w:val="Studentresponse"/>
      </w:pPr>
      <w:r w:rsidRPr="00370818">
        <w:t xml:space="preserve">The use of stoneware has deliberate properties of a rough grained texture and slightly porous finish. To create the round and hollow subject matter, </w:t>
      </w:r>
      <w:proofErr w:type="spellStart"/>
      <w:r w:rsidRPr="00370818">
        <w:t>Thanskupi</w:t>
      </w:r>
      <w:proofErr w:type="spellEnd"/>
      <w:r w:rsidRPr="00370818">
        <w:t xml:space="preserve"> would hand build and roll slabs of the clay out to reduce any air pockets before firing. Using lots of hand </w:t>
      </w:r>
      <w:proofErr w:type="spellStart"/>
      <w:r w:rsidRPr="00370818">
        <w:t>molding</w:t>
      </w:r>
      <w:proofErr w:type="spellEnd"/>
      <w:r w:rsidRPr="00370818">
        <w:t xml:space="preserve"> to manipulate </w:t>
      </w:r>
      <w:proofErr w:type="gramStart"/>
      <w:r w:rsidRPr="00370818">
        <w:t>surface, and</w:t>
      </w:r>
      <w:proofErr w:type="gramEnd"/>
      <w:r w:rsidRPr="00370818">
        <w:t xml:space="preserve"> placing newspapers in the </w:t>
      </w:r>
      <w:proofErr w:type="spellStart"/>
      <w:r w:rsidRPr="00370818">
        <w:t>center</w:t>
      </w:r>
      <w:proofErr w:type="spellEnd"/>
      <w:r w:rsidRPr="00370818">
        <w:t xml:space="preserve"> so that the shape is able to be maintained, has resulted in a durable and visually sound structure. The use of oxide after a bisque fire (1000–1050°C) creates strong and bold depth, with the deliberate use of natural earth-like colour palette to reflect the 'bushman'. Applying the oxides with a thin glazing brush and carefully layering the black oxide last to outline specific detailing has resulted in a conceptually reflective natural depth that contrasts against the stoneware’s cream-coloured surface.</w:t>
      </w:r>
    </w:p>
    <w:p w14:paraId="6E592E00" w14:textId="093C6251" w:rsidR="00E66A5C" w:rsidRPr="00370818" w:rsidRDefault="00E66A5C" w:rsidP="003E611C">
      <w:pPr>
        <w:pStyle w:val="Heading2"/>
      </w:pPr>
      <w:r w:rsidRPr="00370818">
        <w:t>Question 4</w:t>
      </w:r>
    </w:p>
    <w:tbl>
      <w:tblPr>
        <w:tblW w:w="711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621"/>
        <w:gridCol w:w="621"/>
        <w:gridCol w:w="621"/>
        <w:gridCol w:w="621"/>
        <w:gridCol w:w="620"/>
        <w:gridCol w:w="620"/>
        <w:gridCol w:w="620"/>
        <w:gridCol w:w="620"/>
        <w:gridCol w:w="620"/>
        <w:gridCol w:w="620"/>
        <w:gridCol w:w="907"/>
      </w:tblGrid>
      <w:tr w:rsidR="00742C80" w:rsidRPr="00370818" w14:paraId="5E6426BC" w14:textId="77777777" w:rsidTr="00742C80">
        <w:trPr>
          <w:tblHeader/>
        </w:trPr>
        <w:tc>
          <w:tcPr>
            <w:tcW w:w="621" w:type="dxa"/>
            <w:shd w:val="clear" w:color="auto" w:fill="0F7EB4"/>
          </w:tcPr>
          <w:p w14:paraId="1651CB5A" w14:textId="77777777" w:rsidR="00742C80" w:rsidRPr="00370818" w:rsidRDefault="00742C80" w:rsidP="0053499B">
            <w:pPr>
              <w:pStyle w:val="Tablecondensedheading"/>
              <w:rPr>
                <w:lang w:val="en-AU"/>
              </w:rPr>
            </w:pPr>
            <w:r w:rsidRPr="00370818">
              <w:rPr>
                <w:lang w:val="en-AU"/>
              </w:rPr>
              <w:t>Mark</w:t>
            </w:r>
          </w:p>
        </w:tc>
        <w:tc>
          <w:tcPr>
            <w:tcW w:w="621" w:type="dxa"/>
            <w:shd w:val="clear" w:color="auto" w:fill="0F7EB4"/>
          </w:tcPr>
          <w:p w14:paraId="5AF2EDD2" w14:textId="77777777" w:rsidR="00742C80" w:rsidRPr="00370818" w:rsidRDefault="00742C80" w:rsidP="0053499B">
            <w:pPr>
              <w:pStyle w:val="Tablecondensedheading"/>
              <w:rPr>
                <w:lang w:val="en-AU"/>
              </w:rPr>
            </w:pPr>
            <w:r w:rsidRPr="00370818">
              <w:rPr>
                <w:lang w:val="en-AU"/>
              </w:rPr>
              <w:t>0</w:t>
            </w:r>
          </w:p>
        </w:tc>
        <w:tc>
          <w:tcPr>
            <w:tcW w:w="621" w:type="dxa"/>
            <w:shd w:val="clear" w:color="auto" w:fill="0F7EB4"/>
          </w:tcPr>
          <w:p w14:paraId="349A7EFC" w14:textId="77777777" w:rsidR="00742C80" w:rsidRPr="00370818" w:rsidRDefault="00742C80" w:rsidP="0053499B">
            <w:pPr>
              <w:pStyle w:val="Tablecondensedheading"/>
              <w:rPr>
                <w:lang w:val="en-AU"/>
              </w:rPr>
            </w:pPr>
            <w:r w:rsidRPr="00370818">
              <w:rPr>
                <w:lang w:val="en-AU"/>
              </w:rPr>
              <w:t>1</w:t>
            </w:r>
          </w:p>
        </w:tc>
        <w:tc>
          <w:tcPr>
            <w:tcW w:w="621" w:type="dxa"/>
            <w:shd w:val="clear" w:color="auto" w:fill="0F7EB4"/>
          </w:tcPr>
          <w:p w14:paraId="26066064" w14:textId="77777777" w:rsidR="00742C80" w:rsidRPr="00370818" w:rsidRDefault="00742C80" w:rsidP="0053499B">
            <w:pPr>
              <w:pStyle w:val="Tablecondensedheading"/>
              <w:rPr>
                <w:lang w:val="en-AU"/>
              </w:rPr>
            </w:pPr>
            <w:r w:rsidRPr="00370818">
              <w:rPr>
                <w:lang w:val="en-AU"/>
              </w:rPr>
              <w:t>2</w:t>
            </w:r>
          </w:p>
        </w:tc>
        <w:tc>
          <w:tcPr>
            <w:tcW w:w="620" w:type="dxa"/>
            <w:shd w:val="clear" w:color="auto" w:fill="0F7EB4"/>
          </w:tcPr>
          <w:p w14:paraId="5DACA3CF" w14:textId="77777777" w:rsidR="00742C80" w:rsidRPr="00370818" w:rsidRDefault="00742C80" w:rsidP="0053499B">
            <w:pPr>
              <w:pStyle w:val="Tablecondensedheading"/>
              <w:rPr>
                <w:lang w:val="en-AU"/>
              </w:rPr>
            </w:pPr>
            <w:r w:rsidRPr="00370818">
              <w:rPr>
                <w:lang w:val="en-AU"/>
              </w:rPr>
              <w:t>3</w:t>
            </w:r>
          </w:p>
        </w:tc>
        <w:tc>
          <w:tcPr>
            <w:tcW w:w="620" w:type="dxa"/>
            <w:shd w:val="clear" w:color="auto" w:fill="0F7EB4"/>
          </w:tcPr>
          <w:p w14:paraId="431520FA" w14:textId="77777777" w:rsidR="00742C80" w:rsidRPr="00370818" w:rsidRDefault="00742C80" w:rsidP="0053499B">
            <w:pPr>
              <w:pStyle w:val="Tablecondensedheading"/>
              <w:rPr>
                <w:lang w:val="en-AU"/>
              </w:rPr>
            </w:pPr>
            <w:r w:rsidRPr="00370818">
              <w:rPr>
                <w:lang w:val="en-AU"/>
              </w:rPr>
              <w:t>4</w:t>
            </w:r>
          </w:p>
        </w:tc>
        <w:tc>
          <w:tcPr>
            <w:tcW w:w="620" w:type="dxa"/>
            <w:shd w:val="clear" w:color="auto" w:fill="0F7EB4"/>
          </w:tcPr>
          <w:p w14:paraId="1C9EFC6D" w14:textId="77777777" w:rsidR="00742C80" w:rsidRPr="00370818" w:rsidRDefault="00742C80" w:rsidP="0053499B">
            <w:pPr>
              <w:pStyle w:val="Tablecondensedheading"/>
              <w:rPr>
                <w:lang w:val="en-AU"/>
              </w:rPr>
            </w:pPr>
            <w:r w:rsidRPr="00370818">
              <w:rPr>
                <w:lang w:val="en-AU"/>
              </w:rPr>
              <w:t>5</w:t>
            </w:r>
          </w:p>
        </w:tc>
        <w:tc>
          <w:tcPr>
            <w:tcW w:w="620" w:type="dxa"/>
            <w:shd w:val="clear" w:color="auto" w:fill="0F7EB4"/>
          </w:tcPr>
          <w:p w14:paraId="2F63F2F9" w14:textId="2BC06BA6" w:rsidR="00742C80" w:rsidRPr="00370818" w:rsidRDefault="00742C80" w:rsidP="0053499B">
            <w:pPr>
              <w:pStyle w:val="Tablecondensedheading"/>
              <w:rPr>
                <w:lang w:val="en-AU"/>
              </w:rPr>
            </w:pPr>
            <w:r w:rsidRPr="00370818">
              <w:rPr>
                <w:lang w:val="en-AU"/>
              </w:rPr>
              <w:t>6</w:t>
            </w:r>
          </w:p>
        </w:tc>
        <w:tc>
          <w:tcPr>
            <w:tcW w:w="620" w:type="dxa"/>
            <w:shd w:val="clear" w:color="auto" w:fill="0F7EB4"/>
          </w:tcPr>
          <w:p w14:paraId="38B8F7CD" w14:textId="0B297BBD" w:rsidR="00742C80" w:rsidRPr="00370818" w:rsidRDefault="00742C80" w:rsidP="0053499B">
            <w:pPr>
              <w:pStyle w:val="Tablecondensedheading"/>
              <w:rPr>
                <w:lang w:val="en-AU"/>
              </w:rPr>
            </w:pPr>
            <w:r w:rsidRPr="00370818">
              <w:rPr>
                <w:lang w:val="en-AU"/>
              </w:rPr>
              <w:t>7</w:t>
            </w:r>
          </w:p>
        </w:tc>
        <w:tc>
          <w:tcPr>
            <w:tcW w:w="620" w:type="dxa"/>
            <w:shd w:val="clear" w:color="auto" w:fill="0F7EB4"/>
          </w:tcPr>
          <w:p w14:paraId="1A46A0C4" w14:textId="34FF966A" w:rsidR="00742C80" w:rsidRPr="00370818" w:rsidRDefault="00742C80" w:rsidP="0053499B">
            <w:pPr>
              <w:pStyle w:val="Tablecondensedheading"/>
              <w:rPr>
                <w:lang w:val="en-AU"/>
              </w:rPr>
            </w:pPr>
            <w:r w:rsidRPr="00370818">
              <w:rPr>
                <w:lang w:val="en-AU"/>
              </w:rPr>
              <w:t>8</w:t>
            </w:r>
          </w:p>
        </w:tc>
        <w:tc>
          <w:tcPr>
            <w:tcW w:w="907" w:type="dxa"/>
            <w:shd w:val="clear" w:color="auto" w:fill="0F7EB4"/>
          </w:tcPr>
          <w:p w14:paraId="22923767" w14:textId="77777777" w:rsidR="00742C80" w:rsidRPr="00370818" w:rsidRDefault="00742C80" w:rsidP="0053499B">
            <w:pPr>
              <w:pStyle w:val="Tablecondensedheading"/>
              <w:rPr>
                <w:lang w:val="en-AU"/>
              </w:rPr>
            </w:pPr>
            <w:r w:rsidRPr="00370818">
              <w:rPr>
                <w:lang w:val="en-AU"/>
              </w:rPr>
              <w:t>Average</w:t>
            </w:r>
          </w:p>
        </w:tc>
      </w:tr>
      <w:tr w:rsidR="00742C80" w:rsidRPr="00370818" w14:paraId="16E073CC" w14:textId="77777777" w:rsidTr="00742C80">
        <w:tc>
          <w:tcPr>
            <w:tcW w:w="621" w:type="dxa"/>
          </w:tcPr>
          <w:p w14:paraId="432EDC9A" w14:textId="77777777" w:rsidR="00742C80" w:rsidRPr="00370818" w:rsidRDefault="00742C80" w:rsidP="00742C80">
            <w:pPr>
              <w:pStyle w:val="Tablecondensed"/>
              <w:rPr>
                <w:lang w:val="en-AU"/>
              </w:rPr>
            </w:pPr>
            <w:r w:rsidRPr="00370818">
              <w:rPr>
                <w:lang w:val="en-AU"/>
              </w:rPr>
              <w:t>%</w:t>
            </w:r>
          </w:p>
        </w:tc>
        <w:tc>
          <w:tcPr>
            <w:tcW w:w="621" w:type="dxa"/>
          </w:tcPr>
          <w:p w14:paraId="77D1E5C5" w14:textId="337872AD" w:rsidR="00742C80" w:rsidRPr="00370818" w:rsidRDefault="00742C80" w:rsidP="00742C80">
            <w:pPr>
              <w:pStyle w:val="Tablecondensed"/>
              <w:rPr>
                <w:lang w:val="en-AU"/>
              </w:rPr>
            </w:pPr>
            <w:r w:rsidRPr="00370818">
              <w:rPr>
                <w:lang w:val="en-AU"/>
              </w:rPr>
              <w:t>4</w:t>
            </w:r>
          </w:p>
        </w:tc>
        <w:tc>
          <w:tcPr>
            <w:tcW w:w="621" w:type="dxa"/>
          </w:tcPr>
          <w:p w14:paraId="4A68B100" w14:textId="1E1D38F2" w:rsidR="00742C80" w:rsidRPr="00370818" w:rsidRDefault="00742C80" w:rsidP="00742C80">
            <w:pPr>
              <w:pStyle w:val="Tablecondensed"/>
              <w:rPr>
                <w:lang w:val="en-AU"/>
              </w:rPr>
            </w:pPr>
            <w:r w:rsidRPr="00370818">
              <w:rPr>
                <w:lang w:val="en-AU"/>
              </w:rPr>
              <w:t>2</w:t>
            </w:r>
          </w:p>
        </w:tc>
        <w:tc>
          <w:tcPr>
            <w:tcW w:w="621" w:type="dxa"/>
          </w:tcPr>
          <w:p w14:paraId="2D5B1F59" w14:textId="4464AC9F" w:rsidR="00742C80" w:rsidRPr="00370818" w:rsidRDefault="00742C80" w:rsidP="00742C80">
            <w:pPr>
              <w:pStyle w:val="Tablecondensed"/>
              <w:rPr>
                <w:lang w:val="en-AU"/>
              </w:rPr>
            </w:pPr>
            <w:r w:rsidRPr="00370818">
              <w:rPr>
                <w:lang w:val="en-AU"/>
              </w:rPr>
              <w:t>5</w:t>
            </w:r>
          </w:p>
        </w:tc>
        <w:tc>
          <w:tcPr>
            <w:tcW w:w="620" w:type="dxa"/>
          </w:tcPr>
          <w:p w14:paraId="1BCE64B6" w14:textId="45F1CAAC" w:rsidR="00742C80" w:rsidRPr="00370818" w:rsidRDefault="00742C80" w:rsidP="00742C80">
            <w:pPr>
              <w:pStyle w:val="Tablecondensed"/>
              <w:rPr>
                <w:lang w:val="en-AU"/>
              </w:rPr>
            </w:pPr>
            <w:r w:rsidRPr="00370818">
              <w:rPr>
                <w:lang w:val="en-AU"/>
              </w:rPr>
              <w:t>12</w:t>
            </w:r>
          </w:p>
        </w:tc>
        <w:tc>
          <w:tcPr>
            <w:tcW w:w="620" w:type="dxa"/>
          </w:tcPr>
          <w:p w14:paraId="57FA699D" w14:textId="5978BDB1" w:rsidR="00742C80" w:rsidRPr="00370818" w:rsidRDefault="00742C80" w:rsidP="00742C80">
            <w:pPr>
              <w:pStyle w:val="Tablecondensed"/>
              <w:rPr>
                <w:lang w:val="en-AU"/>
              </w:rPr>
            </w:pPr>
            <w:r w:rsidRPr="00370818">
              <w:rPr>
                <w:lang w:val="en-AU"/>
              </w:rPr>
              <w:t>19</w:t>
            </w:r>
          </w:p>
        </w:tc>
        <w:tc>
          <w:tcPr>
            <w:tcW w:w="620" w:type="dxa"/>
          </w:tcPr>
          <w:p w14:paraId="3CB2A186" w14:textId="36B91E77" w:rsidR="00742C80" w:rsidRPr="00370818" w:rsidRDefault="00742C80" w:rsidP="00742C80">
            <w:pPr>
              <w:pStyle w:val="Tablecondensed"/>
              <w:rPr>
                <w:lang w:val="en-AU"/>
              </w:rPr>
            </w:pPr>
            <w:r w:rsidRPr="00370818">
              <w:rPr>
                <w:lang w:val="en-AU"/>
              </w:rPr>
              <w:t>24</w:t>
            </w:r>
          </w:p>
        </w:tc>
        <w:tc>
          <w:tcPr>
            <w:tcW w:w="620" w:type="dxa"/>
          </w:tcPr>
          <w:p w14:paraId="7B689C83" w14:textId="76D29E6F" w:rsidR="00742C80" w:rsidRPr="00370818" w:rsidRDefault="00742C80" w:rsidP="00742C80">
            <w:pPr>
              <w:pStyle w:val="Tablecondensed"/>
              <w:rPr>
                <w:lang w:val="en-AU"/>
              </w:rPr>
            </w:pPr>
            <w:r w:rsidRPr="00370818">
              <w:rPr>
                <w:lang w:val="en-AU"/>
              </w:rPr>
              <w:t>19</w:t>
            </w:r>
          </w:p>
        </w:tc>
        <w:tc>
          <w:tcPr>
            <w:tcW w:w="620" w:type="dxa"/>
          </w:tcPr>
          <w:p w14:paraId="4FA704D5" w14:textId="0914F50D" w:rsidR="00742C80" w:rsidRPr="00370818" w:rsidRDefault="00742C80" w:rsidP="00742C80">
            <w:pPr>
              <w:pStyle w:val="Tablecondensed"/>
              <w:rPr>
                <w:lang w:val="en-AU"/>
              </w:rPr>
            </w:pPr>
            <w:r w:rsidRPr="00370818">
              <w:rPr>
                <w:lang w:val="en-AU"/>
              </w:rPr>
              <w:t>11</w:t>
            </w:r>
          </w:p>
        </w:tc>
        <w:tc>
          <w:tcPr>
            <w:tcW w:w="620" w:type="dxa"/>
          </w:tcPr>
          <w:p w14:paraId="2BEB6454" w14:textId="7EDC3E2A" w:rsidR="00742C80" w:rsidRPr="00370818" w:rsidRDefault="00742C80" w:rsidP="00742C80">
            <w:pPr>
              <w:pStyle w:val="Tablecondensed"/>
              <w:rPr>
                <w:lang w:val="en-AU"/>
              </w:rPr>
            </w:pPr>
            <w:r w:rsidRPr="00370818">
              <w:rPr>
                <w:lang w:val="en-AU"/>
              </w:rPr>
              <w:t>3</w:t>
            </w:r>
          </w:p>
        </w:tc>
        <w:tc>
          <w:tcPr>
            <w:tcW w:w="907" w:type="dxa"/>
          </w:tcPr>
          <w:p w14:paraId="0074AB68" w14:textId="5719F200" w:rsidR="00742C80" w:rsidRPr="00370818" w:rsidRDefault="00742C80" w:rsidP="00742C80">
            <w:pPr>
              <w:pStyle w:val="Tablecondensed"/>
              <w:rPr>
                <w:lang w:val="en-AU"/>
              </w:rPr>
            </w:pPr>
            <w:r w:rsidRPr="00370818">
              <w:rPr>
                <w:lang w:val="en-AU"/>
              </w:rPr>
              <w:t>4.6</w:t>
            </w:r>
          </w:p>
        </w:tc>
      </w:tr>
    </w:tbl>
    <w:p w14:paraId="06571BE9" w14:textId="00895C71" w:rsidR="00E66A5C" w:rsidRPr="00370818" w:rsidRDefault="00E66A5C" w:rsidP="00C971E2">
      <w:pPr>
        <w:pStyle w:val="BodyText"/>
      </w:pPr>
      <w:r w:rsidRPr="00370818">
        <w:t xml:space="preserve">In answering </w:t>
      </w:r>
      <w:r w:rsidR="00D6610F" w:rsidRPr="00370818">
        <w:t xml:space="preserve">this </w:t>
      </w:r>
      <w:r w:rsidRPr="00370818">
        <w:t>question</w:t>
      </w:r>
      <w:r w:rsidR="00D6610F" w:rsidRPr="00370818">
        <w:t>,</w:t>
      </w:r>
      <w:r w:rsidRPr="00370818">
        <w:rPr>
          <w:rStyle w:val="apple-converted-space"/>
          <w:rFonts w:eastAsiaTheme="majorEastAsia"/>
        </w:rPr>
        <w:t xml:space="preserve"> </w:t>
      </w:r>
      <w:r w:rsidRPr="00370818">
        <w:t xml:space="preserve">students were expected to explain how the presentation of their work, supported by didactic information, would communicate meaning to the audience, while also considering the characteristics of the exhibition space itself. </w:t>
      </w:r>
      <w:r w:rsidR="00107E66" w:rsidRPr="00370818">
        <w:t>Responses that scored highly</w:t>
      </w:r>
      <w:r w:rsidRPr="00370818">
        <w:t xml:space="preserve"> demonstrated an integrated approach: they selected a specific exhibition space, described its qualities such as lighting, scale, atmosphere or audience flow, and then analysed how these characteristics enhanced the communication of meaning. They also discussed the role of didactic information, recognising that wall text, labels or catalogues could guide interpretation and reinforce the artist’s intent. These students showed how the interplay between space, presentation and supporting information shaped the audience’s experience and deepened engagement with the work. </w:t>
      </w:r>
      <w:r w:rsidR="29F9FB0A" w:rsidRPr="00370818">
        <w:t xml:space="preserve">There is additional information to support the understanding of didactic information in the published Frequently </w:t>
      </w:r>
      <w:r w:rsidR="00FD4EA7">
        <w:t>a</w:t>
      </w:r>
      <w:r w:rsidR="00FD4EA7" w:rsidRPr="00370818">
        <w:t xml:space="preserve">sked </w:t>
      </w:r>
      <w:r w:rsidR="00FD4EA7">
        <w:t>q</w:t>
      </w:r>
      <w:r w:rsidR="00FD4EA7" w:rsidRPr="00370818">
        <w:t xml:space="preserve">uestions </w:t>
      </w:r>
      <w:r w:rsidR="29F9FB0A" w:rsidRPr="00370818">
        <w:t xml:space="preserve">under Planning in the Support materials on the VCE Art Making and Exhibiting </w:t>
      </w:r>
      <w:r w:rsidR="003018E8">
        <w:t>S</w:t>
      </w:r>
      <w:r w:rsidR="29F9FB0A" w:rsidRPr="00370818">
        <w:t xml:space="preserve">tudy </w:t>
      </w:r>
      <w:r w:rsidR="003018E8">
        <w:t>D</w:t>
      </w:r>
      <w:r w:rsidR="29F9FB0A" w:rsidRPr="00370818">
        <w:t>esign page</w:t>
      </w:r>
      <w:r w:rsidR="0DB06882" w:rsidRPr="00370818">
        <w:t>. It is also important that students have a thorough understanding of their selected art form and the presentation methods associated with displaying work in the artform</w:t>
      </w:r>
      <w:r w:rsidR="00107E66" w:rsidRPr="00370818">
        <w:t xml:space="preserve"> –</w:t>
      </w:r>
      <w:r w:rsidR="0DB06882" w:rsidRPr="00370818">
        <w:t xml:space="preserve"> for example, the presentation of sculptural work is different to the </w:t>
      </w:r>
      <w:r w:rsidR="6AD35DED" w:rsidRPr="00370818">
        <w:t xml:space="preserve">presentation of photographs or paintings. </w:t>
      </w:r>
    </w:p>
    <w:p w14:paraId="24CF9E2E" w14:textId="35F5E805" w:rsidR="00E66A5C" w:rsidRPr="00370818" w:rsidRDefault="00E66A5C" w:rsidP="00C971E2">
      <w:pPr>
        <w:pStyle w:val="BodyText"/>
        <w:rPr>
          <w:color w:val="000000"/>
        </w:rPr>
      </w:pPr>
      <w:r w:rsidRPr="00370818">
        <w:t xml:space="preserve">By contrast, responses </w:t>
      </w:r>
      <w:r w:rsidR="00107E66" w:rsidRPr="00370818">
        <w:t xml:space="preserve">that did not score well </w:t>
      </w:r>
      <w:r w:rsidRPr="00370818">
        <w:t xml:space="preserve">tended to describe the artwork itself or simply name a space and mention a didactic without explaining how these elements contributed to meaning. Many overlooked the characteristics of the space entirely, missing an opportunity to demonstrate how context influences interpretation. To answer thoroughly and obtain full marks, students need to move beyond description and show analysis, articulating why the chosen space matters and how its qualities amplify or alter the meaning of the work. For example, rather than stating </w:t>
      </w:r>
      <w:r w:rsidR="00107E66" w:rsidRPr="00370818">
        <w:t>‘</w:t>
      </w:r>
      <w:r w:rsidRPr="00370818">
        <w:t>my work will be in a gallery with a didactic</w:t>
      </w:r>
      <w:r w:rsidR="00107E66" w:rsidRPr="00370818">
        <w:t>’</w:t>
      </w:r>
      <w:r w:rsidRPr="00370818">
        <w:t xml:space="preserve">, a more developed response would explain that </w:t>
      </w:r>
      <w:r w:rsidR="00107E66" w:rsidRPr="00370818">
        <w:t>‘</w:t>
      </w:r>
      <w:r w:rsidRPr="00370818">
        <w:t>the controlled lighting of the gallery isolates the work, creating intimacy, while the didactic text directs the audience to consider its historical references</w:t>
      </w:r>
      <w:r w:rsidR="00107E66" w:rsidRPr="00370818">
        <w:t>’</w:t>
      </w:r>
      <w:r w:rsidRPr="00370818">
        <w:t xml:space="preserve">. Embedding this critical connection between presentation, space and meaning ensures responses demonstrate both practical awareness and conceptual depth, meeting the criteria for the highest </w:t>
      </w:r>
      <w:r w:rsidR="00107E66" w:rsidRPr="00370818">
        <w:t>scores</w:t>
      </w:r>
      <w:r w:rsidRPr="00370818">
        <w:t>.</w:t>
      </w:r>
    </w:p>
    <w:p w14:paraId="2D424BFD" w14:textId="77777777" w:rsidR="00C5347C" w:rsidRPr="00370818" w:rsidRDefault="00C5347C">
      <w:pPr>
        <w:spacing w:line="276" w:lineRule="auto"/>
        <w:rPr>
          <w:rFonts w:ascii="Arial" w:hAnsi="Arial" w:cs="Arial"/>
          <w:color w:val="000000" w:themeColor="text1"/>
          <w:sz w:val="20"/>
          <w:lang w:val="en-AU" w:eastAsia="en-AU"/>
        </w:rPr>
      </w:pPr>
      <w:r w:rsidRPr="00370818">
        <w:rPr>
          <w:lang w:val="en-AU"/>
        </w:rPr>
        <w:br w:type="page"/>
      </w:r>
    </w:p>
    <w:p w14:paraId="3442F7DA" w14:textId="77777777" w:rsidR="003E611C" w:rsidRPr="00370818" w:rsidRDefault="00154348" w:rsidP="003E611C">
      <w:pPr>
        <w:pStyle w:val="BodyText"/>
      </w:pPr>
      <w:r w:rsidRPr="00370818">
        <w:lastRenderedPageBreak/>
        <w:t>The following is an example of a high-scoring response.</w:t>
      </w:r>
    </w:p>
    <w:p w14:paraId="0AB68D22" w14:textId="6256BAA3" w:rsidR="00383BBB" w:rsidRPr="00370818" w:rsidRDefault="00383BBB" w:rsidP="00C971E2">
      <w:pPr>
        <w:pStyle w:val="Studentresponse"/>
      </w:pPr>
      <w:r w:rsidRPr="00370818">
        <w:t>My final artwork, titled '</w:t>
      </w:r>
      <w:proofErr w:type="spellStart"/>
      <w:r w:rsidRPr="00370818">
        <w:t>Conval</w:t>
      </w:r>
      <w:proofErr w:type="spellEnd"/>
      <w:r w:rsidRPr="00370818">
        <w:t xml:space="preserve"> (in colour)' will be exhibited in the commercial gallery, </w:t>
      </w:r>
      <w:proofErr w:type="spellStart"/>
      <w:r w:rsidRPr="00370818">
        <w:t>fortyfivedownstairs</w:t>
      </w:r>
      <w:proofErr w:type="spellEnd"/>
      <w:r w:rsidRPr="00370818">
        <w:t xml:space="preserve">. As a 50 x 55 cm on-paper painting, I intend for the work to be hung using string attached to two office bulldog clips attached to the upper edge of the paper. My work is made with raw, teared edges, unframed to illicit a raw, imperfect nature reflected also in the seemingly makeshift method of presentation fully exposed support that compliments the intended communication of the subconscious mind and representations of child-like imagination, often unbothered by the intricacies of careful display and largely focused on the humanity behind the work. Didactic information will be short and small, outlining the title, artist and contextual materials, and brief information that encourages audience input and wonder surrounding my piece. Little didactic information encourages individual audience interpretation as audience interpretation plays a significant role in the purpose of my artwork. </w:t>
      </w:r>
      <w:proofErr w:type="spellStart"/>
      <w:r w:rsidR="002F7EAB" w:rsidRPr="00370818">
        <w:t>forty</w:t>
      </w:r>
      <w:r w:rsidRPr="00370818">
        <w:t>fivedownstairs</w:t>
      </w:r>
      <w:proofErr w:type="spellEnd"/>
      <w:r w:rsidRPr="00370818">
        <w:t xml:space="preserve"> features raw wooden floors and white walls with a largely open floor plan and one large window on the back of the space. This slightly industrial nature compliments the feelings of imperfection and untouched humanity I hope to inflict.</w:t>
      </w:r>
    </w:p>
    <w:p w14:paraId="10FCF243" w14:textId="02E02005" w:rsidR="00E66A5C" w:rsidRPr="00370818" w:rsidRDefault="00E66A5C" w:rsidP="003E611C">
      <w:pPr>
        <w:pStyle w:val="Heading2"/>
      </w:pPr>
      <w:r w:rsidRPr="00370818">
        <w:t>Question 5</w:t>
      </w:r>
    </w:p>
    <w:tbl>
      <w:tblPr>
        <w:tblW w:w="83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621"/>
        <w:gridCol w:w="621"/>
        <w:gridCol w:w="621"/>
        <w:gridCol w:w="621"/>
        <w:gridCol w:w="620"/>
        <w:gridCol w:w="620"/>
        <w:gridCol w:w="620"/>
        <w:gridCol w:w="620"/>
        <w:gridCol w:w="620"/>
        <w:gridCol w:w="620"/>
        <w:gridCol w:w="620"/>
        <w:gridCol w:w="620"/>
        <w:gridCol w:w="907"/>
      </w:tblGrid>
      <w:tr w:rsidR="00742C80" w:rsidRPr="00370818" w14:paraId="22C8902C" w14:textId="77777777" w:rsidTr="00742C80">
        <w:trPr>
          <w:tblHeader/>
        </w:trPr>
        <w:tc>
          <w:tcPr>
            <w:tcW w:w="621" w:type="dxa"/>
            <w:shd w:val="clear" w:color="auto" w:fill="0F7EB4"/>
          </w:tcPr>
          <w:p w14:paraId="63504D03" w14:textId="77777777" w:rsidR="00742C80" w:rsidRPr="00370818" w:rsidRDefault="00742C80" w:rsidP="0053499B">
            <w:pPr>
              <w:pStyle w:val="Tablecondensedheading"/>
              <w:rPr>
                <w:lang w:val="en-AU"/>
              </w:rPr>
            </w:pPr>
            <w:r w:rsidRPr="00370818">
              <w:rPr>
                <w:lang w:val="en-AU"/>
              </w:rPr>
              <w:t>Mark</w:t>
            </w:r>
          </w:p>
        </w:tc>
        <w:tc>
          <w:tcPr>
            <w:tcW w:w="621" w:type="dxa"/>
            <w:shd w:val="clear" w:color="auto" w:fill="0F7EB4"/>
          </w:tcPr>
          <w:p w14:paraId="1AA75C2F" w14:textId="77777777" w:rsidR="00742C80" w:rsidRPr="00370818" w:rsidRDefault="00742C80" w:rsidP="0053499B">
            <w:pPr>
              <w:pStyle w:val="Tablecondensedheading"/>
              <w:rPr>
                <w:lang w:val="en-AU"/>
              </w:rPr>
            </w:pPr>
            <w:r w:rsidRPr="00370818">
              <w:rPr>
                <w:lang w:val="en-AU"/>
              </w:rPr>
              <w:t>0</w:t>
            </w:r>
          </w:p>
        </w:tc>
        <w:tc>
          <w:tcPr>
            <w:tcW w:w="621" w:type="dxa"/>
            <w:shd w:val="clear" w:color="auto" w:fill="0F7EB4"/>
          </w:tcPr>
          <w:p w14:paraId="218846BA" w14:textId="77777777" w:rsidR="00742C80" w:rsidRPr="00370818" w:rsidRDefault="00742C80" w:rsidP="0053499B">
            <w:pPr>
              <w:pStyle w:val="Tablecondensedheading"/>
              <w:rPr>
                <w:lang w:val="en-AU"/>
              </w:rPr>
            </w:pPr>
            <w:r w:rsidRPr="00370818">
              <w:rPr>
                <w:lang w:val="en-AU"/>
              </w:rPr>
              <w:t>1</w:t>
            </w:r>
          </w:p>
        </w:tc>
        <w:tc>
          <w:tcPr>
            <w:tcW w:w="621" w:type="dxa"/>
            <w:shd w:val="clear" w:color="auto" w:fill="0F7EB4"/>
          </w:tcPr>
          <w:p w14:paraId="040E0446" w14:textId="77777777" w:rsidR="00742C80" w:rsidRPr="00370818" w:rsidRDefault="00742C80" w:rsidP="0053499B">
            <w:pPr>
              <w:pStyle w:val="Tablecondensedheading"/>
              <w:rPr>
                <w:lang w:val="en-AU"/>
              </w:rPr>
            </w:pPr>
            <w:r w:rsidRPr="00370818">
              <w:rPr>
                <w:lang w:val="en-AU"/>
              </w:rPr>
              <w:t>2</w:t>
            </w:r>
          </w:p>
        </w:tc>
        <w:tc>
          <w:tcPr>
            <w:tcW w:w="620" w:type="dxa"/>
            <w:shd w:val="clear" w:color="auto" w:fill="0F7EB4"/>
          </w:tcPr>
          <w:p w14:paraId="28C69579" w14:textId="77777777" w:rsidR="00742C80" w:rsidRPr="00370818" w:rsidRDefault="00742C80" w:rsidP="0053499B">
            <w:pPr>
              <w:pStyle w:val="Tablecondensedheading"/>
              <w:rPr>
                <w:lang w:val="en-AU"/>
              </w:rPr>
            </w:pPr>
            <w:r w:rsidRPr="00370818">
              <w:rPr>
                <w:lang w:val="en-AU"/>
              </w:rPr>
              <w:t>3</w:t>
            </w:r>
          </w:p>
        </w:tc>
        <w:tc>
          <w:tcPr>
            <w:tcW w:w="620" w:type="dxa"/>
            <w:shd w:val="clear" w:color="auto" w:fill="0F7EB4"/>
          </w:tcPr>
          <w:p w14:paraId="65610498" w14:textId="77777777" w:rsidR="00742C80" w:rsidRPr="00370818" w:rsidRDefault="00742C80" w:rsidP="0053499B">
            <w:pPr>
              <w:pStyle w:val="Tablecondensedheading"/>
              <w:rPr>
                <w:lang w:val="en-AU"/>
              </w:rPr>
            </w:pPr>
            <w:r w:rsidRPr="00370818">
              <w:rPr>
                <w:lang w:val="en-AU"/>
              </w:rPr>
              <w:t>4</w:t>
            </w:r>
          </w:p>
        </w:tc>
        <w:tc>
          <w:tcPr>
            <w:tcW w:w="620" w:type="dxa"/>
            <w:shd w:val="clear" w:color="auto" w:fill="0F7EB4"/>
          </w:tcPr>
          <w:p w14:paraId="55FA198D" w14:textId="77777777" w:rsidR="00742C80" w:rsidRPr="00370818" w:rsidRDefault="00742C80" w:rsidP="0053499B">
            <w:pPr>
              <w:pStyle w:val="Tablecondensedheading"/>
              <w:rPr>
                <w:lang w:val="en-AU"/>
              </w:rPr>
            </w:pPr>
            <w:r w:rsidRPr="00370818">
              <w:rPr>
                <w:lang w:val="en-AU"/>
              </w:rPr>
              <w:t>5</w:t>
            </w:r>
          </w:p>
        </w:tc>
        <w:tc>
          <w:tcPr>
            <w:tcW w:w="620" w:type="dxa"/>
            <w:shd w:val="clear" w:color="auto" w:fill="0F7EB4"/>
          </w:tcPr>
          <w:p w14:paraId="76B32A5C" w14:textId="77777777" w:rsidR="00742C80" w:rsidRPr="00370818" w:rsidRDefault="00742C80" w:rsidP="0053499B">
            <w:pPr>
              <w:pStyle w:val="Tablecondensedheading"/>
              <w:rPr>
                <w:lang w:val="en-AU"/>
              </w:rPr>
            </w:pPr>
            <w:r w:rsidRPr="00370818">
              <w:rPr>
                <w:lang w:val="en-AU"/>
              </w:rPr>
              <w:t>6</w:t>
            </w:r>
          </w:p>
        </w:tc>
        <w:tc>
          <w:tcPr>
            <w:tcW w:w="620" w:type="dxa"/>
            <w:shd w:val="clear" w:color="auto" w:fill="0F7EB4"/>
          </w:tcPr>
          <w:p w14:paraId="526CFA17" w14:textId="77777777" w:rsidR="00742C80" w:rsidRPr="00370818" w:rsidRDefault="00742C80" w:rsidP="0053499B">
            <w:pPr>
              <w:pStyle w:val="Tablecondensedheading"/>
              <w:rPr>
                <w:lang w:val="en-AU"/>
              </w:rPr>
            </w:pPr>
            <w:r w:rsidRPr="00370818">
              <w:rPr>
                <w:lang w:val="en-AU"/>
              </w:rPr>
              <w:t>7</w:t>
            </w:r>
          </w:p>
        </w:tc>
        <w:tc>
          <w:tcPr>
            <w:tcW w:w="620" w:type="dxa"/>
            <w:shd w:val="clear" w:color="auto" w:fill="0F7EB4"/>
          </w:tcPr>
          <w:p w14:paraId="79EC6A90" w14:textId="2CF15049" w:rsidR="00742C80" w:rsidRPr="00370818" w:rsidRDefault="00742C80" w:rsidP="0053499B">
            <w:pPr>
              <w:pStyle w:val="Tablecondensedheading"/>
              <w:rPr>
                <w:lang w:val="en-AU"/>
              </w:rPr>
            </w:pPr>
            <w:r w:rsidRPr="00370818">
              <w:rPr>
                <w:lang w:val="en-AU"/>
              </w:rPr>
              <w:t>8</w:t>
            </w:r>
          </w:p>
        </w:tc>
        <w:tc>
          <w:tcPr>
            <w:tcW w:w="620" w:type="dxa"/>
            <w:shd w:val="clear" w:color="auto" w:fill="0F7EB4"/>
          </w:tcPr>
          <w:p w14:paraId="18F08D02" w14:textId="66652E04" w:rsidR="00742C80" w:rsidRPr="00370818" w:rsidRDefault="00742C80" w:rsidP="0053499B">
            <w:pPr>
              <w:pStyle w:val="Tablecondensedheading"/>
              <w:rPr>
                <w:lang w:val="en-AU"/>
              </w:rPr>
            </w:pPr>
            <w:r w:rsidRPr="00370818">
              <w:rPr>
                <w:lang w:val="en-AU"/>
              </w:rPr>
              <w:t>9</w:t>
            </w:r>
          </w:p>
        </w:tc>
        <w:tc>
          <w:tcPr>
            <w:tcW w:w="620" w:type="dxa"/>
            <w:shd w:val="clear" w:color="auto" w:fill="0F7EB4"/>
          </w:tcPr>
          <w:p w14:paraId="39C32922" w14:textId="5F792AD2" w:rsidR="00742C80" w:rsidRPr="00370818" w:rsidRDefault="00742C80" w:rsidP="0053499B">
            <w:pPr>
              <w:pStyle w:val="Tablecondensedheading"/>
              <w:rPr>
                <w:lang w:val="en-AU"/>
              </w:rPr>
            </w:pPr>
            <w:r w:rsidRPr="00370818">
              <w:rPr>
                <w:lang w:val="en-AU"/>
              </w:rPr>
              <w:t>10</w:t>
            </w:r>
          </w:p>
        </w:tc>
        <w:tc>
          <w:tcPr>
            <w:tcW w:w="907" w:type="dxa"/>
            <w:shd w:val="clear" w:color="auto" w:fill="0F7EB4"/>
          </w:tcPr>
          <w:p w14:paraId="0F0DE2F5" w14:textId="77777777" w:rsidR="00742C80" w:rsidRPr="00370818" w:rsidRDefault="00742C80" w:rsidP="0053499B">
            <w:pPr>
              <w:pStyle w:val="Tablecondensedheading"/>
              <w:rPr>
                <w:lang w:val="en-AU"/>
              </w:rPr>
            </w:pPr>
            <w:r w:rsidRPr="00370818">
              <w:rPr>
                <w:lang w:val="en-AU"/>
              </w:rPr>
              <w:t>Average</w:t>
            </w:r>
          </w:p>
        </w:tc>
      </w:tr>
      <w:tr w:rsidR="00742C80" w:rsidRPr="00370818" w14:paraId="16C90454" w14:textId="77777777" w:rsidTr="00742C80">
        <w:tc>
          <w:tcPr>
            <w:tcW w:w="621" w:type="dxa"/>
          </w:tcPr>
          <w:p w14:paraId="034FA02F" w14:textId="77777777" w:rsidR="00742C80" w:rsidRPr="00370818" w:rsidRDefault="00742C80" w:rsidP="00742C80">
            <w:pPr>
              <w:pStyle w:val="Tablecondensed"/>
              <w:rPr>
                <w:lang w:val="en-AU"/>
              </w:rPr>
            </w:pPr>
            <w:r w:rsidRPr="00370818">
              <w:rPr>
                <w:lang w:val="en-AU"/>
              </w:rPr>
              <w:t>%</w:t>
            </w:r>
          </w:p>
        </w:tc>
        <w:tc>
          <w:tcPr>
            <w:tcW w:w="621" w:type="dxa"/>
          </w:tcPr>
          <w:p w14:paraId="20C0E765" w14:textId="2D4C2259" w:rsidR="00742C80" w:rsidRPr="00370818" w:rsidRDefault="00742C80" w:rsidP="00742C80">
            <w:pPr>
              <w:pStyle w:val="Tablecondensed"/>
              <w:rPr>
                <w:lang w:val="en-AU"/>
              </w:rPr>
            </w:pPr>
            <w:r w:rsidRPr="00370818">
              <w:rPr>
                <w:lang w:val="en-AU"/>
              </w:rPr>
              <w:t>3</w:t>
            </w:r>
          </w:p>
        </w:tc>
        <w:tc>
          <w:tcPr>
            <w:tcW w:w="621" w:type="dxa"/>
          </w:tcPr>
          <w:p w14:paraId="2379C9A3" w14:textId="77D74B57" w:rsidR="00742C80" w:rsidRPr="00370818" w:rsidRDefault="00742C80" w:rsidP="00742C80">
            <w:pPr>
              <w:pStyle w:val="Tablecondensed"/>
              <w:rPr>
                <w:lang w:val="en-AU"/>
              </w:rPr>
            </w:pPr>
            <w:r w:rsidRPr="00370818">
              <w:rPr>
                <w:lang w:val="en-AU"/>
              </w:rPr>
              <w:t>2</w:t>
            </w:r>
          </w:p>
        </w:tc>
        <w:tc>
          <w:tcPr>
            <w:tcW w:w="621" w:type="dxa"/>
          </w:tcPr>
          <w:p w14:paraId="123948AF" w14:textId="4C638CC8" w:rsidR="00742C80" w:rsidRPr="00370818" w:rsidRDefault="00742C80" w:rsidP="00742C80">
            <w:pPr>
              <w:pStyle w:val="Tablecondensed"/>
              <w:rPr>
                <w:lang w:val="en-AU"/>
              </w:rPr>
            </w:pPr>
            <w:r w:rsidRPr="00370818">
              <w:rPr>
                <w:lang w:val="en-AU"/>
              </w:rPr>
              <w:t>8</w:t>
            </w:r>
          </w:p>
        </w:tc>
        <w:tc>
          <w:tcPr>
            <w:tcW w:w="620" w:type="dxa"/>
          </w:tcPr>
          <w:p w14:paraId="3AA62C94" w14:textId="421427A9" w:rsidR="00742C80" w:rsidRPr="00370818" w:rsidRDefault="00742C80" w:rsidP="00742C80">
            <w:pPr>
              <w:pStyle w:val="Tablecondensed"/>
              <w:rPr>
                <w:lang w:val="en-AU"/>
              </w:rPr>
            </w:pPr>
            <w:r w:rsidRPr="00370818">
              <w:rPr>
                <w:lang w:val="en-AU"/>
              </w:rPr>
              <w:t>8</w:t>
            </w:r>
          </w:p>
        </w:tc>
        <w:tc>
          <w:tcPr>
            <w:tcW w:w="620" w:type="dxa"/>
          </w:tcPr>
          <w:p w14:paraId="1408FCCA" w14:textId="7F8498DA" w:rsidR="00742C80" w:rsidRPr="00370818" w:rsidRDefault="00742C80" w:rsidP="00742C80">
            <w:pPr>
              <w:pStyle w:val="Tablecondensed"/>
              <w:rPr>
                <w:lang w:val="en-AU"/>
              </w:rPr>
            </w:pPr>
            <w:r w:rsidRPr="00370818">
              <w:rPr>
                <w:lang w:val="en-AU"/>
              </w:rPr>
              <w:t>14</w:t>
            </w:r>
          </w:p>
        </w:tc>
        <w:tc>
          <w:tcPr>
            <w:tcW w:w="620" w:type="dxa"/>
          </w:tcPr>
          <w:p w14:paraId="37D68EC0" w14:textId="2C8B3BD6" w:rsidR="00742C80" w:rsidRPr="00370818" w:rsidRDefault="00742C80" w:rsidP="00742C80">
            <w:pPr>
              <w:pStyle w:val="Tablecondensed"/>
              <w:rPr>
                <w:lang w:val="en-AU"/>
              </w:rPr>
            </w:pPr>
            <w:r w:rsidRPr="00370818">
              <w:rPr>
                <w:lang w:val="en-AU"/>
              </w:rPr>
              <w:t>15</w:t>
            </w:r>
          </w:p>
        </w:tc>
        <w:tc>
          <w:tcPr>
            <w:tcW w:w="620" w:type="dxa"/>
          </w:tcPr>
          <w:p w14:paraId="3D2F2C86" w14:textId="6C0C10C2" w:rsidR="00742C80" w:rsidRPr="00370818" w:rsidRDefault="00742C80" w:rsidP="00742C80">
            <w:pPr>
              <w:pStyle w:val="Tablecondensed"/>
              <w:rPr>
                <w:lang w:val="en-AU"/>
              </w:rPr>
            </w:pPr>
            <w:r w:rsidRPr="00370818">
              <w:rPr>
                <w:lang w:val="en-AU"/>
              </w:rPr>
              <w:t>14</w:t>
            </w:r>
          </w:p>
        </w:tc>
        <w:tc>
          <w:tcPr>
            <w:tcW w:w="620" w:type="dxa"/>
          </w:tcPr>
          <w:p w14:paraId="55CBE32D" w14:textId="63CBD152" w:rsidR="00742C80" w:rsidRPr="00370818" w:rsidRDefault="00742C80" w:rsidP="00742C80">
            <w:pPr>
              <w:pStyle w:val="Tablecondensed"/>
              <w:rPr>
                <w:lang w:val="en-AU"/>
              </w:rPr>
            </w:pPr>
            <w:r w:rsidRPr="00370818">
              <w:rPr>
                <w:lang w:val="en-AU"/>
              </w:rPr>
              <w:t>14</w:t>
            </w:r>
          </w:p>
        </w:tc>
        <w:tc>
          <w:tcPr>
            <w:tcW w:w="620" w:type="dxa"/>
          </w:tcPr>
          <w:p w14:paraId="72F9DE2A" w14:textId="1D2A20E4" w:rsidR="00742C80" w:rsidRPr="00370818" w:rsidRDefault="00742C80" w:rsidP="00742C80">
            <w:pPr>
              <w:pStyle w:val="Tablecondensed"/>
              <w:rPr>
                <w:lang w:val="en-AU"/>
              </w:rPr>
            </w:pPr>
            <w:r w:rsidRPr="00370818">
              <w:rPr>
                <w:lang w:val="en-AU"/>
              </w:rPr>
              <w:t>11</w:t>
            </w:r>
          </w:p>
        </w:tc>
        <w:tc>
          <w:tcPr>
            <w:tcW w:w="620" w:type="dxa"/>
          </w:tcPr>
          <w:p w14:paraId="3BD6BC4C" w14:textId="743C8618" w:rsidR="00742C80" w:rsidRPr="00370818" w:rsidRDefault="00742C80" w:rsidP="00742C80">
            <w:pPr>
              <w:pStyle w:val="Tablecondensed"/>
              <w:rPr>
                <w:lang w:val="en-AU"/>
              </w:rPr>
            </w:pPr>
            <w:r w:rsidRPr="00370818">
              <w:rPr>
                <w:lang w:val="en-AU"/>
              </w:rPr>
              <w:t>8</w:t>
            </w:r>
          </w:p>
        </w:tc>
        <w:tc>
          <w:tcPr>
            <w:tcW w:w="620" w:type="dxa"/>
          </w:tcPr>
          <w:p w14:paraId="09D70EAA" w14:textId="516052E5" w:rsidR="00742C80" w:rsidRPr="00370818" w:rsidRDefault="00742C80" w:rsidP="00742C80">
            <w:pPr>
              <w:pStyle w:val="Tablecondensed"/>
              <w:rPr>
                <w:lang w:val="en-AU"/>
              </w:rPr>
            </w:pPr>
            <w:r w:rsidRPr="00370818">
              <w:rPr>
                <w:lang w:val="en-AU"/>
              </w:rPr>
              <w:t>3</w:t>
            </w:r>
          </w:p>
        </w:tc>
        <w:tc>
          <w:tcPr>
            <w:tcW w:w="907" w:type="dxa"/>
          </w:tcPr>
          <w:p w14:paraId="1A5A5704" w14:textId="6ADFF913" w:rsidR="00742C80" w:rsidRPr="00370818" w:rsidRDefault="00742C80" w:rsidP="00742C80">
            <w:pPr>
              <w:pStyle w:val="Tablecondensed"/>
              <w:rPr>
                <w:lang w:val="en-AU"/>
              </w:rPr>
            </w:pPr>
            <w:r w:rsidRPr="00370818">
              <w:rPr>
                <w:lang w:val="en-AU"/>
              </w:rPr>
              <w:t>5.4</w:t>
            </w:r>
          </w:p>
        </w:tc>
      </w:tr>
    </w:tbl>
    <w:p w14:paraId="7C046B52" w14:textId="1585289E" w:rsidR="00D66D8F" w:rsidRPr="00370818" w:rsidRDefault="00D66D8F" w:rsidP="00C971E2">
      <w:pPr>
        <w:pStyle w:val="BodyText"/>
      </w:pPr>
      <w:r w:rsidRPr="00370818">
        <w:t xml:space="preserve">For this question, </w:t>
      </w:r>
      <w:r w:rsidR="504B4E9E" w:rsidRPr="00370818">
        <w:t>students were required to evaluate the methods used and considerations involved in the presentation, conservation and care of artworks while on display. In their responses</w:t>
      </w:r>
      <w:r w:rsidR="005C6966" w:rsidRPr="00370818">
        <w:t>,</w:t>
      </w:r>
      <w:r w:rsidRPr="00370818">
        <w:t xml:space="preserve"> most students selected an exhibition from the current year of study and correctly identified the exhibition space, meeting the study design requirement. Overall, responses varied in depth and balance. </w:t>
      </w:r>
      <w:r w:rsidR="005C6966" w:rsidRPr="00370818">
        <w:t xml:space="preserve">Responses that scored highly </w:t>
      </w:r>
      <w:r w:rsidRPr="00370818">
        <w:t>addressed all aspects of the question</w:t>
      </w:r>
      <w:r w:rsidR="00BC5B8F">
        <w:t xml:space="preserve"> –</w:t>
      </w:r>
      <w:r w:rsidRPr="00370818">
        <w:t xml:space="preserve"> presentation, conservation and care</w:t>
      </w:r>
      <w:r w:rsidR="00BC5B8F">
        <w:t xml:space="preserve"> –</w:t>
      </w:r>
      <w:r w:rsidR="00BC5B8F" w:rsidRPr="00370818">
        <w:t xml:space="preserve"> </w:t>
      </w:r>
      <w:r w:rsidRPr="00370818">
        <w:t xml:space="preserve">rather than focusing on a single component. These responses showed a clear understanding of the methods used and the considerations involved, providing detailed examples of </w:t>
      </w:r>
      <w:r w:rsidR="69B4E850" w:rsidRPr="00370818">
        <w:t xml:space="preserve">presentation including </w:t>
      </w:r>
      <w:r w:rsidRPr="00370818">
        <w:t xml:space="preserve">display strategies such as lighting, spatial arrangement and didactics, alongside conservation measures </w:t>
      </w:r>
      <w:r w:rsidR="00BC5B8F">
        <w:t>such as</w:t>
      </w:r>
      <w:r w:rsidR="00BC5B8F" w:rsidRPr="00370818">
        <w:t xml:space="preserve"> </w:t>
      </w:r>
      <w:r w:rsidRPr="00370818">
        <w:t xml:space="preserve">climate control and security protocols. Importantly, </w:t>
      </w:r>
      <w:r w:rsidR="005C6966" w:rsidRPr="00370818">
        <w:t>high-scoring responses</w:t>
      </w:r>
      <w:r w:rsidRPr="00370818">
        <w:t xml:space="preserve"> moved beyond description to evaluate the effectiveness of these methods, explaining how they supported both the presentation and preservation of artworks. They also incorporated subject-specific vocabulary relevant to the artforms and artworks, linking these choices to their impact on audience experience and artwork longevity.</w:t>
      </w:r>
    </w:p>
    <w:p w14:paraId="5096355B" w14:textId="6CD4E5BA" w:rsidR="00D66D8F" w:rsidRPr="00370818" w:rsidRDefault="00D66D8F" w:rsidP="00C971E2">
      <w:pPr>
        <w:pStyle w:val="BodyText"/>
      </w:pPr>
      <w:r w:rsidRPr="00370818">
        <w:t xml:space="preserve">In contrast, </w:t>
      </w:r>
      <w:r w:rsidR="005C6966" w:rsidRPr="00370818">
        <w:t>responses that did not score well</w:t>
      </w:r>
      <w:r w:rsidRPr="00370818">
        <w:t xml:space="preserve"> often relied on rote-learned lists of conservation practices or generic statements about presentation without applying them to the chosen exhibition. Many of these responses lacked balance, concentrating on aesthetic presentation while neglecting conservation and care, or failing to explain why particular methods were effective. Limited evaluation and minimal use of precise terminology further reduced the quality of these answers.</w:t>
      </w:r>
    </w:p>
    <w:p w14:paraId="2D89B49C" w14:textId="3073FC6F" w:rsidR="00D66D8F" w:rsidRPr="00370818" w:rsidRDefault="00D66D8F" w:rsidP="00C971E2">
      <w:pPr>
        <w:pStyle w:val="BodyText"/>
      </w:pPr>
      <w:r w:rsidRPr="00370818">
        <w:t xml:space="preserve">To </w:t>
      </w:r>
      <w:r w:rsidR="00D32010">
        <w:t>improve their skills</w:t>
      </w:r>
      <w:r w:rsidRPr="00370818">
        <w:t xml:space="preserve">, students should </w:t>
      </w:r>
      <w:r w:rsidR="005C6966" w:rsidRPr="00370818">
        <w:t xml:space="preserve">practise </w:t>
      </w:r>
      <w:r w:rsidRPr="00370818">
        <w:t>connecting technical observations to their purpose and effectiveness, using clear examples drawn from the exhibition. </w:t>
      </w:r>
      <w:r w:rsidR="005C6966" w:rsidRPr="00370818">
        <w:t>Students may structure their</w:t>
      </w:r>
      <w:r w:rsidRPr="00370818">
        <w:t xml:space="preserve"> responses around the three key components of the question and </w:t>
      </w:r>
      <w:r w:rsidR="005C6966" w:rsidRPr="00370818">
        <w:t xml:space="preserve">are encouraged </w:t>
      </w:r>
      <w:r w:rsidRPr="00370818">
        <w:t>to ask critical questions such as:</w:t>
      </w:r>
    </w:p>
    <w:p w14:paraId="16E28244" w14:textId="77777777" w:rsidR="00D66D8F" w:rsidRPr="00370818" w:rsidRDefault="00D66D8F" w:rsidP="00C971E2">
      <w:pPr>
        <w:pStyle w:val="Bullet"/>
        <w:rPr>
          <w:lang w:val="en-AU"/>
        </w:rPr>
      </w:pPr>
      <w:r w:rsidRPr="00370818">
        <w:rPr>
          <w:lang w:val="en-AU"/>
        </w:rPr>
        <w:t xml:space="preserve">Why </w:t>
      </w:r>
      <w:proofErr w:type="gramStart"/>
      <w:r w:rsidRPr="00370818">
        <w:rPr>
          <w:lang w:val="en-AU"/>
        </w:rPr>
        <w:t>was</w:t>
      </w:r>
      <w:proofErr w:type="gramEnd"/>
      <w:r w:rsidRPr="00370818">
        <w:rPr>
          <w:lang w:val="en-AU"/>
        </w:rPr>
        <w:t xml:space="preserve"> this method chosen?</w:t>
      </w:r>
    </w:p>
    <w:p w14:paraId="0AAC2A05" w14:textId="27ABC7D0" w:rsidR="00D66D8F" w:rsidRPr="00370818" w:rsidRDefault="00D66D8F" w:rsidP="00C971E2">
      <w:pPr>
        <w:pStyle w:val="Bullet"/>
        <w:rPr>
          <w:lang w:val="en-AU"/>
        </w:rPr>
      </w:pPr>
      <w:r w:rsidRPr="00370818">
        <w:rPr>
          <w:lang w:val="en-AU"/>
        </w:rPr>
        <w:t xml:space="preserve">How does </w:t>
      </w:r>
      <w:r w:rsidR="0046476D" w:rsidRPr="00370818">
        <w:rPr>
          <w:lang w:val="en-AU"/>
        </w:rPr>
        <w:t xml:space="preserve">the method </w:t>
      </w:r>
      <w:r w:rsidRPr="00370818">
        <w:rPr>
          <w:lang w:val="en-AU"/>
        </w:rPr>
        <w:t>protect the artwork while enhancing its display?</w:t>
      </w:r>
    </w:p>
    <w:p w14:paraId="09D4C7F4" w14:textId="77777777" w:rsidR="00D66D8F" w:rsidRPr="00370818" w:rsidRDefault="00D66D8F" w:rsidP="00C971E2">
      <w:pPr>
        <w:pStyle w:val="BodyText"/>
      </w:pPr>
      <w:r w:rsidRPr="00370818">
        <w:t>Embedding this evaluative approach will help students move beyond descriptive writing and produce responses that demonstrate deeper understanding.</w:t>
      </w:r>
    </w:p>
    <w:p w14:paraId="094BFFBB" w14:textId="77777777" w:rsidR="003E611C" w:rsidRPr="00370818" w:rsidRDefault="00154348" w:rsidP="003E611C">
      <w:pPr>
        <w:pStyle w:val="BodyText"/>
      </w:pPr>
      <w:r w:rsidRPr="00370818">
        <w:t>The following is an example of a high-scoring response.</w:t>
      </w:r>
    </w:p>
    <w:p w14:paraId="1AB6CA2D" w14:textId="4E2F57E6" w:rsidR="00B41C52" w:rsidRPr="00370818" w:rsidRDefault="00B41C52" w:rsidP="00C971E2">
      <w:pPr>
        <w:pStyle w:val="Studentresponse"/>
        <w:rPr>
          <w:rFonts w:eastAsia="Times New Roman"/>
          <w:lang w:eastAsia="en-GB"/>
        </w:rPr>
      </w:pPr>
      <w:r w:rsidRPr="00370818">
        <w:t>Tony Clarke ‘</w:t>
      </w:r>
      <w:proofErr w:type="spellStart"/>
      <w:r w:rsidRPr="00370818">
        <w:t>Unsculpted</w:t>
      </w:r>
      <w:proofErr w:type="spellEnd"/>
      <w:r w:rsidRPr="00370818">
        <w:t xml:space="preserve">’, exhibited at Eastern Contemporary explored the versatility of Tony Clarke’s artistic choices, particularly through his influence of Jasperware. The piece consisted of open room, white walls and grey concrete floors, to assist in drawing emphasis on the artwork being displayed. As the </w:t>
      </w:r>
      <w:r w:rsidRPr="00370818">
        <w:lastRenderedPageBreak/>
        <w:t xml:space="preserve">visitors enter the room, they were greeted by Clarke’s hessian, cotton and </w:t>
      </w:r>
      <w:proofErr w:type="spellStart"/>
      <w:r w:rsidRPr="00370818">
        <w:t>aluminum</w:t>
      </w:r>
      <w:proofErr w:type="spellEnd"/>
      <w:r w:rsidRPr="00370818">
        <w:t xml:space="preserve"> and plaster piece, Jasperware Arrangement,2024. The piece required a controlled lighting level of 50LUX, </w:t>
      </w:r>
      <w:proofErr w:type="gramStart"/>
      <w:r w:rsidRPr="00370818">
        <w:t>in order to</w:t>
      </w:r>
      <w:proofErr w:type="gramEnd"/>
      <w:r w:rsidRPr="00370818">
        <w:t xml:space="preserve"> avoid potential UV damage such as fading or </w:t>
      </w:r>
      <w:proofErr w:type="spellStart"/>
      <w:r w:rsidRPr="00370818">
        <w:t>aluminum</w:t>
      </w:r>
      <w:proofErr w:type="spellEnd"/>
      <w:r w:rsidRPr="00370818">
        <w:t xml:space="preserve"> corrosion. The piece is a sculpture and was placed on a white plinth, positioned in the centre of the room. This placement allowed for a more immersive viewing experience, inviting viewers to walk around and appreciate it from different perspectives. This plinth also acted as a barrier, reminding viewers not to touch, as it would lead to damage. Placed adjacent to Jasperware Arrangement (2024) was Jasperware Landscape (1993), an acrylic on canvas piece. The canvas was mounted to the white wall, with a controlled lighting of 150LUX to allow for the minor details to prevalent for viewers to appreciate. The room was kept at a temperature of 20°C–22°C and relative humidity of 50%–55%, to avoid canvas sagging, as well as disfiguration of the sculpture. The room was also under invigilation processes such as security guards, to remind people to simply admire the works and avoid touching, as damage can be caused to the works due to the oils in human hands contacting the surfaces as these pieces.</w:t>
      </w:r>
    </w:p>
    <w:p w14:paraId="6C65DE45" w14:textId="72D91A24" w:rsidR="00E66A5C" w:rsidRPr="00370818" w:rsidRDefault="00E66A5C" w:rsidP="003E611C">
      <w:pPr>
        <w:pStyle w:val="Heading2"/>
      </w:pPr>
      <w:r w:rsidRPr="00370818">
        <w:t>Question 6</w:t>
      </w:r>
    </w:p>
    <w:tbl>
      <w:tblPr>
        <w:tblW w:w="711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621"/>
        <w:gridCol w:w="621"/>
        <w:gridCol w:w="621"/>
        <w:gridCol w:w="621"/>
        <w:gridCol w:w="620"/>
        <w:gridCol w:w="620"/>
        <w:gridCol w:w="620"/>
        <w:gridCol w:w="620"/>
        <w:gridCol w:w="620"/>
        <w:gridCol w:w="620"/>
        <w:gridCol w:w="907"/>
      </w:tblGrid>
      <w:tr w:rsidR="00742C80" w:rsidRPr="00370818" w14:paraId="2DCD7A9A" w14:textId="77777777" w:rsidTr="0053499B">
        <w:trPr>
          <w:tblHeader/>
        </w:trPr>
        <w:tc>
          <w:tcPr>
            <w:tcW w:w="621" w:type="dxa"/>
            <w:shd w:val="clear" w:color="auto" w:fill="0F7EB4"/>
          </w:tcPr>
          <w:p w14:paraId="18851CFA" w14:textId="77777777" w:rsidR="00742C80" w:rsidRPr="00370818" w:rsidRDefault="00742C80" w:rsidP="0053499B">
            <w:pPr>
              <w:pStyle w:val="Tablecondensedheading"/>
              <w:rPr>
                <w:lang w:val="en-AU"/>
              </w:rPr>
            </w:pPr>
            <w:r w:rsidRPr="00370818">
              <w:rPr>
                <w:lang w:val="en-AU"/>
              </w:rPr>
              <w:t>Mark</w:t>
            </w:r>
          </w:p>
        </w:tc>
        <w:tc>
          <w:tcPr>
            <w:tcW w:w="621" w:type="dxa"/>
            <w:shd w:val="clear" w:color="auto" w:fill="0F7EB4"/>
          </w:tcPr>
          <w:p w14:paraId="45B55A7E" w14:textId="77777777" w:rsidR="00742C80" w:rsidRPr="00370818" w:rsidRDefault="00742C80" w:rsidP="0053499B">
            <w:pPr>
              <w:pStyle w:val="Tablecondensedheading"/>
              <w:rPr>
                <w:lang w:val="en-AU"/>
              </w:rPr>
            </w:pPr>
            <w:r w:rsidRPr="00370818">
              <w:rPr>
                <w:lang w:val="en-AU"/>
              </w:rPr>
              <w:t>0</w:t>
            </w:r>
          </w:p>
        </w:tc>
        <w:tc>
          <w:tcPr>
            <w:tcW w:w="621" w:type="dxa"/>
            <w:shd w:val="clear" w:color="auto" w:fill="0F7EB4"/>
          </w:tcPr>
          <w:p w14:paraId="595D6C0A" w14:textId="77777777" w:rsidR="00742C80" w:rsidRPr="00370818" w:rsidRDefault="00742C80" w:rsidP="0053499B">
            <w:pPr>
              <w:pStyle w:val="Tablecondensedheading"/>
              <w:rPr>
                <w:lang w:val="en-AU"/>
              </w:rPr>
            </w:pPr>
            <w:r w:rsidRPr="00370818">
              <w:rPr>
                <w:lang w:val="en-AU"/>
              </w:rPr>
              <w:t>1</w:t>
            </w:r>
          </w:p>
        </w:tc>
        <w:tc>
          <w:tcPr>
            <w:tcW w:w="621" w:type="dxa"/>
            <w:shd w:val="clear" w:color="auto" w:fill="0F7EB4"/>
          </w:tcPr>
          <w:p w14:paraId="7006946C" w14:textId="77777777" w:rsidR="00742C80" w:rsidRPr="00370818" w:rsidRDefault="00742C80" w:rsidP="0053499B">
            <w:pPr>
              <w:pStyle w:val="Tablecondensedheading"/>
              <w:rPr>
                <w:lang w:val="en-AU"/>
              </w:rPr>
            </w:pPr>
            <w:r w:rsidRPr="00370818">
              <w:rPr>
                <w:lang w:val="en-AU"/>
              </w:rPr>
              <w:t>2</w:t>
            </w:r>
          </w:p>
        </w:tc>
        <w:tc>
          <w:tcPr>
            <w:tcW w:w="620" w:type="dxa"/>
            <w:shd w:val="clear" w:color="auto" w:fill="0F7EB4"/>
          </w:tcPr>
          <w:p w14:paraId="4778D670" w14:textId="77777777" w:rsidR="00742C80" w:rsidRPr="00370818" w:rsidRDefault="00742C80" w:rsidP="0053499B">
            <w:pPr>
              <w:pStyle w:val="Tablecondensedheading"/>
              <w:rPr>
                <w:lang w:val="en-AU"/>
              </w:rPr>
            </w:pPr>
            <w:r w:rsidRPr="00370818">
              <w:rPr>
                <w:lang w:val="en-AU"/>
              </w:rPr>
              <w:t>3</w:t>
            </w:r>
          </w:p>
        </w:tc>
        <w:tc>
          <w:tcPr>
            <w:tcW w:w="620" w:type="dxa"/>
            <w:shd w:val="clear" w:color="auto" w:fill="0F7EB4"/>
          </w:tcPr>
          <w:p w14:paraId="01C7736A" w14:textId="77777777" w:rsidR="00742C80" w:rsidRPr="00370818" w:rsidRDefault="00742C80" w:rsidP="0053499B">
            <w:pPr>
              <w:pStyle w:val="Tablecondensedheading"/>
              <w:rPr>
                <w:lang w:val="en-AU"/>
              </w:rPr>
            </w:pPr>
            <w:r w:rsidRPr="00370818">
              <w:rPr>
                <w:lang w:val="en-AU"/>
              </w:rPr>
              <w:t>4</w:t>
            </w:r>
          </w:p>
        </w:tc>
        <w:tc>
          <w:tcPr>
            <w:tcW w:w="620" w:type="dxa"/>
            <w:shd w:val="clear" w:color="auto" w:fill="0F7EB4"/>
          </w:tcPr>
          <w:p w14:paraId="5BA34C20" w14:textId="77777777" w:rsidR="00742C80" w:rsidRPr="00370818" w:rsidRDefault="00742C80" w:rsidP="0053499B">
            <w:pPr>
              <w:pStyle w:val="Tablecondensedheading"/>
              <w:rPr>
                <w:lang w:val="en-AU"/>
              </w:rPr>
            </w:pPr>
            <w:r w:rsidRPr="00370818">
              <w:rPr>
                <w:lang w:val="en-AU"/>
              </w:rPr>
              <w:t>5</w:t>
            </w:r>
          </w:p>
        </w:tc>
        <w:tc>
          <w:tcPr>
            <w:tcW w:w="620" w:type="dxa"/>
            <w:shd w:val="clear" w:color="auto" w:fill="0F7EB4"/>
          </w:tcPr>
          <w:p w14:paraId="22AC3E52" w14:textId="77777777" w:rsidR="00742C80" w:rsidRPr="00370818" w:rsidRDefault="00742C80" w:rsidP="0053499B">
            <w:pPr>
              <w:pStyle w:val="Tablecondensedheading"/>
              <w:rPr>
                <w:lang w:val="en-AU"/>
              </w:rPr>
            </w:pPr>
            <w:r w:rsidRPr="00370818">
              <w:rPr>
                <w:lang w:val="en-AU"/>
              </w:rPr>
              <w:t>6</w:t>
            </w:r>
          </w:p>
        </w:tc>
        <w:tc>
          <w:tcPr>
            <w:tcW w:w="620" w:type="dxa"/>
            <w:shd w:val="clear" w:color="auto" w:fill="0F7EB4"/>
          </w:tcPr>
          <w:p w14:paraId="44DFA056" w14:textId="77777777" w:rsidR="00742C80" w:rsidRPr="00370818" w:rsidRDefault="00742C80" w:rsidP="0053499B">
            <w:pPr>
              <w:pStyle w:val="Tablecondensedheading"/>
              <w:rPr>
                <w:lang w:val="en-AU"/>
              </w:rPr>
            </w:pPr>
            <w:r w:rsidRPr="00370818">
              <w:rPr>
                <w:lang w:val="en-AU"/>
              </w:rPr>
              <w:t>7</w:t>
            </w:r>
          </w:p>
        </w:tc>
        <w:tc>
          <w:tcPr>
            <w:tcW w:w="620" w:type="dxa"/>
            <w:shd w:val="clear" w:color="auto" w:fill="0F7EB4"/>
          </w:tcPr>
          <w:p w14:paraId="5216E732" w14:textId="77777777" w:rsidR="00742C80" w:rsidRPr="00370818" w:rsidRDefault="00742C80" w:rsidP="0053499B">
            <w:pPr>
              <w:pStyle w:val="Tablecondensedheading"/>
              <w:rPr>
                <w:lang w:val="en-AU"/>
              </w:rPr>
            </w:pPr>
            <w:r w:rsidRPr="00370818">
              <w:rPr>
                <w:lang w:val="en-AU"/>
              </w:rPr>
              <w:t>8</w:t>
            </w:r>
          </w:p>
        </w:tc>
        <w:tc>
          <w:tcPr>
            <w:tcW w:w="907" w:type="dxa"/>
            <w:shd w:val="clear" w:color="auto" w:fill="0F7EB4"/>
          </w:tcPr>
          <w:p w14:paraId="53B04ED7" w14:textId="77777777" w:rsidR="00742C80" w:rsidRPr="00370818" w:rsidRDefault="00742C80" w:rsidP="0053499B">
            <w:pPr>
              <w:pStyle w:val="Tablecondensedheading"/>
              <w:rPr>
                <w:lang w:val="en-AU"/>
              </w:rPr>
            </w:pPr>
            <w:r w:rsidRPr="00370818">
              <w:rPr>
                <w:lang w:val="en-AU"/>
              </w:rPr>
              <w:t>Average</w:t>
            </w:r>
          </w:p>
        </w:tc>
      </w:tr>
      <w:tr w:rsidR="00A95A81" w:rsidRPr="00370818" w14:paraId="007783AA" w14:textId="77777777" w:rsidTr="0053499B">
        <w:tc>
          <w:tcPr>
            <w:tcW w:w="621" w:type="dxa"/>
          </w:tcPr>
          <w:p w14:paraId="3EE54062" w14:textId="77777777" w:rsidR="00A95A81" w:rsidRPr="00370818" w:rsidRDefault="00A95A81" w:rsidP="00A95A81">
            <w:pPr>
              <w:pStyle w:val="Tablecondensed"/>
              <w:rPr>
                <w:lang w:val="en-AU"/>
              </w:rPr>
            </w:pPr>
            <w:r w:rsidRPr="00370818">
              <w:rPr>
                <w:lang w:val="en-AU"/>
              </w:rPr>
              <w:t>%</w:t>
            </w:r>
          </w:p>
        </w:tc>
        <w:tc>
          <w:tcPr>
            <w:tcW w:w="621" w:type="dxa"/>
          </w:tcPr>
          <w:p w14:paraId="7BE3D2A7" w14:textId="025D068C" w:rsidR="00A95A81" w:rsidRPr="00370818" w:rsidRDefault="00A95A81" w:rsidP="00A95A81">
            <w:pPr>
              <w:pStyle w:val="Tablecondensed"/>
              <w:rPr>
                <w:lang w:val="en-AU"/>
              </w:rPr>
            </w:pPr>
            <w:r w:rsidRPr="00370818">
              <w:rPr>
                <w:lang w:val="en-AU"/>
              </w:rPr>
              <w:t>7</w:t>
            </w:r>
          </w:p>
        </w:tc>
        <w:tc>
          <w:tcPr>
            <w:tcW w:w="621" w:type="dxa"/>
          </w:tcPr>
          <w:p w14:paraId="6E1555D0" w14:textId="789061B0" w:rsidR="00A95A81" w:rsidRPr="00370818" w:rsidRDefault="00A95A81" w:rsidP="00A95A81">
            <w:pPr>
              <w:pStyle w:val="Tablecondensed"/>
              <w:rPr>
                <w:lang w:val="en-AU"/>
              </w:rPr>
            </w:pPr>
            <w:r w:rsidRPr="00370818">
              <w:rPr>
                <w:lang w:val="en-AU"/>
              </w:rPr>
              <w:t>6</w:t>
            </w:r>
          </w:p>
        </w:tc>
        <w:tc>
          <w:tcPr>
            <w:tcW w:w="621" w:type="dxa"/>
          </w:tcPr>
          <w:p w14:paraId="438A0439" w14:textId="71EF5082" w:rsidR="00A95A81" w:rsidRPr="00370818" w:rsidRDefault="00A95A81" w:rsidP="00A95A81">
            <w:pPr>
              <w:pStyle w:val="Tablecondensed"/>
              <w:rPr>
                <w:lang w:val="en-AU"/>
              </w:rPr>
            </w:pPr>
            <w:r w:rsidRPr="00370818">
              <w:rPr>
                <w:lang w:val="en-AU"/>
              </w:rPr>
              <w:t>11</w:t>
            </w:r>
          </w:p>
        </w:tc>
        <w:tc>
          <w:tcPr>
            <w:tcW w:w="620" w:type="dxa"/>
          </w:tcPr>
          <w:p w14:paraId="20D0DBB2" w14:textId="18A6895E" w:rsidR="00A95A81" w:rsidRPr="00370818" w:rsidRDefault="00A95A81" w:rsidP="00A95A81">
            <w:pPr>
              <w:pStyle w:val="Tablecondensed"/>
              <w:rPr>
                <w:lang w:val="en-AU"/>
              </w:rPr>
            </w:pPr>
            <w:r w:rsidRPr="00370818">
              <w:rPr>
                <w:lang w:val="en-AU"/>
              </w:rPr>
              <w:t>21</w:t>
            </w:r>
          </w:p>
        </w:tc>
        <w:tc>
          <w:tcPr>
            <w:tcW w:w="620" w:type="dxa"/>
          </w:tcPr>
          <w:p w14:paraId="0788FF1A" w14:textId="73237BB7" w:rsidR="00A95A81" w:rsidRPr="00370818" w:rsidRDefault="00A95A81" w:rsidP="00A95A81">
            <w:pPr>
              <w:pStyle w:val="Tablecondensed"/>
              <w:rPr>
                <w:lang w:val="en-AU"/>
              </w:rPr>
            </w:pPr>
            <w:r w:rsidRPr="00370818">
              <w:rPr>
                <w:lang w:val="en-AU"/>
              </w:rPr>
              <w:t>23</w:t>
            </w:r>
          </w:p>
        </w:tc>
        <w:tc>
          <w:tcPr>
            <w:tcW w:w="620" w:type="dxa"/>
          </w:tcPr>
          <w:p w14:paraId="2DAF4E34" w14:textId="562FBE41" w:rsidR="00A95A81" w:rsidRPr="00370818" w:rsidRDefault="00A95A81" w:rsidP="00A95A81">
            <w:pPr>
              <w:pStyle w:val="Tablecondensed"/>
              <w:rPr>
                <w:lang w:val="en-AU"/>
              </w:rPr>
            </w:pPr>
            <w:r w:rsidRPr="00370818">
              <w:rPr>
                <w:lang w:val="en-AU"/>
              </w:rPr>
              <w:t>16</w:t>
            </w:r>
          </w:p>
        </w:tc>
        <w:tc>
          <w:tcPr>
            <w:tcW w:w="620" w:type="dxa"/>
          </w:tcPr>
          <w:p w14:paraId="3957FEDA" w14:textId="7B53C7BB" w:rsidR="00A95A81" w:rsidRPr="00370818" w:rsidRDefault="00A95A81" w:rsidP="00A95A81">
            <w:pPr>
              <w:pStyle w:val="Tablecondensed"/>
              <w:rPr>
                <w:lang w:val="en-AU"/>
              </w:rPr>
            </w:pPr>
            <w:r w:rsidRPr="00370818">
              <w:rPr>
                <w:lang w:val="en-AU"/>
              </w:rPr>
              <w:t>11</w:t>
            </w:r>
          </w:p>
        </w:tc>
        <w:tc>
          <w:tcPr>
            <w:tcW w:w="620" w:type="dxa"/>
          </w:tcPr>
          <w:p w14:paraId="7FD8C27D" w14:textId="34900B75" w:rsidR="00A95A81" w:rsidRPr="00370818" w:rsidRDefault="00A95A81" w:rsidP="00A95A81">
            <w:pPr>
              <w:pStyle w:val="Tablecondensed"/>
              <w:rPr>
                <w:lang w:val="en-AU"/>
              </w:rPr>
            </w:pPr>
            <w:r w:rsidRPr="00370818">
              <w:rPr>
                <w:lang w:val="en-AU"/>
              </w:rPr>
              <w:t>5</w:t>
            </w:r>
          </w:p>
        </w:tc>
        <w:tc>
          <w:tcPr>
            <w:tcW w:w="620" w:type="dxa"/>
          </w:tcPr>
          <w:p w14:paraId="39AA38AF" w14:textId="47D9364F" w:rsidR="00A95A81" w:rsidRPr="00370818" w:rsidRDefault="00A95A81" w:rsidP="00A95A81">
            <w:pPr>
              <w:pStyle w:val="Tablecondensed"/>
              <w:rPr>
                <w:lang w:val="en-AU"/>
              </w:rPr>
            </w:pPr>
            <w:r w:rsidRPr="00370818">
              <w:rPr>
                <w:lang w:val="en-AU"/>
              </w:rPr>
              <w:t>1</w:t>
            </w:r>
          </w:p>
        </w:tc>
        <w:tc>
          <w:tcPr>
            <w:tcW w:w="907" w:type="dxa"/>
          </w:tcPr>
          <w:p w14:paraId="524D7467" w14:textId="4C00D0D1" w:rsidR="00A95A81" w:rsidRPr="00370818" w:rsidRDefault="00A95A81" w:rsidP="00A95A81">
            <w:pPr>
              <w:pStyle w:val="Tablecondensed"/>
              <w:rPr>
                <w:lang w:val="en-AU"/>
              </w:rPr>
            </w:pPr>
            <w:r w:rsidRPr="00370818">
              <w:rPr>
                <w:lang w:val="en-AU"/>
              </w:rPr>
              <w:t>3.7</w:t>
            </w:r>
          </w:p>
        </w:tc>
      </w:tr>
    </w:tbl>
    <w:p w14:paraId="5214146A" w14:textId="0FA4F3F2" w:rsidR="00E66A5C" w:rsidRPr="00370818" w:rsidRDefault="5EA58A54" w:rsidP="00C971E2">
      <w:pPr>
        <w:pStyle w:val="BodyText"/>
      </w:pPr>
      <w:r w:rsidRPr="00370818">
        <w:t>In this question</w:t>
      </w:r>
      <w:r w:rsidR="00C67A88" w:rsidRPr="00370818">
        <w:t>,</w:t>
      </w:r>
      <w:r w:rsidRPr="00370818">
        <w:t xml:space="preserve"> students were </w:t>
      </w:r>
      <w:r w:rsidR="00C67A88" w:rsidRPr="00370818">
        <w:t xml:space="preserve">asked to </w:t>
      </w:r>
      <w:r w:rsidRPr="00370818">
        <w:t xml:space="preserve">discuss the relevant conservation and care methods for the artwork </w:t>
      </w:r>
      <w:r w:rsidRPr="00A700AD">
        <w:rPr>
          <w:rStyle w:val="Emphasis"/>
        </w:rPr>
        <w:t>So inclined</w:t>
      </w:r>
      <w:r w:rsidRPr="00370818">
        <w:t xml:space="preserve"> by Patrick Dougherty. </w:t>
      </w:r>
      <w:r w:rsidR="5EBAAAF9" w:rsidRPr="00370818">
        <w:t>In their responses</w:t>
      </w:r>
      <w:r w:rsidR="00C67A88" w:rsidRPr="00370818">
        <w:t>,</w:t>
      </w:r>
      <w:r w:rsidR="5EBAAAF9" w:rsidRPr="00370818">
        <w:t xml:space="preserve"> m</w:t>
      </w:r>
      <w:r w:rsidR="00E66A5C" w:rsidRPr="00370818">
        <w:t>any students actively appl</w:t>
      </w:r>
      <w:r w:rsidR="6AF58946" w:rsidRPr="00370818">
        <w:t xml:space="preserve">ied </w:t>
      </w:r>
      <w:r w:rsidR="00E66A5C" w:rsidRPr="00370818">
        <w:t xml:space="preserve">their knowledge </w:t>
      </w:r>
      <w:r w:rsidR="30D3382E" w:rsidRPr="00370818">
        <w:t xml:space="preserve">to the conservation of the artwork </w:t>
      </w:r>
      <w:r w:rsidR="00E66A5C" w:rsidRPr="00370818">
        <w:t>rather than relying on rote learn</w:t>
      </w:r>
      <w:r w:rsidR="408F2000" w:rsidRPr="00370818">
        <w:t>t responses.</w:t>
      </w:r>
      <w:r w:rsidR="00E66A5C" w:rsidRPr="00370818">
        <w:t xml:space="preserve"> </w:t>
      </w:r>
    </w:p>
    <w:p w14:paraId="6E17E089" w14:textId="45F415B9" w:rsidR="00E66A5C" w:rsidRPr="00370818" w:rsidRDefault="00C67A88" w:rsidP="00C971E2">
      <w:pPr>
        <w:pStyle w:val="BodyText"/>
      </w:pPr>
      <w:r w:rsidRPr="00370818">
        <w:t>Responses that scored highly</w:t>
      </w:r>
      <w:r w:rsidR="00E66A5C" w:rsidRPr="00370818">
        <w:t xml:space="preserve"> demonstrated a strong understanding of conservation and care methods appropriate to the nature of the artwork. They made clear and relevant connections between these methods and the context of</w:t>
      </w:r>
      <w:r w:rsidR="00E66A5C" w:rsidRPr="00370818">
        <w:rPr>
          <w:rStyle w:val="apple-converted-space"/>
          <w:rFonts w:eastAsiaTheme="majorEastAsia"/>
        </w:rPr>
        <w:t> </w:t>
      </w:r>
      <w:r w:rsidR="00E66A5C" w:rsidRPr="00370818">
        <w:rPr>
          <w:rStyle w:val="Emphasis"/>
          <w:rFonts w:eastAsiaTheme="majorEastAsia"/>
        </w:rPr>
        <w:t>So Inclined</w:t>
      </w:r>
      <w:r w:rsidR="00E66A5C" w:rsidRPr="00370818">
        <w:rPr>
          <w:rStyle w:val="apple-converted-space"/>
          <w:rFonts w:eastAsiaTheme="majorEastAsia"/>
        </w:rPr>
        <w:t> </w:t>
      </w:r>
      <w:r w:rsidR="00E66A5C" w:rsidRPr="00370818">
        <w:t>as an outdoor installation, considering factors such as exposure to weather, structural stability and the temporary nature of the work. These students referenced specific details from the artwork including its scale, duration and title</w:t>
      </w:r>
      <w:r w:rsidRPr="00370818">
        <w:t>,</w:t>
      </w:r>
      <w:r w:rsidR="00E66A5C" w:rsidRPr="00370818">
        <w:t xml:space="preserve"> and integrated appropriate art terminology to support their </w:t>
      </w:r>
      <w:r w:rsidR="007D0AF9" w:rsidRPr="00370818">
        <w:t>discussion</w:t>
      </w:r>
      <w:r w:rsidR="00E66A5C" w:rsidRPr="00370818">
        <w:t>. Their responses reflected an ability to think critically about site-specific challenges and adapt conservation strategies accordingly.</w:t>
      </w:r>
    </w:p>
    <w:p w14:paraId="250DD40B" w14:textId="1FA8E0A0" w:rsidR="00E66A5C" w:rsidRPr="00370818" w:rsidRDefault="00E66A5C" w:rsidP="00C971E2">
      <w:pPr>
        <w:pStyle w:val="BodyText"/>
      </w:pPr>
      <w:r w:rsidRPr="00370818">
        <w:t>In contrast, responses</w:t>
      </w:r>
      <w:r w:rsidR="00C67A88" w:rsidRPr="00370818">
        <w:t xml:space="preserve"> that did not score well</w:t>
      </w:r>
      <w:r w:rsidRPr="00370818">
        <w:t xml:space="preserve"> often failed to address the site-specific nature of the work, instead discussing generic gallery-based methods that were not relevant to an outdoor installation. These students </w:t>
      </w:r>
      <w:r w:rsidR="00C67A88" w:rsidRPr="00370818">
        <w:t>did not demonstrate</w:t>
      </w:r>
      <w:r w:rsidRPr="00370818">
        <w:t xml:space="preserve"> use </w:t>
      </w:r>
      <w:r w:rsidR="00C67A88" w:rsidRPr="00370818">
        <w:t xml:space="preserve">of </w:t>
      </w:r>
      <w:r w:rsidRPr="00370818">
        <w:t xml:space="preserve">the provided source material to inform their thinking and apply their learning effectively. As a result, their </w:t>
      </w:r>
      <w:r w:rsidR="00C67A88" w:rsidRPr="00370818">
        <w:t xml:space="preserve">responses </w:t>
      </w:r>
      <w:r w:rsidRPr="00370818">
        <w:t xml:space="preserve">lacked depth and did not demonstrate an understanding of the </w:t>
      </w:r>
      <w:r w:rsidR="00292816" w:rsidRPr="00370818">
        <w:t xml:space="preserve">nuanced </w:t>
      </w:r>
      <w:r w:rsidRPr="00370818">
        <w:t xml:space="preserve">considerations involved in caring for large-scale, ephemeral works in outdoor environments. To </w:t>
      </w:r>
      <w:r w:rsidR="00DA1F30">
        <w:t>achieve high</w:t>
      </w:r>
      <w:r w:rsidR="00D32010">
        <w:t>er</w:t>
      </w:r>
      <w:r w:rsidR="00DA1F30">
        <w:t xml:space="preserve"> scores</w:t>
      </w:r>
      <w:r w:rsidRPr="00370818">
        <w:t xml:space="preserve">, students should </w:t>
      </w:r>
      <w:r w:rsidR="00C67A88" w:rsidRPr="00370818">
        <w:t xml:space="preserve">practise </w:t>
      </w:r>
      <w:r w:rsidR="00D66D8F" w:rsidRPr="00370818">
        <w:t>discussing the r</w:t>
      </w:r>
      <w:r w:rsidRPr="00370818">
        <w:t xml:space="preserve">elationship between an artwork’s materiality, context and conservation requirements, using </w:t>
      </w:r>
      <w:r w:rsidR="000A55CB" w:rsidRPr="00370818">
        <w:t xml:space="preserve">the </w:t>
      </w:r>
      <w:r w:rsidRPr="00370818">
        <w:t>materials as a foundation for informed discussion.</w:t>
      </w:r>
    </w:p>
    <w:p w14:paraId="13CCA7D5" w14:textId="77777777" w:rsidR="003E611C" w:rsidRPr="00370818" w:rsidRDefault="00154348" w:rsidP="003E611C">
      <w:pPr>
        <w:pStyle w:val="BodyText"/>
      </w:pPr>
      <w:r w:rsidRPr="00370818">
        <w:t>The following is an example of a high-scoring response.</w:t>
      </w:r>
    </w:p>
    <w:p w14:paraId="10C42949" w14:textId="747DA916" w:rsidR="00B41C52" w:rsidRPr="00370818" w:rsidRDefault="00B41C52" w:rsidP="00C971E2">
      <w:pPr>
        <w:pStyle w:val="Studentresponse"/>
      </w:pPr>
      <w:r w:rsidRPr="00370818">
        <w:t xml:space="preserve">The conservation and care of 'so inclined' depends on Patrick Dougherty's artistic intention. </w:t>
      </w:r>
      <w:r w:rsidR="00154348" w:rsidRPr="00370818">
        <w:t>I</w:t>
      </w:r>
      <w:r w:rsidRPr="00370818">
        <w:t xml:space="preserve">f the intention is to preserve the structures as well as possible for the duration of exhibition, the artwork may be cleaned of debris daily by an attendant/conservator. </w:t>
      </w:r>
      <w:r w:rsidR="00154348" w:rsidRPr="00370818">
        <w:t xml:space="preserve">There </w:t>
      </w:r>
      <w:r w:rsidRPr="00370818">
        <w:t xml:space="preserve">may be drains nearby to prevent water logging and water damage on the wood used. the woods themselves are hardwood meaning they are resilient materials that are less susceptible to light damage. </w:t>
      </w:r>
      <w:r w:rsidR="00154348" w:rsidRPr="00370818">
        <w:t xml:space="preserve">The </w:t>
      </w:r>
      <w:r w:rsidRPr="00370818">
        <w:t xml:space="preserve">main concern for this artwork </w:t>
      </w:r>
      <w:proofErr w:type="gramStart"/>
      <w:r w:rsidRPr="00370818">
        <w:t>are</w:t>
      </w:r>
      <w:proofErr w:type="gramEnd"/>
      <w:r w:rsidRPr="00370818">
        <w:t xml:space="preserve"> termites witch may be prevented with pesticides. </w:t>
      </w:r>
      <w:proofErr w:type="gramStart"/>
      <w:r w:rsidR="00154348" w:rsidRPr="00370818">
        <w:t>Alternatively</w:t>
      </w:r>
      <w:proofErr w:type="gramEnd"/>
      <w:r w:rsidR="00154348" w:rsidRPr="00370818">
        <w:t xml:space="preserve"> </w:t>
      </w:r>
      <w:r w:rsidRPr="00370818">
        <w:t>if it</w:t>
      </w:r>
      <w:r w:rsidR="002F7EAB" w:rsidRPr="00370818">
        <w:t>’</w:t>
      </w:r>
      <w:r w:rsidRPr="00370818">
        <w:t xml:space="preserve">s the artists intent to allow the artwork to degrade within the site and be ephemeral in nature the conservation would centre around preserving the concept of the artwork. details on construction, themes, and the general concept would have to be conserved likely through digital means, likely stored in multiple locations to prevent loss of files. </w:t>
      </w:r>
      <w:r w:rsidR="00154348" w:rsidRPr="00370818">
        <w:t xml:space="preserve">Files </w:t>
      </w:r>
      <w:r w:rsidRPr="00370818">
        <w:t>may be accessed often to prevent corruption and if the technology storing these details become obsolete conservators would have to either migrate the files or conserve the technology</w:t>
      </w:r>
      <w:r w:rsidR="00154348" w:rsidRPr="00370818">
        <w:t>.</w:t>
      </w:r>
    </w:p>
    <w:p w14:paraId="4BE35F6B" w14:textId="7E34F5D4" w:rsidR="00E66A5C" w:rsidRPr="00370818" w:rsidRDefault="00E66A5C" w:rsidP="003E611C">
      <w:pPr>
        <w:pStyle w:val="Heading2"/>
      </w:pPr>
      <w:r w:rsidRPr="00370818">
        <w:lastRenderedPageBreak/>
        <w:t>Question 7</w:t>
      </w:r>
    </w:p>
    <w:tbl>
      <w:tblPr>
        <w:tblW w:w="58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621"/>
        <w:gridCol w:w="621"/>
        <w:gridCol w:w="621"/>
        <w:gridCol w:w="621"/>
        <w:gridCol w:w="620"/>
        <w:gridCol w:w="620"/>
        <w:gridCol w:w="620"/>
        <w:gridCol w:w="620"/>
        <w:gridCol w:w="907"/>
      </w:tblGrid>
      <w:tr w:rsidR="00A95A81" w:rsidRPr="00370818" w14:paraId="79847DC1" w14:textId="77777777" w:rsidTr="0053499B">
        <w:trPr>
          <w:tblHeader/>
        </w:trPr>
        <w:tc>
          <w:tcPr>
            <w:tcW w:w="621" w:type="dxa"/>
            <w:shd w:val="clear" w:color="auto" w:fill="0F7EB4"/>
          </w:tcPr>
          <w:p w14:paraId="7B05CB75" w14:textId="77777777" w:rsidR="00A95A81" w:rsidRPr="00370818" w:rsidRDefault="00A95A81" w:rsidP="0053499B">
            <w:pPr>
              <w:pStyle w:val="Tablecondensedheading"/>
              <w:rPr>
                <w:lang w:val="en-AU"/>
              </w:rPr>
            </w:pPr>
            <w:r w:rsidRPr="00370818">
              <w:rPr>
                <w:lang w:val="en-AU"/>
              </w:rPr>
              <w:t>Mark</w:t>
            </w:r>
          </w:p>
        </w:tc>
        <w:tc>
          <w:tcPr>
            <w:tcW w:w="621" w:type="dxa"/>
            <w:shd w:val="clear" w:color="auto" w:fill="0F7EB4"/>
          </w:tcPr>
          <w:p w14:paraId="285B5293" w14:textId="77777777" w:rsidR="00A95A81" w:rsidRPr="00370818" w:rsidRDefault="00A95A81" w:rsidP="0053499B">
            <w:pPr>
              <w:pStyle w:val="Tablecondensedheading"/>
              <w:rPr>
                <w:lang w:val="en-AU"/>
              </w:rPr>
            </w:pPr>
            <w:r w:rsidRPr="00370818">
              <w:rPr>
                <w:lang w:val="en-AU"/>
              </w:rPr>
              <w:t>0</w:t>
            </w:r>
          </w:p>
        </w:tc>
        <w:tc>
          <w:tcPr>
            <w:tcW w:w="621" w:type="dxa"/>
            <w:shd w:val="clear" w:color="auto" w:fill="0F7EB4"/>
          </w:tcPr>
          <w:p w14:paraId="527B89AC" w14:textId="77777777" w:rsidR="00A95A81" w:rsidRPr="00370818" w:rsidRDefault="00A95A81" w:rsidP="0053499B">
            <w:pPr>
              <w:pStyle w:val="Tablecondensedheading"/>
              <w:rPr>
                <w:lang w:val="en-AU"/>
              </w:rPr>
            </w:pPr>
            <w:r w:rsidRPr="00370818">
              <w:rPr>
                <w:lang w:val="en-AU"/>
              </w:rPr>
              <w:t>1</w:t>
            </w:r>
          </w:p>
        </w:tc>
        <w:tc>
          <w:tcPr>
            <w:tcW w:w="621" w:type="dxa"/>
            <w:shd w:val="clear" w:color="auto" w:fill="0F7EB4"/>
          </w:tcPr>
          <w:p w14:paraId="685D7522" w14:textId="77777777" w:rsidR="00A95A81" w:rsidRPr="00370818" w:rsidRDefault="00A95A81" w:rsidP="0053499B">
            <w:pPr>
              <w:pStyle w:val="Tablecondensedheading"/>
              <w:rPr>
                <w:lang w:val="en-AU"/>
              </w:rPr>
            </w:pPr>
            <w:r w:rsidRPr="00370818">
              <w:rPr>
                <w:lang w:val="en-AU"/>
              </w:rPr>
              <w:t>2</w:t>
            </w:r>
          </w:p>
        </w:tc>
        <w:tc>
          <w:tcPr>
            <w:tcW w:w="620" w:type="dxa"/>
            <w:shd w:val="clear" w:color="auto" w:fill="0F7EB4"/>
          </w:tcPr>
          <w:p w14:paraId="64637789" w14:textId="77777777" w:rsidR="00A95A81" w:rsidRPr="00370818" w:rsidRDefault="00A95A81" w:rsidP="0053499B">
            <w:pPr>
              <w:pStyle w:val="Tablecondensedheading"/>
              <w:rPr>
                <w:lang w:val="en-AU"/>
              </w:rPr>
            </w:pPr>
            <w:r w:rsidRPr="00370818">
              <w:rPr>
                <w:lang w:val="en-AU"/>
              </w:rPr>
              <w:t>3</w:t>
            </w:r>
          </w:p>
        </w:tc>
        <w:tc>
          <w:tcPr>
            <w:tcW w:w="620" w:type="dxa"/>
            <w:shd w:val="clear" w:color="auto" w:fill="0F7EB4"/>
          </w:tcPr>
          <w:p w14:paraId="56EDA8F8" w14:textId="77777777" w:rsidR="00A95A81" w:rsidRPr="00370818" w:rsidRDefault="00A95A81" w:rsidP="0053499B">
            <w:pPr>
              <w:pStyle w:val="Tablecondensedheading"/>
              <w:rPr>
                <w:lang w:val="en-AU"/>
              </w:rPr>
            </w:pPr>
            <w:r w:rsidRPr="00370818">
              <w:rPr>
                <w:lang w:val="en-AU"/>
              </w:rPr>
              <w:t>4</w:t>
            </w:r>
          </w:p>
        </w:tc>
        <w:tc>
          <w:tcPr>
            <w:tcW w:w="620" w:type="dxa"/>
            <w:shd w:val="clear" w:color="auto" w:fill="0F7EB4"/>
          </w:tcPr>
          <w:p w14:paraId="76782900" w14:textId="77777777" w:rsidR="00A95A81" w:rsidRPr="00370818" w:rsidRDefault="00A95A81" w:rsidP="0053499B">
            <w:pPr>
              <w:pStyle w:val="Tablecondensedheading"/>
              <w:rPr>
                <w:lang w:val="en-AU"/>
              </w:rPr>
            </w:pPr>
            <w:r w:rsidRPr="00370818">
              <w:rPr>
                <w:lang w:val="en-AU"/>
              </w:rPr>
              <w:t>5</w:t>
            </w:r>
          </w:p>
        </w:tc>
        <w:tc>
          <w:tcPr>
            <w:tcW w:w="620" w:type="dxa"/>
            <w:shd w:val="clear" w:color="auto" w:fill="0F7EB4"/>
          </w:tcPr>
          <w:p w14:paraId="7AC9EF50" w14:textId="77777777" w:rsidR="00A95A81" w:rsidRPr="00370818" w:rsidRDefault="00A95A81" w:rsidP="0053499B">
            <w:pPr>
              <w:pStyle w:val="Tablecondensedheading"/>
              <w:rPr>
                <w:lang w:val="en-AU"/>
              </w:rPr>
            </w:pPr>
            <w:r w:rsidRPr="00370818">
              <w:rPr>
                <w:lang w:val="en-AU"/>
              </w:rPr>
              <w:t>6</w:t>
            </w:r>
          </w:p>
        </w:tc>
        <w:tc>
          <w:tcPr>
            <w:tcW w:w="907" w:type="dxa"/>
            <w:shd w:val="clear" w:color="auto" w:fill="0F7EB4"/>
          </w:tcPr>
          <w:p w14:paraId="2FEEDC41" w14:textId="77777777" w:rsidR="00A95A81" w:rsidRPr="00370818" w:rsidRDefault="00A95A81" w:rsidP="0053499B">
            <w:pPr>
              <w:pStyle w:val="Tablecondensedheading"/>
              <w:rPr>
                <w:lang w:val="en-AU"/>
              </w:rPr>
            </w:pPr>
            <w:r w:rsidRPr="00370818">
              <w:rPr>
                <w:lang w:val="en-AU"/>
              </w:rPr>
              <w:t>Average</w:t>
            </w:r>
          </w:p>
        </w:tc>
      </w:tr>
      <w:tr w:rsidR="00A95A81" w:rsidRPr="00370818" w14:paraId="3C75C782" w14:textId="77777777" w:rsidTr="0053499B">
        <w:tc>
          <w:tcPr>
            <w:tcW w:w="621" w:type="dxa"/>
          </w:tcPr>
          <w:p w14:paraId="6AD954A4" w14:textId="77777777" w:rsidR="00A95A81" w:rsidRPr="00370818" w:rsidRDefault="00A95A81" w:rsidP="00A95A81">
            <w:pPr>
              <w:pStyle w:val="Tablecondensed"/>
              <w:rPr>
                <w:lang w:val="en-AU"/>
              </w:rPr>
            </w:pPr>
            <w:r w:rsidRPr="00370818">
              <w:rPr>
                <w:lang w:val="en-AU"/>
              </w:rPr>
              <w:t>%</w:t>
            </w:r>
          </w:p>
        </w:tc>
        <w:tc>
          <w:tcPr>
            <w:tcW w:w="621" w:type="dxa"/>
          </w:tcPr>
          <w:p w14:paraId="2E90F76A" w14:textId="094B40D7" w:rsidR="00A95A81" w:rsidRPr="00370818" w:rsidRDefault="00A95A81" w:rsidP="00A95A81">
            <w:pPr>
              <w:pStyle w:val="Tablecondensed"/>
              <w:rPr>
                <w:lang w:val="en-AU"/>
              </w:rPr>
            </w:pPr>
            <w:r w:rsidRPr="00370818">
              <w:rPr>
                <w:lang w:val="en-AU"/>
              </w:rPr>
              <w:t>8</w:t>
            </w:r>
          </w:p>
        </w:tc>
        <w:tc>
          <w:tcPr>
            <w:tcW w:w="621" w:type="dxa"/>
          </w:tcPr>
          <w:p w14:paraId="0A705D46" w14:textId="3E80D240" w:rsidR="00A95A81" w:rsidRPr="00370818" w:rsidRDefault="00A95A81" w:rsidP="00A95A81">
            <w:pPr>
              <w:pStyle w:val="Tablecondensed"/>
              <w:rPr>
                <w:lang w:val="en-AU"/>
              </w:rPr>
            </w:pPr>
            <w:r w:rsidRPr="00370818">
              <w:rPr>
                <w:lang w:val="en-AU"/>
              </w:rPr>
              <w:t>3</w:t>
            </w:r>
          </w:p>
        </w:tc>
        <w:tc>
          <w:tcPr>
            <w:tcW w:w="621" w:type="dxa"/>
          </w:tcPr>
          <w:p w14:paraId="13B71003" w14:textId="2417E86D" w:rsidR="00A95A81" w:rsidRPr="00370818" w:rsidRDefault="00A95A81" w:rsidP="00A95A81">
            <w:pPr>
              <w:pStyle w:val="Tablecondensed"/>
              <w:rPr>
                <w:lang w:val="en-AU"/>
              </w:rPr>
            </w:pPr>
            <w:r w:rsidRPr="00370818">
              <w:rPr>
                <w:lang w:val="en-AU"/>
              </w:rPr>
              <w:t>14</w:t>
            </w:r>
          </w:p>
        </w:tc>
        <w:tc>
          <w:tcPr>
            <w:tcW w:w="620" w:type="dxa"/>
          </w:tcPr>
          <w:p w14:paraId="70EE04CD" w14:textId="5A078BAD" w:rsidR="00A95A81" w:rsidRPr="00370818" w:rsidRDefault="00A95A81" w:rsidP="00A95A81">
            <w:pPr>
              <w:pStyle w:val="Tablecondensed"/>
              <w:rPr>
                <w:lang w:val="en-AU"/>
              </w:rPr>
            </w:pPr>
            <w:r w:rsidRPr="00370818">
              <w:rPr>
                <w:lang w:val="en-AU"/>
              </w:rPr>
              <w:t>26</w:t>
            </w:r>
          </w:p>
        </w:tc>
        <w:tc>
          <w:tcPr>
            <w:tcW w:w="620" w:type="dxa"/>
          </w:tcPr>
          <w:p w14:paraId="763B11C6" w14:textId="30C77BA1" w:rsidR="00A95A81" w:rsidRPr="00370818" w:rsidRDefault="00A95A81" w:rsidP="00A95A81">
            <w:pPr>
              <w:pStyle w:val="Tablecondensed"/>
              <w:rPr>
                <w:lang w:val="en-AU"/>
              </w:rPr>
            </w:pPr>
            <w:r w:rsidRPr="00370818">
              <w:rPr>
                <w:lang w:val="en-AU"/>
              </w:rPr>
              <w:t>29</w:t>
            </w:r>
          </w:p>
        </w:tc>
        <w:tc>
          <w:tcPr>
            <w:tcW w:w="620" w:type="dxa"/>
          </w:tcPr>
          <w:p w14:paraId="5325C8F2" w14:textId="476702FD" w:rsidR="00A95A81" w:rsidRPr="00370818" w:rsidRDefault="00A95A81" w:rsidP="00A95A81">
            <w:pPr>
              <w:pStyle w:val="Tablecondensed"/>
              <w:rPr>
                <w:lang w:val="en-AU"/>
              </w:rPr>
            </w:pPr>
            <w:r w:rsidRPr="00370818">
              <w:rPr>
                <w:lang w:val="en-AU"/>
              </w:rPr>
              <w:t>16</w:t>
            </w:r>
          </w:p>
        </w:tc>
        <w:tc>
          <w:tcPr>
            <w:tcW w:w="620" w:type="dxa"/>
          </w:tcPr>
          <w:p w14:paraId="6B9ADB08" w14:textId="1E0F95A2" w:rsidR="00A95A81" w:rsidRPr="00370818" w:rsidRDefault="00A95A81" w:rsidP="00A95A81">
            <w:pPr>
              <w:pStyle w:val="Tablecondensed"/>
              <w:rPr>
                <w:lang w:val="en-AU"/>
              </w:rPr>
            </w:pPr>
            <w:r w:rsidRPr="00370818">
              <w:rPr>
                <w:lang w:val="en-AU"/>
              </w:rPr>
              <w:t>4</w:t>
            </w:r>
          </w:p>
        </w:tc>
        <w:tc>
          <w:tcPr>
            <w:tcW w:w="907" w:type="dxa"/>
          </w:tcPr>
          <w:p w14:paraId="2ED1AA0F" w14:textId="77777777" w:rsidR="00A95A81" w:rsidRPr="00370818" w:rsidRDefault="00A95A81" w:rsidP="00A95A81">
            <w:pPr>
              <w:pStyle w:val="Tablecondensed"/>
              <w:rPr>
                <w:lang w:val="en-AU"/>
              </w:rPr>
            </w:pPr>
            <w:r w:rsidRPr="00370818">
              <w:rPr>
                <w:lang w:val="en-AU"/>
              </w:rPr>
              <w:t>3.3</w:t>
            </w:r>
          </w:p>
        </w:tc>
      </w:tr>
    </w:tbl>
    <w:p w14:paraId="2CE4109D" w14:textId="6862DF8F" w:rsidR="00E66A5C" w:rsidRPr="00370818" w:rsidRDefault="4181B3BF" w:rsidP="00C971E2">
      <w:pPr>
        <w:pStyle w:val="BodyText"/>
        <w:rPr>
          <w:color w:val="000000"/>
        </w:rPr>
      </w:pPr>
      <w:r w:rsidRPr="00370818">
        <w:t>In this question</w:t>
      </w:r>
      <w:r w:rsidR="00C67A88" w:rsidRPr="00370818">
        <w:t>,</w:t>
      </w:r>
      <w:r w:rsidRPr="00370818">
        <w:t xml:space="preserve"> </w:t>
      </w:r>
      <w:r w:rsidR="00C67A88" w:rsidRPr="00370818">
        <w:t>s</w:t>
      </w:r>
      <w:r w:rsidR="00E66A5C" w:rsidRPr="00370818">
        <w:t xml:space="preserve">tudents </w:t>
      </w:r>
      <w:r w:rsidR="2F9429C0" w:rsidRPr="00370818">
        <w:t xml:space="preserve">were required to explain the representation of ideas and communication of meaning of an artwork they </w:t>
      </w:r>
      <w:r w:rsidR="6FF449F5" w:rsidRPr="00370818">
        <w:t>selected from the insert.</w:t>
      </w:r>
      <w:r w:rsidR="2F9429C0" w:rsidRPr="00370818">
        <w:t xml:space="preserve"> The responses </w:t>
      </w:r>
      <w:r w:rsidR="009355A5" w:rsidRPr="00370818">
        <w:t>indicated</w:t>
      </w:r>
      <w:r w:rsidR="2F9429C0" w:rsidRPr="00370818">
        <w:t xml:space="preserve"> that </w:t>
      </w:r>
      <w:r w:rsidR="00E66A5C" w:rsidRPr="00370818">
        <w:t xml:space="preserve">generally </w:t>
      </w:r>
      <w:r w:rsidR="0922FD3F" w:rsidRPr="00370818">
        <w:t xml:space="preserve">students </w:t>
      </w:r>
      <w:r w:rsidR="00E66A5C" w:rsidRPr="00370818">
        <w:t xml:space="preserve">handled this question well, demonstrating an understanding of how ideas are </w:t>
      </w:r>
      <w:proofErr w:type="gramStart"/>
      <w:r w:rsidR="007D0AF9" w:rsidRPr="00370818">
        <w:t>represented</w:t>
      </w:r>
      <w:proofErr w:type="gramEnd"/>
      <w:r w:rsidR="00E66A5C" w:rsidRPr="00370818">
        <w:t xml:space="preserve"> and meaning is communicated in the artwork. Higher-scoring responses were distinguished by their sophistication of thought and ability to make clear, well-supported connections between the artwork and their interpretation. These students consistently and accurately applied art terminology, integrating visual evidence to explain how compositional choices, symbols and visual language conveyed meaning. Their responses reflected analytical depth and a strong command of language appropriate to the study.</w:t>
      </w:r>
    </w:p>
    <w:p w14:paraId="0E91E796" w14:textId="2CBE223F" w:rsidR="00E66A5C" w:rsidRPr="00370818" w:rsidRDefault="00E66A5C" w:rsidP="00C971E2">
      <w:pPr>
        <w:pStyle w:val="BodyText"/>
      </w:pPr>
      <w:r w:rsidRPr="00370818">
        <w:t xml:space="preserve">Lower-scoring responses, by contrast, tended to list ideas without fully developing them or linking them to specific features of the artwork. Many </w:t>
      </w:r>
      <w:r w:rsidR="009355A5" w:rsidRPr="00370818">
        <w:t xml:space="preserve">neglected </w:t>
      </w:r>
      <w:r w:rsidRPr="00370818">
        <w:t>to use visual evidence to substantiate their interpretations, resulting in answers that were descriptive rather than</w:t>
      </w:r>
      <w:r w:rsidR="009355A5" w:rsidRPr="00370818">
        <w:rPr>
          <w:color w:val="000000"/>
        </w:rPr>
        <w:t xml:space="preserve"> explanatory</w:t>
      </w:r>
      <w:r w:rsidRPr="00370818">
        <w:t xml:space="preserve">. To </w:t>
      </w:r>
      <w:r w:rsidR="00D32010">
        <w:t>achieve higher scores</w:t>
      </w:r>
      <w:r w:rsidRPr="00370818">
        <w:t xml:space="preserve">, students should focus on supporting their </w:t>
      </w:r>
      <w:r w:rsidR="000A55CB" w:rsidRPr="00370818">
        <w:rPr>
          <w:color w:val="000000"/>
        </w:rPr>
        <w:t xml:space="preserve">response </w:t>
      </w:r>
      <w:r w:rsidRPr="00370818">
        <w:t xml:space="preserve">with direct references to the artwork and employ precise terminology to articulate how visual elements communicate meaning. </w:t>
      </w:r>
      <w:r w:rsidR="6F016B6B" w:rsidRPr="00370818">
        <w:t>In VCE Art Making and Exhibiting, it is essential that students have a thorough understanding of an art</w:t>
      </w:r>
      <w:r w:rsidR="009355A5" w:rsidRPr="00370818">
        <w:t xml:space="preserve"> </w:t>
      </w:r>
      <w:r w:rsidR="6F016B6B" w:rsidRPr="00370818">
        <w:t xml:space="preserve">form and how the artist applies visual language to communicate meaning in their artworks. By applying the knowledge of </w:t>
      </w:r>
      <w:r w:rsidR="786C0A7E" w:rsidRPr="00370818">
        <w:t>the art</w:t>
      </w:r>
      <w:r w:rsidR="009355A5" w:rsidRPr="00370818">
        <w:t xml:space="preserve"> </w:t>
      </w:r>
      <w:r w:rsidR="786C0A7E" w:rsidRPr="00370818">
        <w:t xml:space="preserve">form, students will have a greater understanding of the use of visual language to communicate meaning in the artwork. </w:t>
      </w:r>
    </w:p>
    <w:p w14:paraId="445E30CD" w14:textId="1BC4E1AB" w:rsidR="00E66A5C" w:rsidRPr="00370818" w:rsidRDefault="00D32010" w:rsidP="00C971E2">
      <w:pPr>
        <w:pStyle w:val="BodyText"/>
        <w:rPr>
          <w:color w:val="000000"/>
        </w:rPr>
      </w:pPr>
      <w:r>
        <w:t>Students are encouraged</w:t>
      </w:r>
      <w:r w:rsidR="00E66A5C" w:rsidRPr="00370818">
        <w:t xml:space="preserve"> to ask questions such as</w:t>
      </w:r>
      <w:r w:rsidR="00E66A5C" w:rsidRPr="00370818">
        <w:rPr>
          <w:rStyle w:val="apple-converted-space"/>
        </w:rPr>
        <w:t> </w:t>
      </w:r>
      <w:r w:rsidR="009355A5" w:rsidRPr="00370818">
        <w:t>‘</w:t>
      </w:r>
      <w:r w:rsidR="00E66A5C" w:rsidRPr="00370818">
        <w:t xml:space="preserve">What </w:t>
      </w:r>
      <w:r w:rsidR="000A55CB" w:rsidRPr="00370818">
        <w:t xml:space="preserve">might </w:t>
      </w:r>
      <w:r w:rsidR="00E66A5C" w:rsidRPr="00370818">
        <w:t>this element suggest?</w:t>
      </w:r>
      <w:r w:rsidR="009355A5" w:rsidRPr="00370818">
        <w:t>’</w:t>
      </w:r>
      <w:r w:rsidR="00E66A5C" w:rsidRPr="00370818">
        <w:t> and </w:t>
      </w:r>
      <w:r w:rsidR="009355A5" w:rsidRPr="00370818">
        <w:t>‘</w:t>
      </w:r>
      <w:r w:rsidR="00E66A5C" w:rsidRPr="00370818">
        <w:t>How does it contribute to the overall message?</w:t>
      </w:r>
      <w:r w:rsidR="009355A5" w:rsidRPr="00370818">
        <w:t>’</w:t>
      </w:r>
      <w:r w:rsidR="00E66A5C" w:rsidRPr="00370818">
        <w:t> </w:t>
      </w:r>
      <w:r>
        <w:t>to</w:t>
      </w:r>
      <w:r w:rsidRPr="00370818">
        <w:t xml:space="preserve"> </w:t>
      </w:r>
      <w:r w:rsidR="00E66A5C" w:rsidRPr="00370818">
        <w:t>help strengthen their analytical approach.</w:t>
      </w:r>
    </w:p>
    <w:p w14:paraId="7F591C52" w14:textId="77777777" w:rsidR="003E611C" w:rsidRPr="00370818" w:rsidRDefault="00154348" w:rsidP="003E611C">
      <w:pPr>
        <w:pStyle w:val="BodyText"/>
      </w:pPr>
      <w:r w:rsidRPr="00370818">
        <w:t>The following is an example of a high-scoring response.</w:t>
      </w:r>
    </w:p>
    <w:p w14:paraId="70441810" w14:textId="4F941792" w:rsidR="00B41C52" w:rsidRPr="00370818" w:rsidRDefault="00B41C52" w:rsidP="00C971E2">
      <w:pPr>
        <w:pStyle w:val="Studentresponse"/>
      </w:pPr>
      <w:proofErr w:type="spellStart"/>
      <w:r w:rsidRPr="00370818">
        <w:t>Rinko</w:t>
      </w:r>
      <w:proofErr w:type="spellEnd"/>
      <w:r w:rsidRPr="00370818">
        <w:t xml:space="preserve"> Kawauchi's C-type print, 'Untitled,' has a very </w:t>
      </w:r>
      <w:proofErr w:type="spellStart"/>
      <w:r w:rsidRPr="00370818">
        <w:t>somber</w:t>
      </w:r>
      <w:proofErr w:type="spellEnd"/>
      <w:r w:rsidRPr="00370818">
        <w:t xml:space="preserve"> and mysterious feel, evoking a sense of hidden truth and unease. The series titled 'The river embraced me' creates a strong connection to nature, with the captured almost translucent distant greenery contrasted against the white blossoms and tiled fence. The use of negative space in the background implies a sense of dark and dusk or dawn. The microscopic detailing of figures in the bottom right corner, and movement captured directs close attention, making the people seem endlessly small in scale against the </w:t>
      </w:r>
      <w:proofErr w:type="gramStart"/>
      <w:r w:rsidRPr="00370818">
        <w:t>large scale</w:t>
      </w:r>
      <w:proofErr w:type="gramEnd"/>
      <w:r w:rsidRPr="00370818">
        <w:t xml:space="preserve"> trees and fencing. The strong use of monochromatic green filtered colour palette attunes to a captured fragment in time, communicating a sensation of unknown yet familiar balanced subject matter</w:t>
      </w:r>
    </w:p>
    <w:p w14:paraId="76B7E2DB" w14:textId="23D7205F" w:rsidR="00E66A5C" w:rsidRPr="00370818" w:rsidRDefault="00E66A5C" w:rsidP="003E611C">
      <w:pPr>
        <w:pStyle w:val="Heading2"/>
      </w:pPr>
      <w:r w:rsidRPr="00370818">
        <w:t>Question 8</w:t>
      </w:r>
    </w:p>
    <w:p w14:paraId="03D58BF7" w14:textId="4B06A77A" w:rsidR="00A95A81" w:rsidRPr="00370818" w:rsidRDefault="00A95A81" w:rsidP="003E611C">
      <w:pPr>
        <w:pStyle w:val="Heading3"/>
      </w:pPr>
      <w:r w:rsidRPr="00370818">
        <w:t>Question 8a.</w:t>
      </w:r>
    </w:p>
    <w:tbl>
      <w:tblPr>
        <w:tblW w:w="46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621"/>
        <w:gridCol w:w="621"/>
        <w:gridCol w:w="621"/>
        <w:gridCol w:w="621"/>
        <w:gridCol w:w="620"/>
        <w:gridCol w:w="620"/>
        <w:gridCol w:w="907"/>
      </w:tblGrid>
      <w:tr w:rsidR="00A95A81" w:rsidRPr="00370818" w14:paraId="2BB0182D" w14:textId="77777777" w:rsidTr="0053499B">
        <w:trPr>
          <w:tblHeader/>
        </w:trPr>
        <w:tc>
          <w:tcPr>
            <w:tcW w:w="621" w:type="dxa"/>
            <w:shd w:val="clear" w:color="auto" w:fill="0F7EB4"/>
          </w:tcPr>
          <w:p w14:paraId="67F35E5A" w14:textId="77777777" w:rsidR="00A95A81" w:rsidRPr="00370818" w:rsidRDefault="00A95A81" w:rsidP="0053499B">
            <w:pPr>
              <w:pStyle w:val="Tablecondensedheading"/>
              <w:rPr>
                <w:lang w:val="en-AU"/>
              </w:rPr>
            </w:pPr>
            <w:r w:rsidRPr="00370818">
              <w:rPr>
                <w:lang w:val="en-AU"/>
              </w:rPr>
              <w:t>Mark</w:t>
            </w:r>
          </w:p>
        </w:tc>
        <w:tc>
          <w:tcPr>
            <w:tcW w:w="621" w:type="dxa"/>
            <w:shd w:val="clear" w:color="auto" w:fill="0F7EB4"/>
          </w:tcPr>
          <w:p w14:paraId="7E778778" w14:textId="77777777" w:rsidR="00A95A81" w:rsidRPr="00370818" w:rsidRDefault="00A95A81" w:rsidP="0053499B">
            <w:pPr>
              <w:pStyle w:val="Tablecondensedheading"/>
              <w:rPr>
                <w:lang w:val="en-AU"/>
              </w:rPr>
            </w:pPr>
            <w:r w:rsidRPr="00370818">
              <w:rPr>
                <w:lang w:val="en-AU"/>
              </w:rPr>
              <w:t>0</w:t>
            </w:r>
          </w:p>
        </w:tc>
        <w:tc>
          <w:tcPr>
            <w:tcW w:w="621" w:type="dxa"/>
            <w:shd w:val="clear" w:color="auto" w:fill="0F7EB4"/>
          </w:tcPr>
          <w:p w14:paraId="4A95128F" w14:textId="77777777" w:rsidR="00A95A81" w:rsidRPr="00370818" w:rsidRDefault="00A95A81" w:rsidP="0053499B">
            <w:pPr>
              <w:pStyle w:val="Tablecondensedheading"/>
              <w:rPr>
                <w:lang w:val="en-AU"/>
              </w:rPr>
            </w:pPr>
            <w:r w:rsidRPr="00370818">
              <w:rPr>
                <w:lang w:val="en-AU"/>
              </w:rPr>
              <w:t>1</w:t>
            </w:r>
          </w:p>
        </w:tc>
        <w:tc>
          <w:tcPr>
            <w:tcW w:w="621" w:type="dxa"/>
            <w:shd w:val="clear" w:color="auto" w:fill="0F7EB4"/>
          </w:tcPr>
          <w:p w14:paraId="53F5DD7A" w14:textId="77777777" w:rsidR="00A95A81" w:rsidRPr="00370818" w:rsidRDefault="00A95A81" w:rsidP="0053499B">
            <w:pPr>
              <w:pStyle w:val="Tablecondensedheading"/>
              <w:rPr>
                <w:lang w:val="en-AU"/>
              </w:rPr>
            </w:pPr>
            <w:r w:rsidRPr="00370818">
              <w:rPr>
                <w:lang w:val="en-AU"/>
              </w:rPr>
              <w:t>2</w:t>
            </w:r>
          </w:p>
        </w:tc>
        <w:tc>
          <w:tcPr>
            <w:tcW w:w="620" w:type="dxa"/>
            <w:shd w:val="clear" w:color="auto" w:fill="0F7EB4"/>
          </w:tcPr>
          <w:p w14:paraId="1A3E6FE2" w14:textId="77777777" w:rsidR="00A95A81" w:rsidRPr="00370818" w:rsidRDefault="00A95A81" w:rsidP="0053499B">
            <w:pPr>
              <w:pStyle w:val="Tablecondensedheading"/>
              <w:rPr>
                <w:lang w:val="en-AU"/>
              </w:rPr>
            </w:pPr>
            <w:r w:rsidRPr="00370818">
              <w:rPr>
                <w:lang w:val="en-AU"/>
              </w:rPr>
              <w:t>3</w:t>
            </w:r>
          </w:p>
        </w:tc>
        <w:tc>
          <w:tcPr>
            <w:tcW w:w="620" w:type="dxa"/>
            <w:shd w:val="clear" w:color="auto" w:fill="0F7EB4"/>
          </w:tcPr>
          <w:p w14:paraId="6856ED6B" w14:textId="77777777" w:rsidR="00A95A81" w:rsidRPr="00370818" w:rsidRDefault="00A95A81" w:rsidP="0053499B">
            <w:pPr>
              <w:pStyle w:val="Tablecondensedheading"/>
              <w:rPr>
                <w:lang w:val="en-AU"/>
              </w:rPr>
            </w:pPr>
            <w:r w:rsidRPr="00370818">
              <w:rPr>
                <w:lang w:val="en-AU"/>
              </w:rPr>
              <w:t>4</w:t>
            </w:r>
          </w:p>
        </w:tc>
        <w:tc>
          <w:tcPr>
            <w:tcW w:w="907" w:type="dxa"/>
            <w:shd w:val="clear" w:color="auto" w:fill="0F7EB4"/>
          </w:tcPr>
          <w:p w14:paraId="69DF042D" w14:textId="77777777" w:rsidR="00A95A81" w:rsidRPr="00370818" w:rsidRDefault="00A95A81" w:rsidP="0053499B">
            <w:pPr>
              <w:pStyle w:val="Tablecondensedheading"/>
              <w:rPr>
                <w:lang w:val="en-AU"/>
              </w:rPr>
            </w:pPr>
            <w:r w:rsidRPr="00370818">
              <w:rPr>
                <w:lang w:val="en-AU"/>
              </w:rPr>
              <w:t>Average</w:t>
            </w:r>
          </w:p>
        </w:tc>
      </w:tr>
      <w:tr w:rsidR="00A95A81" w:rsidRPr="00370818" w14:paraId="38CA8E44" w14:textId="77777777" w:rsidTr="0053499B">
        <w:tc>
          <w:tcPr>
            <w:tcW w:w="621" w:type="dxa"/>
          </w:tcPr>
          <w:p w14:paraId="1D9C4A6B" w14:textId="77777777" w:rsidR="00A95A81" w:rsidRPr="00370818" w:rsidRDefault="00A95A81" w:rsidP="0053499B">
            <w:pPr>
              <w:pStyle w:val="Tablecondensed"/>
              <w:rPr>
                <w:lang w:val="en-AU"/>
              </w:rPr>
            </w:pPr>
            <w:r w:rsidRPr="00370818">
              <w:rPr>
                <w:lang w:val="en-AU"/>
              </w:rPr>
              <w:t>%</w:t>
            </w:r>
          </w:p>
        </w:tc>
        <w:tc>
          <w:tcPr>
            <w:tcW w:w="621" w:type="dxa"/>
          </w:tcPr>
          <w:p w14:paraId="0FDFBD12" w14:textId="4E785C41" w:rsidR="00A95A81" w:rsidRPr="00370818" w:rsidRDefault="00A95A81" w:rsidP="0053499B">
            <w:pPr>
              <w:pStyle w:val="Tablecondensed"/>
              <w:rPr>
                <w:lang w:val="en-AU"/>
              </w:rPr>
            </w:pPr>
            <w:r w:rsidRPr="00370818">
              <w:rPr>
                <w:lang w:val="en-AU"/>
              </w:rPr>
              <w:t>1</w:t>
            </w:r>
          </w:p>
        </w:tc>
        <w:tc>
          <w:tcPr>
            <w:tcW w:w="621" w:type="dxa"/>
          </w:tcPr>
          <w:p w14:paraId="156518FC" w14:textId="7BDB9037" w:rsidR="00A95A81" w:rsidRPr="00370818" w:rsidRDefault="00A95A81" w:rsidP="0053499B">
            <w:pPr>
              <w:pStyle w:val="Tablecondensed"/>
              <w:rPr>
                <w:lang w:val="en-AU"/>
              </w:rPr>
            </w:pPr>
            <w:r w:rsidRPr="00370818">
              <w:rPr>
                <w:lang w:val="en-AU"/>
              </w:rPr>
              <w:t>0.6</w:t>
            </w:r>
          </w:p>
        </w:tc>
        <w:tc>
          <w:tcPr>
            <w:tcW w:w="621" w:type="dxa"/>
          </w:tcPr>
          <w:p w14:paraId="627C2CEC" w14:textId="35B5DE71" w:rsidR="00A95A81" w:rsidRPr="00370818" w:rsidRDefault="00A95A81" w:rsidP="0053499B">
            <w:pPr>
              <w:pStyle w:val="Tablecondensed"/>
              <w:rPr>
                <w:lang w:val="en-AU"/>
              </w:rPr>
            </w:pPr>
            <w:r w:rsidRPr="00370818">
              <w:rPr>
                <w:lang w:val="en-AU"/>
              </w:rPr>
              <w:t>3</w:t>
            </w:r>
          </w:p>
        </w:tc>
        <w:tc>
          <w:tcPr>
            <w:tcW w:w="620" w:type="dxa"/>
          </w:tcPr>
          <w:p w14:paraId="50D44E79" w14:textId="52FD2DF5" w:rsidR="00A95A81" w:rsidRPr="00370818" w:rsidRDefault="00A95A81" w:rsidP="0053499B">
            <w:pPr>
              <w:pStyle w:val="Tablecondensed"/>
              <w:rPr>
                <w:lang w:val="en-AU"/>
              </w:rPr>
            </w:pPr>
            <w:r w:rsidRPr="00370818">
              <w:rPr>
                <w:lang w:val="en-AU"/>
              </w:rPr>
              <w:t>62</w:t>
            </w:r>
          </w:p>
        </w:tc>
        <w:tc>
          <w:tcPr>
            <w:tcW w:w="620" w:type="dxa"/>
          </w:tcPr>
          <w:p w14:paraId="7BD351A5" w14:textId="0E9CE918" w:rsidR="00A95A81" w:rsidRPr="00370818" w:rsidRDefault="00A95A81" w:rsidP="0053499B">
            <w:pPr>
              <w:pStyle w:val="Tablecondensed"/>
              <w:rPr>
                <w:lang w:val="en-AU"/>
              </w:rPr>
            </w:pPr>
            <w:r w:rsidRPr="00370818">
              <w:rPr>
                <w:lang w:val="en-AU"/>
              </w:rPr>
              <w:t>33</w:t>
            </w:r>
          </w:p>
        </w:tc>
        <w:tc>
          <w:tcPr>
            <w:tcW w:w="907" w:type="dxa"/>
          </w:tcPr>
          <w:p w14:paraId="74F01109" w14:textId="157D5BC4" w:rsidR="00A95A81" w:rsidRPr="00370818" w:rsidRDefault="00A95A81" w:rsidP="0053499B">
            <w:pPr>
              <w:pStyle w:val="Tablecondensed"/>
              <w:rPr>
                <w:lang w:val="en-AU"/>
              </w:rPr>
            </w:pPr>
            <w:r w:rsidRPr="00370818">
              <w:rPr>
                <w:lang w:val="en-AU"/>
              </w:rPr>
              <w:t>3.3</w:t>
            </w:r>
          </w:p>
        </w:tc>
      </w:tr>
    </w:tbl>
    <w:p w14:paraId="43820EE4" w14:textId="4A8107E2" w:rsidR="00E66A5C" w:rsidRPr="00370818" w:rsidRDefault="00E66A5C" w:rsidP="00C971E2">
      <w:pPr>
        <w:pStyle w:val="BodyText"/>
      </w:pPr>
      <w:r w:rsidRPr="00370818">
        <w:t xml:space="preserve">For this question, </w:t>
      </w:r>
      <w:r w:rsidR="6F2F779E" w:rsidRPr="00370818">
        <w:t xml:space="preserve">students were </w:t>
      </w:r>
      <w:r w:rsidR="006F0A62" w:rsidRPr="00370818">
        <w:t xml:space="preserve">asked </w:t>
      </w:r>
      <w:r w:rsidR="6F2F779E" w:rsidRPr="00370818">
        <w:t>to select four artworks from</w:t>
      </w:r>
      <w:r w:rsidR="006F0A62" w:rsidRPr="00370818">
        <w:t xml:space="preserve"> the</w:t>
      </w:r>
      <w:r w:rsidR="6F2F779E" w:rsidRPr="00370818">
        <w:t xml:space="preserve"> insert </w:t>
      </w:r>
      <w:r w:rsidR="006F0A62" w:rsidRPr="00370818">
        <w:t xml:space="preserve">and </w:t>
      </w:r>
      <w:r w:rsidR="6F2F779E" w:rsidRPr="00370818">
        <w:t>consider the possible presentation and location of them in the diagram provided.</w:t>
      </w:r>
      <w:r w:rsidRPr="00370818">
        <w:t xml:space="preserve"> </w:t>
      </w:r>
      <w:r w:rsidR="424826FA" w:rsidRPr="00370818">
        <w:t>M</w:t>
      </w:r>
      <w:r w:rsidRPr="00370818">
        <w:t>ost students successfully selected four artworks and placed them within the exhibition space as required. However, the second component of the question</w:t>
      </w:r>
      <w:r w:rsidR="006F0A62" w:rsidRPr="00370818">
        <w:t>,</w:t>
      </w:r>
      <w:r w:rsidRPr="00370818">
        <w:t xml:space="preserve"> indicating the location of the exhibition didactic panel with the letter</w:t>
      </w:r>
      <w:r w:rsidRPr="00370818">
        <w:rPr>
          <w:rStyle w:val="apple-converted-space"/>
          <w:rFonts w:ascii="Times New Roman" w:hAnsi="Times New Roman"/>
          <w:sz w:val="24"/>
        </w:rPr>
        <w:t> </w:t>
      </w:r>
      <w:r w:rsidRPr="00A700AD">
        <w:rPr>
          <w:rStyle w:val="Strong"/>
          <w:rFonts w:asciiTheme="minorHAnsi" w:hAnsiTheme="minorHAnsi" w:cstheme="minorHAnsi"/>
          <w:sz w:val="24"/>
        </w:rPr>
        <w:t>D</w:t>
      </w:r>
      <w:r w:rsidR="006F0A62" w:rsidRPr="00370818">
        <w:t>,</w:t>
      </w:r>
      <w:r w:rsidRPr="00370818">
        <w:t xml:space="preserve"> </w:t>
      </w:r>
      <w:r w:rsidR="006F0A62" w:rsidRPr="00370818">
        <w:t>was often not completed successfully</w:t>
      </w:r>
      <w:r w:rsidRPr="00370818">
        <w:t xml:space="preserve">. </w:t>
      </w:r>
    </w:p>
    <w:p w14:paraId="488B5DDC" w14:textId="3927E6FC" w:rsidR="00E66A5C" w:rsidRPr="00370818" w:rsidRDefault="00E66A5C" w:rsidP="00C971E2">
      <w:pPr>
        <w:pStyle w:val="BodyText"/>
        <w:rPr>
          <w:color w:val="000000"/>
        </w:rPr>
      </w:pPr>
      <w:proofErr w:type="gramStart"/>
      <w:r w:rsidRPr="00370818">
        <w:t>A number of</w:t>
      </w:r>
      <w:proofErr w:type="gramEnd"/>
      <w:r w:rsidRPr="00370818">
        <w:t xml:space="preserve"> </w:t>
      </w:r>
      <w:r w:rsidR="00C155A6" w:rsidRPr="00370818">
        <w:t>responses</w:t>
      </w:r>
      <w:r w:rsidRPr="00370818">
        <w:t xml:space="preserve"> incorrectly labelled each artwork with a didactic panel rather than marking a single </w:t>
      </w:r>
      <w:r w:rsidR="00C155A6" w:rsidRPr="00370818">
        <w:t xml:space="preserve">exhibition </w:t>
      </w:r>
      <w:r w:rsidRPr="00370818">
        <w:t>didactic panel as instructed. This suggests that some students were not reading the question carefully or fully comprehending its requirements</w:t>
      </w:r>
      <w:r w:rsidR="006F0A62" w:rsidRPr="00370818">
        <w:t>, which limited their ability to achieve full marks</w:t>
      </w:r>
      <w:r w:rsidRPr="00370818">
        <w:t xml:space="preserve">. </w:t>
      </w:r>
      <w:r w:rsidR="006F0A62" w:rsidRPr="00370818">
        <w:lastRenderedPageBreak/>
        <w:t>High</w:t>
      </w:r>
      <w:r w:rsidR="005D3D4E" w:rsidRPr="00370818">
        <w:noBreakHyphen/>
      </w:r>
      <w:r w:rsidR="006F0A62" w:rsidRPr="00370818">
        <w:t>scoring r</w:t>
      </w:r>
      <w:r w:rsidRPr="00370818">
        <w:t xml:space="preserve">esponses demonstrated accuracy in numbering the artworks on the diagram and correctly identifying </w:t>
      </w:r>
      <w:r w:rsidR="007D0AF9" w:rsidRPr="00370818">
        <w:t>a</w:t>
      </w:r>
      <w:r w:rsidRPr="00370818">
        <w:t xml:space="preserve"> position </w:t>
      </w:r>
      <w:r w:rsidR="007D0AF9" w:rsidRPr="00370818">
        <w:t>for</w:t>
      </w:r>
      <w:r w:rsidRPr="00370818">
        <w:t xml:space="preserve"> the didactic panel, reflecting an understanding of spatial relationships and the practical considerations involved in exhibition planning.</w:t>
      </w:r>
    </w:p>
    <w:p w14:paraId="36EA04F4" w14:textId="2CA312D8" w:rsidR="00B41C52" w:rsidRPr="00370818" w:rsidRDefault="00B41C52" w:rsidP="00E66A5C">
      <w:pPr>
        <w:autoSpaceDE w:val="0"/>
        <w:autoSpaceDN w:val="0"/>
        <w:adjustRightInd w:val="0"/>
        <w:rPr>
          <w:rFonts w:ascii="Times New Roman" w:hAnsi="Times New Roman" w:cs="Times New Roman"/>
          <w:lang w:val="en-AU"/>
        </w:rPr>
      </w:pPr>
      <w:r w:rsidRPr="00370818">
        <w:rPr>
          <w:rFonts w:ascii="Times New Roman" w:hAnsi="Times New Roman" w:cs="Times New Roman"/>
          <w:noProof/>
          <w:lang w:val="en-AU"/>
        </w:rPr>
        <w:drawing>
          <wp:inline distT="0" distB="0" distL="0" distR="0" wp14:anchorId="0716C010" wp14:editId="34C6D64D">
            <wp:extent cx="6120765" cy="4303395"/>
            <wp:effectExtent l="0" t="0" r="635" b="1905"/>
            <wp:docPr id="14525143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514307" name="Picture 1452514307"/>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0765" cy="4303395"/>
                    </a:xfrm>
                    <a:prstGeom prst="rect">
                      <a:avLst/>
                    </a:prstGeom>
                  </pic:spPr>
                </pic:pic>
              </a:graphicData>
            </a:graphic>
          </wp:inline>
        </w:drawing>
      </w:r>
    </w:p>
    <w:p w14:paraId="440B5700" w14:textId="77777777" w:rsidR="00883A8B" w:rsidRPr="00370818" w:rsidRDefault="00883A8B" w:rsidP="00883A8B">
      <w:pPr>
        <w:pStyle w:val="Heading3"/>
      </w:pPr>
      <w:r w:rsidRPr="00370818">
        <w:t>Question 8b.</w:t>
      </w:r>
    </w:p>
    <w:tbl>
      <w:tblPr>
        <w:tblW w:w="83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621"/>
        <w:gridCol w:w="621"/>
        <w:gridCol w:w="621"/>
        <w:gridCol w:w="621"/>
        <w:gridCol w:w="620"/>
        <w:gridCol w:w="620"/>
        <w:gridCol w:w="620"/>
        <w:gridCol w:w="620"/>
        <w:gridCol w:w="620"/>
        <w:gridCol w:w="620"/>
        <w:gridCol w:w="620"/>
        <w:gridCol w:w="620"/>
        <w:gridCol w:w="907"/>
      </w:tblGrid>
      <w:tr w:rsidR="00883A8B" w:rsidRPr="00370818" w14:paraId="16D226DD" w14:textId="77777777" w:rsidTr="000001CD">
        <w:trPr>
          <w:tblHeader/>
        </w:trPr>
        <w:tc>
          <w:tcPr>
            <w:tcW w:w="621" w:type="dxa"/>
            <w:shd w:val="clear" w:color="auto" w:fill="0F7EB4"/>
          </w:tcPr>
          <w:p w14:paraId="02156782" w14:textId="77777777" w:rsidR="00883A8B" w:rsidRPr="00370818" w:rsidRDefault="00883A8B" w:rsidP="000001CD">
            <w:pPr>
              <w:pStyle w:val="Tablecondensedheading"/>
              <w:rPr>
                <w:lang w:val="en-AU"/>
              </w:rPr>
            </w:pPr>
            <w:r w:rsidRPr="00370818">
              <w:rPr>
                <w:lang w:val="en-AU"/>
              </w:rPr>
              <w:t>Mark</w:t>
            </w:r>
          </w:p>
        </w:tc>
        <w:tc>
          <w:tcPr>
            <w:tcW w:w="621" w:type="dxa"/>
            <w:shd w:val="clear" w:color="auto" w:fill="0F7EB4"/>
          </w:tcPr>
          <w:p w14:paraId="0A3084CD" w14:textId="77777777" w:rsidR="00883A8B" w:rsidRPr="00370818" w:rsidRDefault="00883A8B" w:rsidP="000001CD">
            <w:pPr>
              <w:pStyle w:val="Tablecondensedheading"/>
              <w:rPr>
                <w:lang w:val="en-AU"/>
              </w:rPr>
            </w:pPr>
            <w:r w:rsidRPr="00370818">
              <w:rPr>
                <w:lang w:val="en-AU"/>
              </w:rPr>
              <w:t>0</w:t>
            </w:r>
          </w:p>
        </w:tc>
        <w:tc>
          <w:tcPr>
            <w:tcW w:w="621" w:type="dxa"/>
            <w:shd w:val="clear" w:color="auto" w:fill="0F7EB4"/>
          </w:tcPr>
          <w:p w14:paraId="02636427" w14:textId="77777777" w:rsidR="00883A8B" w:rsidRPr="00370818" w:rsidRDefault="00883A8B" w:rsidP="000001CD">
            <w:pPr>
              <w:pStyle w:val="Tablecondensedheading"/>
              <w:rPr>
                <w:lang w:val="en-AU"/>
              </w:rPr>
            </w:pPr>
            <w:r w:rsidRPr="00370818">
              <w:rPr>
                <w:lang w:val="en-AU"/>
              </w:rPr>
              <w:t>1</w:t>
            </w:r>
          </w:p>
        </w:tc>
        <w:tc>
          <w:tcPr>
            <w:tcW w:w="621" w:type="dxa"/>
            <w:shd w:val="clear" w:color="auto" w:fill="0F7EB4"/>
          </w:tcPr>
          <w:p w14:paraId="3A05CEB4" w14:textId="77777777" w:rsidR="00883A8B" w:rsidRPr="00370818" w:rsidRDefault="00883A8B" w:rsidP="000001CD">
            <w:pPr>
              <w:pStyle w:val="Tablecondensedheading"/>
              <w:rPr>
                <w:lang w:val="en-AU"/>
              </w:rPr>
            </w:pPr>
            <w:r w:rsidRPr="00370818">
              <w:rPr>
                <w:lang w:val="en-AU"/>
              </w:rPr>
              <w:t>2</w:t>
            </w:r>
          </w:p>
        </w:tc>
        <w:tc>
          <w:tcPr>
            <w:tcW w:w="620" w:type="dxa"/>
            <w:shd w:val="clear" w:color="auto" w:fill="0F7EB4"/>
          </w:tcPr>
          <w:p w14:paraId="0BD78FDD" w14:textId="77777777" w:rsidR="00883A8B" w:rsidRPr="00370818" w:rsidRDefault="00883A8B" w:rsidP="000001CD">
            <w:pPr>
              <w:pStyle w:val="Tablecondensedheading"/>
              <w:rPr>
                <w:lang w:val="en-AU"/>
              </w:rPr>
            </w:pPr>
            <w:r w:rsidRPr="00370818">
              <w:rPr>
                <w:lang w:val="en-AU"/>
              </w:rPr>
              <w:t>3</w:t>
            </w:r>
          </w:p>
        </w:tc>
        <w:tc>
          <w:tcPr>
            <w:tcW w:w="620" w:type="dxa"/>
            <w:shd w:val="clear" w:color="auto" w:fill="0F7EB4"/>
          </w:tcPr>
          <w:p w14:paraId="67B6C4E9" w14:textId="77777777" w:rsidR="00883A8B" w:rsidRPr="00370818" w:rsidRDefault="00883A8B" w:rsidP="000001CD">
            <w:pPr>
              <w:pStyle w:val="Tablecondensedheading"/>
              <w:rPr>
                <w:lang w:val="en-AU"/>
              </w:rPr>
            </w:pPr>
            <w:r w:rsidRPr="00370818">
              <w:rPr>
                <w:lang w:val="en-AU"/>
              </w:rPr>
              <w:t>4</w:t>
            </w:r>
          </w:p>
        </w:tc>
        <w:tc>
          <w:tcPr>
            <w:tcW w:w="620" w:type="dxa"/>
            <w:shd w:val="clear" w:color="auto" w:fill="0F7EB4"/>
          </w:tcPr>
          <w:p w14:paraId="69ACFE40" w14:textId="77777777" w:rsidR="00883A8B" w:rsidRPr="00370818" w:rsidRDefault="00883A8B" w:rsidP="000001CD">
            <w:pPr>
              <w:pStyle w:val="Tablecondensedheading"/>
              <w:rPr>
                <w:lang w:val="en-AU"/>
              </w:rPr>
            </w:pPr>
            <w:r w:rsidRPr="00370818">
              <w:rPr>
                <w:lang w:val="en-AU"/>
              </w:rPr>
              <w:t>5</w:t>
            </w:r>
          </w:p>
        </w:tc>
        <w:tc>
          <w:tcPr>
            <w:tcW w:w="620" w:type="dxa"/>
            <w:shd w:val="clear" w:color="auto" w:fill="0F7EB4"/>
          </w:tcPr>
          <w:p w14:paraId="2CA2D4C3" w14:textId="77777777" w:rsidR="00883A8B" w:rsidRPr="00370818" w:rsidRDefault="00883A8B" w:rsidP="000001CD">
            <w:pPr>
              <w:pStyle w:val="Tablecondensedheading"/>
              <w:rPr>
                <w:lang w:val="en-AU"/>
              </w:rPr>
            </w:pPr>
            <w:r w:rsidRPr="00370818">
              <w:rPr>
                <w:lang w:val="en-AU"/>
              </w:rPr>
              <w:t>6</w:t>
            </w:r>
          </w:p>
        </w:tc>
        <w:tc>
          <w:tcPr>
            <w:tcW w:w="620" w:type="dxa"/>
            <w:shd w:val="clear" w:color="auto" w:fill="0F7EB4"/>
          </w:tcPr>
          <w:p w14:paraId="7DC90BD0" w14:textId="77777777" w:rsidR="00883A8B" w:rsidRPr="00370818" w:rsidRDefault="00883A8B" w:rsidP="000001CD">
            <w:pPr>
              <w:pStyle w:val="Tablecondensedheading"/>
              <w:rPr>
                <w:lang w:val="en-AU"/>
              </w:rPr>
            </w:pPr>
            <w:r w:rsidRPr="00370818">
              <w:rPr>
                <w:lang w:val="en-AU"/>
              </w:rPr>
              <w:t>7</w:t>
            </w:r>
          </w:p>
        </w:tc>
        <w:tc>
          <w:tcPr>
            <w:tcW w:w="620" w:type="dxa"/>
            <w:shd w:val="clear" w:color="auto" w:fill="0F7EB4"/>
          </w:tcPr>
          <w:p w14:paraId="24D715A3" w14:textId="77777777" w:rsidR="00883A8B" w:rsidRPr="00370818" w:rsidRDefault="00883A8B" w:rsidP="000001CD">
            <w:pPr>
              <w:pStyle w:val="Tablecondensedheading"/>
              <w:rPr>
                <w:lang w:val="en-AU"/>
              </w:rPr>
            </w:pPr>
            <w:r w:rsidRPr="00370818">
              <w:rPr>
                <w:lang w:val="en-AU"/>
              </w:rPr>
              <w:t>8</w:t>
            </w:r>
          </w:p>
        </w:tc>
        <w:tc>
          <w:tcPr>
            <w:tcW w:w="620" w:type="dxa"/>
            <w:shd w:val="clear" w:color="auto" w:fill="0F7EB4"/>
          </w:tcPr>
          <w:p w14:paraId="6A65D76B" w14:textId="77777777" w:rsidR="00883A8B" w:rsidRPr="00370818" w:rsidRDefault="00883A8B" w:rsidP="000001CD">
            <w:pPr>
              <w:pStyle w:val="Tablecondensedheading"/>
              <w:rPr>
                <w:lang w:val="en-AU"/>
              </w:rPr>
            </w:pPr>
            <w:r w:rsidRPr="00370818">
              <w:rPr>
                <w:lang w:val="en-AU"/>
              </w:rPr>
              <w:t>9</w:t>
            </w:r>
          </w:p>
        </w:tc>
        <w:tc>
          <w:tcPr>
            <w:tcW w:w="620" w:type="dxa"/>
            <w:shd w:val="clear" w:color="auto" w:fill="0F7EB4"/>
          </w:tcPr>
          <w:p w14:paraId="60060F77" w14:textId="77777777" w:rsidR="00883A8B" w:rsidRPr="00370818" w:rsidRDefault="00883A8B" w:rsidP="000001CD">
            <w:pPr>
              <w:pStyle w:val="Tablecondensedheading"/>
              <w:rPr>
                <w:lang w:val="en-AU"/>
              </w:rPr>
            </w:pPr>
            <w:r w:rsidRPr="00370818">
              <w:rPr>
                <w:lang w:val="en-AU"/>
              </w:rPr>
              <w:t>10</w:t>
            </w:r>
          </w:p>
        </w:tc>
        <w:tc>
          <w:tcPr>
            <w:tcW w:w="907" w:type="dxa"/>
            <w:shd w:val="clear" w:color="auto" w:fill="0F7EB4"/>
          </w:tcPr>
          <w:p w14:paraId="638C4223" w14:textId="77777777" w:rsidR="00883A8B" w:rsidRPr="00370818" w:rsidRDefault="00883A8B" w:rsidP="000001CD">
            <w:pPr>
              <w:pStyle w:val="Tablecondensedheading"/>
              <w:rPr>
                <w:lang w:val="en-AU"/>
              </w:rPr>
            </w:pPr>
            <w:r w:rsidRPr="00370818">
              <w:rPr>
                <w:lang w:val="en-AU"/>
              </w:rPr>
              <w:t>Average</w:t>
            </w:r>
          </w:p>
        </w:tc>
      </w:tr>
      <w:tr w:rsidR="00883A8B" w:rsidRPr="00370818" w14:paraId="02172A9F" w14:textId="77777777" w:rsidTr="000001CD">
        <w:tc>
          <w:tcPr>
            <w:tcW w:w="621" w:type="dxa"/>
          </w:tcPr>
          <w:p w14:paraId="1729A037" w14:textId="77777777" w:rsidR="00883A8B" w:rsidRPr="00370818" w:rsidRDefault="00883A8B" w:rsidP="000001CD">
            <w:pPr>
              <w:pStyle w:val="Tablecondensed"/>
              <w:rPr>
                <w:lang w:val="en-AU"/>
              </w:rPr>
            </w:pPr>
            <w:r w:rsidRPr="00370818">
              <w:rPr>
                <w:lang w:val="en-AU"/>
              </w:rPr>
              <w:t>%</w:t>
            </w:r>
          </w:p>
        </w:tc>
        <w:tc>
          <w:tcPr>
            <w:tcW w:w="621" w:type="dxa"/>
          </w:tcPr>
          <w:p w14:paraId="32F40CBD" w14:textId="77777777" w:rsidR="00883A8B" w:rsidRPr="00370818" w:rsidRDefault="00883A8B" w:rsidP="000001CD">
            <w:pPr>
              <w:pStyle w:val="Tablecondensed"/>
              <w:rPr>
                <w:lang w:val="en-AU"/>
              </w:rPr>
            </w:pPr>
            <w:r w:rsidRPr="00370818">
              <w:rPr>
                <w:lang w:val="en-AU"/>
              </w:rPr>
              <w:t>4</w:t>
            </w:r>
          </w:p>
        </w:tc>
        <w:tc>
          <w:tcPr>
            <w:tcW w:w="621" w:type="dxa"/>
          </w:tcPr>
          <w:p w14:paraId="57996F52" w14:textId="77777777" w:rsidR="00883A8B" w:rsidRPr="00370818" w:rsidRDefault="00883A8B" w:rsidP="000001CD">
            <w:pPr>
              <w:pStyle w:val="Tablecondensed"/>
              <w:rPr>
                <w:lang w:val="en-AU"/>
              </w:rPr>
            </w:pPr>
            <w:r w:rsidRPr="00370818">
              <w:rPr>
                <w:lang w:val="en-AU"/>
              </w:rPr>
              <w:t>2</w:t>
            </w:r>
          </w:p>
        </w:tc>
        <w:tc>
          <w:tcPr>
            <w:tcW w:w="621" w:type="dxa"/>
          </w:tcPr>
          <w:p w14:paraId="345093A0" w14:textId="77777777" w:rsidR="00883A8B" w:rsidRPr="00370818" w:rsidRDefault="00883A8B" w:rsidP="000001CD">
            <w:pPr>
              <w:pStyle w:val="Tablecondensed"/>
              <w:rPr>
                <w:lang w:val="en-AU"/>
              </w:rPr>
            </w:pPr>
            <w:r w:rsidRPr="00370818">
              <w:rPr>
                <w:lang w:val="en-AU"/>
              </w:rPr>
              <w:t>3</w:t>
            </w:r>
          </w:p>
        </w:tc>
        <w:tc>
          <w:tcPr>
            <w:tcW w:w="620" w:type="dxa"/>
          </w:tcPr>
          <w:p w14:paraId="123C3E1D" w14:textId="77777777" w:rsidR="00883A8B" w:rsidRPr="00370818" w:rsidRDefault="00883A8B" w:rsidP="000001CD">
            <w:pPr>
              <w:pStyle w:val="Tablecondensed"/>
              <w:rPr>
                <w:lang w:val="en-AU"/>
              </w:rPr>
            </w:pPr>
            <w:r w:rsidRPr="00370818">
              <w:rPr>
                <w:lang w:val="en-AU"/>
              </w:rPr>
              <w:t>7</w:t>
            </w:r>
          </w:p>
        </w:tc>
        <w:tc>
          <w:tcPr>
            <w:tcW w:w="620" w:type="dxa"/>
          </w:tcPr>
          <w:p w14:paraId="2C27A1F9" w14:textId="77777777" w:rsidR="00883A8B" w:rsidRPr="00370818" w:rsidRDefault="00883A8B" w:rsidP="000001CD">
            <w:pPr>
              <w:pStyle w:val="Tablecondensed"/>
              <w:rPr>
                <w:lang w:val="en-AU"/>
              </w:rPr>
            </w:pPr>
            <w:r w:rsidRPr="00370818">
              <w:rPr>
                <w:lang w:val="en-AU"/>
              </w:rPr>
              <w:t>9</w:t>
            </w:r>
          </w:p>
        </w:tc>
        <w:tc>
          <w:tcPr>
            <w:tcW w:w="620" w:type="dxa"/>
          </w:tcPr>
          <w:p w14:paraId="077D9338" w14:textId="77777777" w:rsidR="00883A8B" w:rsidRPr="00370818" w:rsidRDefault="00883A8B" w:rsidP="000001CD">
            <w:pPr>
              <w:pStyle w:val="Tablecondensed"/>
              <w:rPr>
                <w:lang w:val="en-AU"/>
              </w:rPr>
            </w:pPr>
            <w:r w:rsidRPr="00370818">
              <w:rPr>
                <w:lang w:val="en-AU"/>
              </w:rPr>
              <w:t>16</w:t>
            </w:r>
          </w:p>
        </w:tc>
        <w:tc>
          <w:tcPr>
            <w:tcW w:w="620" w:type="dxa"/>
          </w:tcPr>
          <w:p w14:paraId="778582F0" w14:textId="77777777" w:rsidR="00883A8B" w:rsidRPr="00370818" w:rsidRDefault="00883A8B" w:rsidP="000001CD">
            <w:pPr>
              <w:pStyle w:val="Tablecondensed"/>
              <w:rPr>
                <w:lang w:val="en-AU"/>
              </w:rPr>
            </w:pPr>
            <w:r w:rsidRPr="00370818">
              <w:rPr>
                <w:lang w:val="en-AU"/>
              </w:rPr>
              <w:t>26</w:t>
            </w:r>
          </w:p>
        </w:tc>
        <w:tc>
          <w:tcPr>
            <w:tcW w:w="620" w:type="dxa"/>
          </w:tcPr>
          <w:p w14:paraId="57FD28D9" w14:textId="77777777" w:rsidR="00883A8B" w:rsidRPr="00370818" w:rsidRDefault="00883A8B" w:rsidP="000001CD">
            <w:pPr>
              <w:pStyle w:val="Tablecondensed"/>
              <w:rPr>
                <w:lang w:val="en-AU"/>
              </w:rPr>
            </w:pPr>
            <w:r w:rsidRPr="00370818">
              <w:rPr>
                <w:lang w:val="en-AU"/>
              </w:rPr>
              <w:t>17</w:t>
            </w:r>
          </w:p>
        </w:tc>
        <w:tc>
          <w:tcPr>
            <w:tcW w:w="620" w:type="dxa"/>
          </w:tcPr>
          <w:p w14:paraId="2614E9D2" w14:textId="77777777" w:rsidR="00883A8B" w:rsidRPr="00370818" w:rsidRDefault="00883A8B" w:rsidP="000001CD">
            <w:pPr>
              <w:pStyle w:val="Tablecondensed"/>
              <w:rPr>
                <w:lang w:val="en-AU"/>
              </w:rPr>
            </w:pPr>
            <w:r w:rsidRPr="00370818">
              <w:rPr>
                <w:lang w:val="en-AU"/>
              </w:rPr>
              <w:t>9</w:t>
            </w:r>
          </w:p>
        </w:tc>
        <w:tc>
          <w:tcPr>
            <w:tcW w:w="620" w:type="dxa"/>
          </w:tcPr>
          <w:p w14:paraId="0B5AE0BA" w14:textId="77777777" w:rsidR="00883A8B" w:rsidRPr="00370818" w:rsidRDefault="00883A8B" w:rsidP="000001CD">
            <w:pPr>
              <w:pStyle w:val="Tablecondensed"/>
              <w:rPr>
                <w:lang w:val="en-AU"/>
              </w:rPr>
            </w:pPr>
            <w:r w:rsidRPr="00370818">
              <w:rPr>
                <w:lang w:val="en-AU"/>
              </w:rPr>
              <w:t>5</w:t>
            </w:r>
          </w:p>
        </w:tc>
        <w:tc>
          <w:tcPr>
            <w:tcW w:w="620" w:type="dxa"/>
          </w:tcPr>
          <w:p w14:paraId="386C0554" w14:textId="77777777" w:rsidR="00883A8B" w:rsidRPr="00370818" w:rsidRDefault="00883A8B" w:rsidP="000001CD">
            <w:pPr>
              <w:pStyle w:val="Tablecondensed"/>
              <w:rPr>
                <w:lang w:val="en-AU"/>
              </w:rPr>
            </w:pPr>
            <w:r w:rsidRPr="00370818">
              <w:rPr>
                <w:lang w:val="en-AU"/>
              </w:rPr>
              <w:t>2</w:t>
            </w:r>
          </w:p>
        </w:tc>
        <w:tc>
          <w:tcPr>
            <w:tcW w:w="907" w:type="dxa"/>
          </w:tcPr>
          <w:p w14:paraId="2315457A" w14:textId="77777777" w:rsidR="00883A8B" w:rsidRPr="00370818" w:rsidRDefault="00883A8B" w:rsidP="000001CD">
            <w:pPr>
              <w:pStyle w:val="Tablecondensed"/>
              <w:rPr>
                <w:lang w:val="en-AU"/>
              </w:rPr>
            </w:pPr>
            <w:r w:rsidRPr="00370818">
              <w:rPr>
                <w:lang w:val="en-AU"/>
              </w:rPr>
              <w:t>5.6</w:t>
            </w:r>
          </w:p>
        </w:tc>
      </w:tr>
    </w:tbl>
    <w:p w14:paraId="09504250" w14:textId="6747A465" w:rsidR="00E66A5C" w:rsidRPr="00370818" w:rsidRDefault="00D32010" w:rsidP="00C971E2">
      <w:pPr>
        <w:pStyle w:val="BodyText"/>
        <w:rPr>
          <w:color w:val="000000"/>
        </w:rPr>
      </w:pPr>
      <w:r>
        <w:t>St</w:t>
      </w:r>
      <w:r w:rsidR="1900A502" w:rsidRPr="00370818">
        <w:t xml:space="preserve">udents were </w:t>
      </w:r>
      <w:r w:rsidR="006F0A62" w:rsidRPr="00370818">
        <w:t xml:space="preserve">required </w:t>
      </w:r>
      <w:r w:rsidR="1900A502" w:rsidRPr="00370818">
        <w:t xml:space="preserve">to explain the presentation of artworks </w:t>
      </w:r>
      <w:r>
        <w:t xml:space="preserve">in their response to Question 8a. </w:t>
      </w:r>
      <w:r w:rsidR="1900A502" w:rsidRPr="00370818">
        <w:t xml:space="preserve">and the relationships between them. </w:t>
      </w:r>
      <w:r w:rsidR="00E66A5C" w:rsidRPr="00370818">
        <w:t xml:space="preserve">Students generally responded well to this question, demonstrating an ability to explain and justify their curatorial decisions. Higher-scoring responses provided clear and consistent reasoning for the placement of each artwork, referencing the layout and considering relationships between works in terms of theme, scale and visual flow. These responses articulated how the arrangement supported audience engagement and created cohesion within the exhibition space. Importantly, they addressed all selected artworks equally, using appropriate art and exhibition terminology to </w:t>
      </w:r>
      <w:r w:rsidR="00410417" w:rsidRPr="00370818">
        <w:rPr>
          <w:color w:val="000000"/>
        </w:rPr>
        <w:t xml:space="preserve">explain </w:t>
      </w:r>
      <w:r w:rsidR="00E66A5C" w:rsidRPr="00370818">
        <w:t>display methods and spatial relationships.</w:t>
      </w:r>
      <w:r w:rsidR="24A63174" w:rsidRPr="00370818">
        <w:t xml:space="preserve"> Students also demonstrated an understanding of the art</w:t>
      </w:r>
      <w:r w:rsidR="006F0A62" w:rsidRPr="00370818">
        <w:t xml:space="preserve"> </w:t>
      </w:r>
      <w:r w:rsidR="24A63174" w:rsidRPr="00370818">
        <w:t xml:space="preserve">form and how the works should be displayed in relation to other works. </w:t>
      </w:r>
    </w:p>
    <w:p w14:paraId="670CB5C7" w14:textId="757A26E2" w:rsidR="00E66A5C" w:rsidRPr="00370818" w:rsidRDefault="00E66A5C" w:rsidP="00C971E2">
      <w:pPr>
        <w:pStyle w:val="BodyText"/>
      </w:pPr>
      <w:r w:rsidRPr="00370818">
        <w:t xml:space="preserve">Lower-scoring responses tended to identify where artworks were positioned without offering justification or failed to consider how the works related to one another. Some responses lacked art language and did not differentiate display techniques according to the materials or forms of the artworks. Others focused narrowly on individual works rather than the overall exhibition context, limiting their ability to demonstrate an understanding of curatorial intent. To </w:t>
      </w:r>
      <w:r w:rsidR="00D32010">
        <w:t>achieve higher scores</w:t>
      </w:r>
      <w:r w:rsidRPr="00370818">
        <w:t xml:space="preserve">, students should </w:t>
      </w:r>
      <w:r w:rsidR="00B43F9B" w:rsidRPr="00370818">
        <w:t xml:space="preserve">practise </w:t>
      </w:r>
      <w:r w:rsidRPr="00370818">
        <w:t>explaining</w:t>
      </w:r>
      <w:r w:rsidRPr="00370818">
        <w:rPr>
          <w:rStyle w:val="apple-converted-space"/>
          <w:rFonts w:eastAsiaTheme="majorEastAsia"/>
          <w:color w:val="000000"/>
        </w:rPr>
        <w:t> </w:t>
      </w:r>
      <w:r w:rsidRPr="00370818">
        <w:rPr>
          <w:rStyle w:val="Emphasis"/>
          <w:rFonts w:eastAsiaTheme="majorEastAsia"/>
          <w:color w:val="000000"/>
        </w:rPr>
        <w:t>why</w:t>
      </w:r>
      <w:r w:rsidRPr="00370818">
        <w:rPr>
          <w:rStyle w:val="apple-converted-space"/>
          <w:rFonts w:eastAsiaTheme="majorEastAsia"/>
          <w:color w:val="000000"/>
        </w:rPr>
        <w:t> </w:t>
      </w:r>
      <w:r w:rsidRPr="00370818">
        <w:t>placement decisions were made and how these choices contribute to thematic and visual connections within the space.</w:t>
      </w:r>
    </w:p>
    <w:p w14:paraId="4CF2DF63" w14:textId="236D3258" w:rsidR="00B41C52" w:rsidRPr="00370818" w:rsidRDefault="00154348" w:rsidP="003E611C">
      <w:pPr>
        <w:pStyle w:val="BodyText"/>
      </w:pPr>
      <w:r w:rsidRPr="00370818">
        <w:lastRenderedPageBreak/>
        <w:t>The following is an example of a high-scoring response.</w:t>
      </w:r>
    </w:p>
    <w:p w14:paraId="23216736" w14:textId="158BFD7A" w:rsidR="00B41C52" w:rsidRPr="00370818" w:rsidRDefault="00B41C52" w:rsidP="00C971E2">
      <w:pPr>
        <w:pStyle w:val="Studentresponse"/>
      </w:pPr>
      <w:r w:rsidRPr="00370818">
        <w:t>The proposed exhibition is ‘change’, exploring the changes in which society has undergone over the past 150 years. Artwork 2 takes on a simplistic still life form, representing the appreciation for the minimal elevating the time of creation, 1900. The soft tones grey and brown exemplify the beauty within simplicity, suggesting the appreciation society had for the little things in life, such as ordinary architecture and nature. Juxtaposing Artwork 2, Artwork 5 is placed adjacent to it, positioned on a mannequin that lies on a small plinth, slightly raised to accentuate the piece. ‘Mini dress’ represents the shift experienced during the 1960’s, particularly in western society, where consumerism was becoming increasingly prevalent and extremely influential, particularly through fashion. The use of bright hues of pink, green and yellow symbolize the societal shift, no longer appreciating the mundane, but rather seeking bright and extraordinary things. Placed on a wall to the right of Artwork 5 is Artwork 6. ‘Sneakers’ represents the beginning of what is considered the greatest societal shift of the modern age – the digital age, due to it being digitally created on Adobe Illustrator. The piece represents society’s inability to overcome the consumeristic values that began almost fifty years prior, characterized by the vibrant tones of yellow, green and red, as well as the subject matter of sneakers. The largest wall in the exhibition will contain the most recently made piece, Artwork 3. ‘My Tinder profile’ was made in 2016 and represents the digital age as we know it being a single channel digital video. The choice of the largest wall was due to its audiovisual dimensions, allowing for the piece to take up majority of the space. In promoting the appreciation of past influences, these choices ensure that Artwork 3 is juxtaposed to the previous piece, returning the appreciation to the mundane seen in Artwork 2. This reinforces the circular influence society undergoes.</w:t>
      </w:r>
    </w:p>
    <w:p w14:paraId="351D5EC9" w14:textId="74DC2153" w:rsidR="00E66A5C" w:rsidRPr="00370818" w:rsidRDefault="00E66A5C" w:rsidP="003E611C">
      <w:pPr>
        <w:pStyle w:val="Heading2"/>
      </w:pPr>
      <w:r w:rsidRPr="00370818">
        <w:t>Question 9</w:t>
      </w:r>
    </w:p>
    <w:tbl>
      <w:tblPr>
        <w:tblW w:w="83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621"/>
        <w:gridCol w:w="621"/>
        <w:gridCol w:w="621"/>
        <w:gridCol w:w="621"/>
        <w:gridCol w:w="620"/>
        <w:gridCol w:w="620"/>
        <w:gridCol w:w="620"/>
        <w:gridCol w:w="620"/>
        <w:gridCol w:w="620"/>
        <w:gridCol w:w="620"/>
        <w:gridCol w:w="620"/>
        <w:gridCol w:w="620"/>
        <w:gridCol w:w="907"/>
      </w:tblGrid>
      <w:tr w:rsidR="00A95A81" w:rsidRPr="00370818" w14:paraId="664E8D6A" w14:textId="77777777" w:rsidTr="0053499B">
        <w:trPr>
          <w:tblHeader/>
        </w:trPr>
        <w:tc>
          <w:tcPr>
            <w:tcW w:w="621" w:type="dxa"/>
            <w:shd w:val="clear" w:color="auto" w:fill="0F7EB4"/>
          </w:tcPr>
          <w:p w14:paraId="2191E356" w14:textId="77777777" w:rsidR="00A95A81" w:rsidRPr="00370818" w:rsidRDefault="00A95A81" w:rsidP="0053499B">
            <w:pPr>
              <w:pStyle w:val="Tablecondensedheading"/>
              <w:rPr>
                <w:lang w:val="en-AU"/>
              </w:rPr>
            </w:pPr>
            <w:r w:rsidRPr="00370818">
              <w:rPr>
                <w:lang w:val="en-AU"/>
              </w:rPr>
              <w:t>Mark</w:t>
            </w:r>
          </w:p>
        </w:tc>
        <w:tc>
          <w:tcPr>
            <w:tcW w:w="621" w:type="dxa"/>
            <w:shd w:val="clear" w:color="auto" w:fill="0F7EB4"/>
          </w:tcPr>
          <w:p w14:paraId="74CB185B" w14:textId="77777777" w:rsidR="00A95A81" w:rsidRPr="00370818" w:rsidRDefault="00A95A81" w:rsidP="0053499B">
            <w:pPr>
              <w:pStyle w:val="Tablecondensedheading"/>
              <w:rPr>
                <w:lang w:val="en-AU"/>
              </w:rPr>
            </w:pPr>
            <w:r w:rsidRPr="00370818">
              <w:rPr>
                <w:lang w:val="en-AU"/>
              </w:rPr>
              <w:t>0</w:t>
            </w:r>
          </w:p>
        </w:tc>
        <w:tc>
          <w:tcPr>
            <w:tcW w:w="621" w:type="dxa"/>
            <w:shd w:val="clear" w:color="auto" w:fill="0F7EB4"/>
          </w:tcPr>
          <w:p w14:paraId="2E724B27" w14:textId="77777777" w:rsidR="00A95A81" w:rsidRPr="00370818" w:rsidRDefault="00A95A81" w:rsidP="0053499B">
            <w:pPr>
              <w:pStyle w:val="Tablecondensedheading"/>
              <w:rPr>
                <w:lang w:val="en-AU"/>
              </w:rPr>
            </w:pPr>
            <w:r w:rsidRPr="00370818">
              <w:rPr>
                <w:lang w:val="en-AU"/>
              </w:rPr>
              <w:t>1</w:t>
            </w:r>
          </w:p>
        </w:tc>
        <w:tc>
          <w:tcPr>
            <w:tcW w:w="621" w:type="dxa"/>
            <w:shd w:val="clear" w:color="auto" w:fill="0F7EB4"/>
          </w:tcPr>
          <w:p w14:paraId="71B9E6D0" w14:textId="77777777" w:rsidR="00A95A81" w:rsidRPr="00370818" w:rsidRDefault="00A95A81" w:rsidP="0053499B">
            <w:pPr>
              <w:pStyle w:val="Tablecondensedheading"/>
              <w:rPr>
                <w:lang w:val="en-AU"/>
              </w:rPr>
            </w:pPr>
            <w:r w:rsidRPr="00370818">
              <w:rPr>
                <w:lang w:val="en-AU"/>
              </w:rPr>
              <w:t>2</w:t>
            </w:r>
          </w:p>
        </w:tc>
        <w:tc>
          <w:tcPr>
            <w:tcW w:w="620" w:type="dxa"/>
            <w:shd w:val="clear" w:color="auto" w:fill="0F7EB4"/>
          </w:tcPr>
          <w:p w14:paraId="03D8BCFE" w14:textId="77777777" w:rsidR="00A95A81" w:rsidRPr="00370818" w:rsidRDefault="00A95A81" w:rsidP="0053499B">
            <w:pPr>
              <w:pStyle w:val="Tablecondensedheading"/>
              <w:rPr>
                <w:lang w:val="en-AU"/>
              </w:rPr>
            </w:pPr>
            <w:r w:rsidRPr="00370818">
              <w:rPr>
                <w:lang w:val="en-AU"/>
              </w:rPr>
              <w:t>3</w:t>
            </w:r>
          </w:p>
        </w:tc>
        <w:tc>
          <w:tcPr>
            <w:tcW w:w="620" w:type="dxa"/>
            <w:shd w:val="clear" w:color="auto" w:fill="0F7EB4"/>
          </w:tcPr>
          <w:p w14:paraId="2CD70077" w14:textId="77777777" w:rsidR="00A95A81" w:rsidRPr="00370818" w:rsidRDefault="00A95A81" w:rsidP="0053499B">
            <w:pPr>
              <w:pStyle w:val="Tablecondensedheading"/>
              <w:rPr>
                <w:lang w:val="en-AU"/>
              </w:rPr>
            </w:pPr>
            <w:r w:rsidRPr="00370818">
              <w:rPr>
                <w:lang w:val="en-AU"/>
              </w:rPr>
              <w:t>4</w:t>
            </w:r>
          </w:p>
        </w:tc>
        <w:tc>
          <w:tcPr>
            <w:tcW w:w="620" w:type="dxa"/>
            <w:shd w:val="clear" w:color="auto" w:fill="0F7EB4"/>
          </w:tcPr>
          <w:p w14:paraId="4F39A4CE" w14:textId="77777777" w:rsidR="00A95A81" w:rsidRPr="00370818" w:rsidRDefault="00A95A81" w:rsidP="0053499B">
            <w:pPr>
              <w:pStyle w:val="Tablecondensedheading"/>
              <w:rPr>
                <w:lang w:val="en-AU"/>
              </w:rPr>
            </w:pPr>
            <w:r w:rsidRPr="00370818">
              <w:rPr>
                <w:lang w:val="en-AU"/>
              </w:rPr>
              <w:t>5</w:t>
            </w:r>
          </w:p>
        </w:tc>
        <w:tc>
          <w:tcPr>
            <w:tcW w:w="620" w:type="dxa"/>
            <w:shd w:val="clear" w:color="auto" w:fill="0F7EB4"/>
          </w:tcPr>
          <w:p w14:paraId="717448ED" w14:textId="77777777" w:rsidR="00A95A81" w:rsidRPr="00370818" w:rsidRDefault="00A95A81" w:rsidP="0053499B">
            <w:pPr>
              <w:pStyle w:val="Tablecondensedheading"/>
              <w:rPr>
                <w:lang w:val="en-AU"/>
              </w:rPr>
            </w:pPr>
            <w:r w:rsidRPr="00370818">
              <w:rPr>
                <w:lang w:val="en-AU"/>
              </w:rPr>
              <w:t>6</w:t>
            </w:r>
          </w:p>
        </w:tc>
        <w:tc>
          <w:tcPr>
            <w:tcW w:w="620" w:type="dxa"/>
            <w:shd w:val="clear" w:color="auto" w:fill="0F7EB4"/>
          </w:tcPr>
          <w:p w14:paraId="151EA0FD" w14:textId="77777777" w:rsidR="00A95A81" w:rsidRPr="00370818" w:rsidRDefault="00A95A81" w:rsidP="0053499B">
            <w:pPr>
              <w:pStyle w:val="Tablecondensedheading"/>
              <w:rPr>
                <w:lang w:val="en-AU"/>
              </w:rPr>
            </w:pPr>
            <w:r w:rsidRPr="00370818">
              <w:rPr>
                <w:lang w:val="en-AU"/>
              </w:rPr>
              <w:t>7</w:t>
            </w:r>
          </w:p>
        </w:tc>
        <w:tc>
          <w:tcPr>
            <w:tcW w:w="620" w:type="dxa"/>
            <w:shd w:val="clear" w:color="auto" w:fill="0F7EB4"/>
          </w:tcPr>
          <w:p w14:paraId="5312CB2C" w14:textId="77777777" w:rsidR="00A95A81" w:rsidRPr="00370818" w:rsidRDefault="00A95A81" w:rsidP="0053499B">
            <w:pPr>
              <w:pStyle w:val="Tablecondensedheading"/>
              <w:rPr>
                <w:lang w:val="en-AU"/>
              </w:rPr>
            </w:pPr>
            <w:r w:rsidRPr="00370818">
              <w:rPr>
                <w:lang w:val="en-AU"/>
              </w:rPr>
              <w:t>8</w:t>
            </w:r>
          </w:p>
        </w:tc>
        <w:tc>
          <w:tcPr>
            <w:tcW w:w="620" w:type="dxa"/>
            <w:shd w:val="clear" w:color="auto" w:fill="0F7EB4"/>
          </w:tcPr>
          <w:p w14:paraId="130938D8" w14:textId="77777777" w:rsidR="00A95A81" w:rsidRPr="00370818" w:rsidRDefault="00A95A81" w:rsidP="0053499B">
            <w:pPr>
              <w:pStyle w:val="Tablecondensedheading"/>
              <w:rPr>
                <w:lang w:val="en-AU"/>
              </w:rPr>
            </w:pPr>
            <w:r w:rsidRPr="00370818">
              <w:rPr>
                <w:lang w:val="en-AU"/>
              </w:rPr>
              <w:t>9</w:t>
            </w:r>
          </w:p>
        </w:tc>
        <w:tc>
          <w:tcPr>
            <w:tcW w:w="620" w:type="dxa"/>
            <w:shd w:val="clear" w:color="auto" w:fill="0F7EB4"/>
          </w:tcPr>
          <w:p w14:paraId="63D6727C" w14:textId="77777777" w:rsidR="00A95A81" w:rsidRPr="00370818" w:rsidRDefault="00A95A81" w:rsidP="0053499B">
            <w:pPr>
              <w:pStyle w:val="Tablecondensedheading"/>
              <w:rPr>
                <w:lang w:val="en-AU"/>
              </w:rPr>
            </w:pPr>
            <w:r w:rsidRPr="00370818">
              <w:rPr>
                <w:lang w:val="en-AU"/>
              </w:rPr>
              <w:t>10</w:t>
            </w:r>
          </w:p>
        </w:tc>
        <w:tc>
          <w:tcPr>
            <w:tcW w:w="907" w:type="dxa"/>
            <w:shd w:val="clear" w:color="auto" w:fill="0F7EB4"/>
          </w:tcPr>
          <w:p w14:paraId="34F2EBD8" w14:textId="77777777" w:rsidR="00A95A81" w:rsidRPr="00370818" w:rsidRDefault="00A95A81" w:rsidP="0053499B">
            <w:pPr>
              <w:pStyle w:val="Tablecondensedheading"/>
              <w:rPr>
                <w:lang w:val="en-AU"/>
              </w:rPr>
            </w:pPr>
            <w:r w:rsidRPr="00370818">
              <w:rPr>
                <w:lang w:val="en-AU"/>
              </w:rPr>
              <w:t>Average</w:t>
            </w:r>
          </w:p>
        </w:tc>
      </w:tr>
      <w:tr w:rsidR="00EA1182" w:rsidRPr="00370818" w14:paraId="0FA332F1" w14:textId="77777777" w:rsidTr="0053499B">
        <w:tc>
          <w:tcPr>
            <w:tcW w:w="621" w:type="dxa"/>
          </w:tcPr>
          <w:p w14:paraId="6E941471" w14:textId="77777777" w:rsidR="00EA1182" w:rsidRPr="00370818" w:rsidRDefault="00EA1182" w:rsidP="00EA1182">
            <w:pPr>
              <w:pStyle w:val="Tablecondensed"/>
              <w:rPr>
                <w:lang w:val="en-AU"/>
              </w:rPr>
            </w:pPr>
            <w:r w:rsidRPr="00370818">
              <w:rPr>
                <w:lang w:val="en-AU"/>
              </w:rPr>
              <w:t>%</w:t>
            </w:r>
          </w:p>
        </w:tc>
        <w:tc>
          <w:tcPr>
            <w:tcW w:w="621" w:type="dxa"/>
          </w:tcPr>
          <w:p w14:paraId="41E11355" w14:textId="211FC9F1" w:rsidR="00EA1182" w:rsidRPr="00370818" w:rsidRDefault="00EA1182" w:rsidP="00EA1182">
            <w:pPr>
              <w:pStyle w:val="Tablecondensed"/>
              <w:rPr>
                <w:lang w:val="en-AU"/>
              </w:rPr>
            </w:pPr>
            <w:r w:rsidRPr="00370818">
              <w:rPr>
                <w:lang w:val="en-AU"/>
              </w:rPr>
              <w:t>9</w:t>
            </w:r>
          </w:p>
        </w:tc>
        <w:tc>
          <w:tcPr>
            <w:tcW w:w="621" w:type="dxa"/>
          </w:tcPr>
          <w:p w14:paraId="72AF8D73" w14:textId="2E5157E0" w:rsidR="00EA1182" w:rsidRPr="00370818" w:rsidRDefault="00EA1182" w:rsidP="00EA1182">
            <w:pPr>
              <w:pStyle w:val="Tablecondensed"/>
              <w:rPr>
                <w:lang w:val="en-AU"/>
              </w:rPr>
            </w:pPr>
            <w:r w:rsidRPr="00370818">
              <w:rPr>
                <w:lang w:val="en-AU"/>
              </w:rPr>
              <w:t>3</w:t>
            </w:r>
          </w:p>
        </w:tc>
        <w:tc>
          <w:tcPr>
            <w:tcW w:w="621" w:type="dxa"/>
          </w:tcPr>
          <w:p w14:paraId="53D2725B" w14:textId="31C9EAB7" w:rsidR="00EA1182" w:rsidRPr="00370818" w:rsidRDefault="00EA1182" w:rsidP="00EA1182">
            <w:pPr>
              <w:pStyle w:val="Tablecondensed"/>
              <w:rPr>
                <w:lang w:val="en-AU"/>
              </w:rPr>
            </w:pPr>
            <w:r w:rsidRPr="00370818">
              <w:rPr>
                <w:lang w:val="en-AU"/>
              </w:rPr>
              <w:t>8</w:t>
            </w:r>
          </w:p>
        </w:tc>
        <w:tc>
          <w:tcPr>
            <w:tcW w:w="620" w:type="dxa"/>
          </w:tcPr>
          <w:p w14:paraId="4B79F762" w14:textId="317AB9B3" w:rsidR="00EA1182" w:rsidRPr="00370818" w:rsidRDefault="00EA1182" w:rsidP="00EA1182">
            <w:pPr>
              <w:pStyle w:val="Tablecondensed"/>
              <w:rPr>
                <w:lang w:val="en-AU"/>
              </w:rPr>
            </w:pPr>
            <w:r w:rsidRPr="00370818">
              <w:rPr>
                <w:lang w:val="en-AU"/>
              </w:rPr>
              <w:t>10</w:t>
            </w:r>
          </w:p>
        </w:tc>
        <w:tc>
          <w:tcPr>
            <w:tcW w:w="620" w:type="dxa"/>
          </w:tcPr>
          <w:p w14:paraId="21143AC7" w14:textId="52F53297" w:rsidR="00EA1182" w:rsidRPr="00370818" w:rsidRDefault="00EA1182" w:rsidP="00EA1182">
            <w:pPr>
              <w:pStyle w:val="Tablecondensed"/>
              <w:rPr>
                <w:lang w:val="en-AU"/>
              </w:rPr>
            </w:pPr>
            <w:r w:rsidRPr="00370818">
              <w:rPr>
                <w:lang w:val="en-AU"/>
              </w:rPr>
              <w:t>12</w:t>
            </w:r>
          </w:p>
        </w:tc>
        <w:tc>
          <w:tcPr>
            <w:tcW w:w="620" w:type="dxa"/>
          </w:tcPr>
          <w:p w14:paraId="201FA568" w14:textId="302802C3" w:rsidR="00EA1182" w:rsidRPr="00370818" w:rsidRDefault="00EA1182" w:rsidP="00EA1182">
            <w:pPr>
              <w:pStyle w:val="Tablecondensed"/>
              <w:rPr>
                <w:lang w:val="en-AU"/>
              </w:rPr>
            </w:pPr>
            <w:r w:rsidRPr="00370818">
              <w:rPr>
                <w:lang w:val="en-AU"/>
              </w:rPr>
              <w:t>14</w:t>
            </w:r>
          </w:p>
        </w:tc>
        <w:tc>
          <w:tcPr>
            <w:tcW w:w="620" w:type="dxa"/>
          </w:tcPr>
          <w:p w14:paraId="79195AB3" w14:textId="0CDFB954" w:rsidR="00EA1182" w:rsidRPr="00370818" w:rsidRDefault="00EA1182" w:rsidP="00EA1182">
            <w:pPr>
              <w:pStyle w:val="Tablecondensed"/>
              <w:rPr>
                <w:lang w:val="en-AU"/>
              </w:rPr>
            </w:pPr>
            <w:r w:rsidRPr="00370818">
              <w:rPr>
                <w:lang w:val="en-AU"/>
              </w:rPr>
              <w:t>14</w:t>
            </w:r>
          </w:p>
        </w:tc>
        <w:tc>
          <w:tcPr>
            <w:tcW w:w="620" w:type="dxa"/>
          </w:tcPr>
          <w:p w14:paraId="5CB96FA6" w14:textId="0421F4AE" w:rsidR="00EA1182" w:rsidRPr="00370818" w:rsidRDefault="00EA1182" w:rsidP="00EA1182">
            <w:pPr>
              <w:pStyle w:val="Tablecondensed"/>
              <w:rPr>
                <w:lang w:val="en-AU"/>
              </w:rPr>
            </w:pPr>
            <w:r w:rsidRPr="00370818">
              <w:rPr>
                <w:lang w:val="en-AU"/>
              </w:rPr>
              <w:t>15</w:t>
            </w:r>
          </w:p>
        </w:tc>
        <w:tc>
          <w:tcPr>
            <w:tcW w:w="620" w:type="dxa"/>
          </w:tcPr>
          <w:p w14:paraId="50FD1F6D" w14:textId="1556B4A6" w:rsidR="00EA1182" w:rsidRPr="00370818" w:rsidRDefault="00EA1182" w:rsidP="00EA1182">
            <w:pPr>
              <w:pStyle w:val="Tablecondensed"/>
              <w:rPr>
                <w:lang w:val="en-AU"/>
              </w:rPr>
            </w:pPr>
            <w:r w:rsidRPr="00370818">
              <w:rPr>
                <w:lang w:val="en-AU"/>
              </w:rPr>
              <w:t>10</w:t>
            </w:r>
          </w:p>
        </w:tc>
        <w:tc>
          <w:tcPr>
            <w:tcW w:w="620" w:type="dxa"/>
          </w:tcPr>
          <w:p w14:paraId="19AB768F" w14:textId="1ABA4F6B" w:rsidR="00EA1182" w:rsidRPr="00370818" w:rsidRDefault="00EA1182" w:rsidP="00EA1182">
            <w:pPr>
              <w:pStyle w:val="Tablecondensed"/>
              <w:rPr>
                <w:lang w:val="en-AU"/>
              </w:rPr>
            </w:pPr>
            <w:r w:rsidRPr="00370818">
              <w:rPr>
                <w:lang w:val="en-AU"/>
              </w:rPr>
              <w:t>4</w:t>
            </w:r>
          </w:p>
        </w:tc>
        <w:tc>
          <w:tcPr>
            <w:tcW w:w="620" w:type="dxa"/>
          </w:tcPr>
          <w:p w14:paraId="61F01D3F" w14:textId="3429E2B1" w:rsidR="00EA1182" w:rsidRPr="00370818" w:rsidRDefault="00EA1182" w:rsidP="00EA1182">
            <w:pPr>
              <w:pStyle w:val="Tablecondensed"/>
              <w:rPr>
                <w:lang w:val="en-AU"/>
              </w:rPr>
            </w:pPr>
            <w:r w:rsidRPr="00370818">
              <w:rPr>
                <w:lang w:val="en-AU"/>
              </w:rPr>
              <w:t>1</w:t>
            </w:r>
          </w:p>
        </w:tc>
        <w:tc>
          <w:tcPr>
            <w:tcW w:w="907" w:type="dxa"/>
          </w:tcPr>
          <w:p w14:paraId="539ED6CC" w14:textId="667C0BF4" w:rsidR="00EA1182" w:rsidRPr="00370818" w:rsidRDefault="00EA1182" w:rsidP="00EA1182">
            <w:pPr>
              <w:pStyle w:val="Tablecondensed"/>
              <w:rPr>
                <w:lang w:val="en-AU"/>
              </w:rPr>
            </w:pPr>
            <w:r w:rsidRPr="00370818">
              <w:rPr>
                <w:lang w:val="en-AU"/>
              </w:rPr>
              <w:t>4.8</w:t>
            </w:r>
          </w:p>
        </w:tc>
      </w:tr>
    </w:tbl>
    <w:p w14:paraId="77DC1986" w14:textId="44C30668" w:rsidR="00E66A5C" w:rsidRPr="00370818" w:rsidRDefault="33374C50" w:rsidP="00C971E2">
      <w:pPr>
        <w:pStyle w:val="BodyText"/>
        <w:rPr>
          <w:color w:val="000000"/>
        </w:rPr>
      </w:pPr>
      <w:r w:rsidRPr="00370818">
        <w:t xml:space="preserve">Students were required to explain the relationships between three artists that they had studied </w:t>
      </w:r>
      <w:r w:rsidR="006F0A62" w:rsidRPr="00370818">
        <w:t xml:space="preserve">during the </w:t>
      </w:r>
      <w:r w:rsidRPr="00370818">
        <w:t xml:space="preserve">year and a planned exhibition of their artworks in an exhibition space. </w:t>
      </w:r>
      <w:r w:rsidR="00E66A5C" w:rsidRPr="00370818">
        <w:t xml:space="preserve">Students generally approached this question with a clear understanding of the relationships between the three selected artists, often demonstrating thoughtful connections based on shared themes, </w:t>
      </w:r>
      <w:r w:rsidR="34663514" w:rsidRPr="00370818">
        <w:t xml:space="preserve">artforms, </w:t>
      </w:r>
      <w:r w:rsidR="00E66A5C" w:rsidRPr="00370818">
        <w:t>techniques or conceptual concerns. High-scoring responses addressed the question comprehensively, explaining not only the relationships between the artists</w:t>
      </w:r>
      <w:r w:rsidR="310E1479" w:rsidRPr="00370818">
        <w:t>, their ideas</w:t>
      </w:r>
      <w:r w:rsidR="017DE273" w:rsidRPr="00370818">
        <w:t xml:space="preserve">, </w:t>
      </w:r>
      <w:r w:rsidR="310E1479" w:rsidRPr="00370818">
        <w:t>practices</w:t>
      </w:r>
      <w:r w:rsidR="00D32010">
        <w:t>,</w:t>
      </w:r>
      <w:r w:rsidR="2F5EF093" w:rsidRPr="00370818">
        <w:t xml:space="preserve"> art</w:t>
      </w:r>
      <w:r w:rsidR="006F0A62" w:rsidRPr="00370818">
        <w:t xml:space="preserve"> </w:t>
      </w:r>
      <w:r w:rsidR="2F5EF093" w:rsidRPr="00370818">
        <w:t>forms</w:t>
      </w:r>
      <w:r w:rsidR="00D32010">
        <w:t xml:space="preserve"> and</w:t>
      </w:r>
      <w:r w:rsidR="00E66A5C" w:rsidRPr="00370818">
        <w:t xml:space="preserve"> artworks</w:t>
      </w:r>
      <w:r w:rsidR="3E86BCBE" w:rsidRPr="00370818">
        <w:t xml:space="preserve">, </w:t>
      </w:r>
      <w:r w:rsidR="00E66A5C" w:rsidRPr="00370818">
        <w:t>but also how these informed a planned presentation within an exhibition space. These responses identified a specific exhibition space and considered its characteristics when justifying curatorial decisions. They articulated relevant links between presentation techniques and the effective display of artworks</w:t>
      </w:r>
      <w:r w:rsidR="1A34AC68" w:rsidRPr="00370818">
        <w:t xml:space="preserve"> in one art form or a range of art</w:t>
      </w:r>
      <w:r w:rsidR="006F0A62" w:rsidRPr="00370818">
        <w:t xml:space="preserve"> </w:t>
      </w:r>
      <w:r w:rsidR="1A34AC68" w:rsidRPr="00370818">
        <w:t>forms</w:t>
      </w:r>
      <w:r w:rsidR="00E66A5C" w:rsidRPr="00370818">
        <w:t xml:space="preserve">, using appropriate terminology to describe their thinking. </w:t>
      </w:r>
    </w:p>
    <w:p w14:paraId="51CC0F5B" w14:textId="1E94F90A" w:rsidR="00E66A5C" w:rsidRPr="00370818" w:rsidRDefault="00E66A5C" w:rsidP="00C971E2">
      <w:pPr>
        <w:pStyle w:val="BodyText"/>
        <w:rPr>
          <w:color w:val="000000"/>
        </w:rPr>
      </w:pPr>
      <w:r w:rsidRPr="00370818">
        <w:t xml:space="preserve">Lower-scoring responses, while generally </w:t>
      </w:r>
      <w:r w:rsidR="0001591D">
        <w:t>demonstrating an ability to</w:t>
      </w:r>
      <w:r w:rsidRPr="00370818">
        <w:t xml:space="preserve"> discuss the relationships between artists, </w:t>
      </w:r>
      <w:r w:rsidR="748AC791" w:rsidRPr="00370818">
        <w:t>artworks and art</w:t>
      </w:r>
      <w:r w:rsidR="006F0A62" w:rsidRPr="00370818">
        <w:t xml:space="preserve"> </w:t>
      </w:r>
      <w:r w:rsidR="748AC791" w:rsidRPr="00370818">
        <w:t>forms,</w:t>
      </w:r>
      <w:r w:rsidR="006F0A62" w:rsidRPr="00370818">
        <w:t xml:space="preserve"> </w:t>
      </w:r>
      <w:r w:rsidRPr="00370818">
        <w:t xml:space="preserve">often failed to address the planned presentation aspect of the question. Some </w:t>
      </w:r>
      <w:r w:rsidR="004D4C92" w:rsidRPr="00370818">
        <w:t xml:space="preserve">responses </w:t>
      </w:r>
      <w:r w:rsidRPr="00370818">
        <w:t xml:space="preserve">diverted into detailed analysis of individual artworks rather than focusing on how the works would be presented together in the exhibition context. Others provided minimal or generic references to the exhibition space, limiting their ability to demonstrate an understanding of curatorial planning. To </w:t>
      </w:r>
      <w:r w:rsidR="00D32010">
        <w:t>achieve higher scores</w:t>
      </w:r>
      <w:r w:rsidRPr="00370818">
        <w:t>, students should ensure that their discussion integrates the relationships between artists</w:t>
      </w:r>
      <w:r w:rsidR="0569D776" w:rsidRPr="00370818">
        <w:t>, ideas, practices, art</w:t>
      </w:r>
      <w:r w:rsidR="004D4C92" w:rsidRPr="00370818">
        <w:t xml:space="preserve"> </w:t>
      </w:r>
      <w:r w:rsidR="0569D776" w:rsidRPr="00370818">
        <w:t>forms and artworks</w:t>
      </w:r>
      <w:r w:rsidRPr="00370818">
        <w:t xml:space="preserve"> with practical considerations for display, supported by specific references to the exhibition space and the rationale behind placement choices.</w:t>
      </w:r>
    </w:p>
    <w:p w14:paraId="280BAC0A" w14:textId="77777777" w:rsidR="00154348" w:rsidRPr="00370818" w:rsidRDefault="00154348">
      <w:pPr>
        <w:spacing w:line="276" w:lineRule="auto"/>
        <w:rPr>
          <w:rFonts w:ascii="Arial" w:hAnsi="Arial" w:cs="Arial"/>
          <w:color w:val="000000" w:themeColor="text1"/>
          <w:sz w:val="20"/>
          <w:lang w:val="en-AU" w:eastAsia="en-AU"/>
        </w:rPr>
      </w:pPr>
      <w:r w:rsidRPr="00370818">
        <w:rPr>
          <w:lang w:val="en-AU"/>
        </w:rPr>
        <w:br w:type="page"/>
      </w:r>
    </w:p>
    <w:p w14:paraId="7E959353" w14:textId="77777777" w:rsidR="003E611C" w:rsidRPr="00370818" w:rsidRDefault="00154348" w:rsidP="003E611C">
      <w:pPr>
        <w:pStyle w:val="BodyText"/>
      </w:pPr>
      <w:r w:rsidRPr="00370818">
        <w:lastRenderedPageBreak/>
        <w:t>The following is an example of a high-scoring response.</w:t>
      </w:r>
    </w:p>
    <w:p w14:paraId="520E16A2" w14:textId="5D436C10" w:rsidR="00067323" w:rsidRPr="00370818" w:rsidRDefault="00067323" w:rsidP="00C971E2">
      <w:pPr>
        <w:pStyle w:val="Studentresponse"/>
      </w:pPr>
      <w:r w:rsidRPr="00370818">
        <w:t>Artist 1 Arthur Streeton Artwork title Golden Summer, Eaglemont 1889</w:t>
      </w:r>
      <w:r w:rsidRPr="00370818">
        <w:br/>
        <w:t xml:space="preserve">Artist 2 Edgar Degas Artwork title Beach at </w:t>
      </w:r>
      <w:proofErr w:type="spellStart"/>
      <w:r w:rsidRPr="00370818">
        <w:t>Ebbe</w:t>
      </w:r>
      <w:proofErr w:type="spellEnd"/>
      <w:r w:rsidRPr="00370818">
        <w:t xml:space="preserve"> 1869</w:t>
      </w:r>
      <w:r w:rsidRPr="00370818">
        <w:br/>
        <w:t xml:space="preserve">Artist 3 Louise </w:t>
      </w:r>
      <w:proofErr w:type="spellStart"/>
      <w:r w:rsidRPr="00370818">
        <w:t>Hearman</w:t>
      </w:r>
      <w:proofErr w:type="spellEnd"/>
      <w:r w:rsidRPr="00370818">
        <w:t xml:space="preserve"> Artwork title Untitled #832 2000</w:t>
      </w:r>
    </w:p>
    <w:p w14:paraId="01873732" w14:textId="3C6FDF04" w:rsidR="00067323" w:rsidRPr="00370818" w:rsidRDefault="00067323" w:rsidP="00C971E2">
      <w:pPr>
        <w:pStyle w:val="Studentresponse"/>
      </w:pPr>
      <w:r w:rsidRPr="00370818">
        <w:t xml:space="preserve">Arthur Streeton, Edgar Degas and Louise </w:t>
      </w:r>
      <w:proofErr w:type="spellStart"/>
      <w:r w:rsidRPr="00370818">
        <w:t>Hearman</w:t>
      </w:r>
      <w:proofErr w:type="spellEnd"/>
      <w:r w:rsidRPr="00370818">
        <w:t xml:space="preserve"> all depict concepts of light in their landscape artworks. Streeton’s ‘Golden Summer, Eaglemont’ presents a romanticisation of Australian summer, with the rich golden hues and fluid brushstrokes. The rich gold carries into Beach at </w:t>
      </w:r>
      <w:proofErr w:type="spellStart"/>
      <w:r w:rsidRPr="00370818">
        <w:t>Ebbe</w:t>
      </w:r>
      <w:proofErr w:type="spellEnd"/>
      <w:r w:rsidRPr="00370818">
        <w:t xml:space="preserve">, as much similarly carries a romanticised perception of landscapes through the dusty effect created by the pastels. ‘Untitled #832’ utilises golden hues through the cinematic chiaroscuro of light amongst a storm. By exhibiting all three artworks within the Buxton Hill Gallery’s Heritage Gallery, this romanticisation of light can be presented. The large window feeds natural light into the space, enhancing the golden hues of Degas and Streeton. Although both works require extensive light protection, the light enhances the relationship between the two romanticised landscapes. </w:t>
      </w:r>
      <w:proofErr w:type="spellStart"/>
      <w:r w:rsidRPr="00370818">
        <w:t>Hearman’s</w:t>
      </w:r>
      <w:proofErr w:type="spellEnd"/>
      <w:r w:rsidRPr="00370818">
        <w:t xml:space="preserve"> ‘Untitled #832’ will be separated by a partition wall to create a separate atmosphere. The walls of the room would be painted a dark navy blue to enhance the blue looming atmosphere created by the storm in </w:t>
      </w:r>
      <w:proofErr w:type="spellStart"/>
      <w:r w:rsidRPr="00370818">
        <w:t>Hearman’s</w:t>
      </w:r>
      <w:proofErr w:type="spellEnd"/>
      <w:r w:rsidRPr="00370818">
        <w:t xml:space="preserve"> work. The utilisation of chiaroscuro will be enhanced by implementing a warm LED spotlight at a low 50 lux, to emphasise the contrast juxtaposition of gold and dark greys and navy blue.</w:t>
      </w:r>
    </w:p>
    <w:p w14:paraId="6BE81F20" w14:textId="55546CA2" w:rsidR="00E66A5C" w:rsidRPr="00370818" w:rsidRDefault="00E66A5C" w:rsidP="003E611C">
      <w:pPr>
        <w:pStyle w:val="Heading2"/>
      </w:pPr>
      <w:r w:rsidRPr="00370818">
        <w:t>Question 10</w:t>
      </w:r>
    </w:p>
    <w:tbl>
      <w:tblPr>
        <w:tblW w:w="83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621"/>
        <w:gridCol w:w="621"/>
        <w:gridCol w:w="621"/>
        <w:gridCol w:w="621"/>
        <w:gridCol w:w="620"/>
        <w:gridCol w:w="620"/>
        <w:gridCol w:w="620"/>
        <w:gridCol w:w="620"/>
        <w:gridCol w:w="620"/>
        <w:gridCol w:w="620"/>
        <w:gridCol w:w="620"/>
        <w:gridCol w:w="620"/>
        <w:gridCol w:w="907"/>
      </w:tblGrid>
      <w:tr w:rsidR="00EA1182" w:rsidRPr="00370818" w14:paraId="2DD8AB6C" w14:textId="77777777" w:rsidTr="0053499B">
        <w:trPr>
          <w:tblHeader/>
        </w:trPr>
        <w:tc>
          <w:tcPr>
            <w:tcW w:w="621" w:type="dxa"/>
            <w:shd w:val="clear" w:color="auto" w:fill="0F7EB4"/>
          </w:tcPr>
          <w:p w14:paraId="22C0A030" w14:textId="77777777" w:rsidR="00EA1182" w:rsidRPr="00370818" w:rsidRDefault="00EA1182" w:rsidP="0053499B">
            <w:pPr>
              <w:pStyle w:val="Tablecondensedheading"/>
              <w:rPr>
                <w:lang w:val="en-AU"/>
              </w:rPr>
            </w:pPr>
            <w:r w:rsidRPr="00370818">
              <w:rPr>
                <w:lang w:val="en-AU"/>
              </w:rPr>
              <w:t>Mark</w:t>
            </w:r>
          </w:p>
        </w:tc>
        <w:tc>
          <w:tcPr>
            <w:tcW w:w="621" w:type="dxa"/>
            <w:shd w:val="clear" w:color="auto" w:fill="0F7EB4"/>
          </w:tcPr>
          <w:p w14:paraId="52CE0417" w14:textId="77777777" w:rsidR="00EA1182" w:rsidRPr="00370818" w:rsidRDefault="00EA1182" w:rsidP="0053499B">
            <w:pPr>
              <w:pStyle w:val="Tablecondensedheading"/>
              <w:rPr>
                <w:lang w:val="en-AU"/>
              </w:rPr>
            </w:pPr>
            <w:r w:rsidRPr="00370818">
              <w:rPr>
                <w:lang w:val="en-AU"/>
              </w:rPr>
              <w:t>0</w:t>
            </w:r>
          </w:p>
        </w:tc>
        <w:tc>
          <w:tcPr>
            <w:tcW w:w="621" w:type="dxa"/>
            <w:shd w:val="clear" w:color="auto" w:fill="0F7EB4"/>
          </w:tcPr>
          <w:p w14:paraId="447FB81A" w14:textId="77777777" w:rsidR="00EA1182" w:rsidRPr="00370818" w:rsidRDefault="00EA1182" w:rsidP="0053499B">
            <w:pPr>
              <w:pStyle w:val="Tablecondensedheading"/>
              <w:rPr>
                <w:lang w:val="en-AU"/>
              </w:rPr>
            </w:pPr>
            <w:r w:rsidRPr="00370818">
              <w:rPr>
                <w:lang w:val="en-AU"/>
              </w:rPr>
              <w:t>1</w:t>
            </w:r>
          </w:p>
        </w:tc>
        <w:tc>
          <w:tcPr>
            <w:tcW w:w="621" w:type="dxa"/>
            <w:shd w:val="clear" w:color="auto" w:fill="0F7EB4"/>
          </w:tcPr>
          <w:p w14:paraId="72C69DCD" w14:textId="77777777" w:rsidR="00EA1182" w:rsidRPr="00370818" w:rsidRDefault="00EA1182" w:rsidP="0053499B">
            <w:pPr>
              <w:pStyle w:val="Tablecondensedheading"/>
              <w:rPr>
                <w:lang w:val="en-AU"/>
              </w:rPr>
            </w:pPr>
            <w:r w:rsidRPr="00370818">
              <w:rPr>
                <w:lang w:val="en-AU"/>
              </w:rPr>
              <w:t>2</w:t>
            </w:r>
          </w:p>
        </w:tc>
        <w:tc>
          <w:tcPr>
            <w:tcW w:w="620" w:type="dxa"/>
            <w:shd w:val="clear" w:color="auto" w:fill="0F7EB4"/>
          </w:tcPr>
          <w:p w14:paraId="48A0B1F1" w14:textId="77777777" w:rsidR="00EA1182" w:rsidRPr="00370818" w:rsidRDefault="00EA1182" w:rsidP="0053499B">
            <w:pPr>
              <w:pStyle w:val="Tablecondensedheading"/>
              <w:rPr>
                <w:lang w:val="en-AU"/>
              </w:rPr>
            </w:pPr>
            <w:r w:rsidRPr="00370818">
              <w:rPr>
                <w:lang w:val="en-AU"/>
              </w:rPr>
              <w:t>3</w:t>
            </w:r>
          </w:p>
        </w:tc>
        <w:tc>
          <w:tcPr>
            <w:tcW w:w="620" w:type="dxa"/>
            <w:shd w:val="clear" w:color="auto" w:fill="0F7EB4"/>
          </w:tcPr>
          <w:p w14:paraId="57D736C0" w14:textId="77777777" w:rsidR="00EA1182" w:rsidRPr="00370818" w:rsidRDefault="00EA1182" w:rsidP="0053499B">
            <w:pPr>
              <w:pStyle w:val="Tablecondensedheading"/>
              <w:rPr>
                <w:lang w:val="en-AU"/>
              </w:rPr>
            </w:pPr>
            <w:r w:rsidRPr="00370818">
              <w:rPr>
                <w:lang w:val="en-AU"/>
              </w:rPr>
              <w:t>4</w:t>
            </w:r>
          </w:p>
        </w:tc>
        <w:tc>
          <w:tcPr>
            <w:tcW w:w="620" w:type="dxa"/>
            <w:shd w:val="clear" w:color="auto" w:fill="0F7EB4"/>
          </w:tcPr>
          <w:p w14:paraId="765C5989" w14:textId="77777777" w:rsidR="00EA1182" w:rsidRPr="00370818" w:rsidRDefault="00EA1182" w:rsidP="0053499B">
            <w:pPr>
              <w:pStyle w:val="Tablecondensedheading"/>
              <w:rPr>
                <w:lang w:val="en-AU"/>
              </w:rPr>
            </w:pPr>
            <w:r w:rsidRPr="00370818">
              <w:rPr>
                <w:lang w:val="en-AU"/>
              </w:rPr>
              <w:t>5</w:t>
            </w:r>
          </w:p>
        </w:tc>
        <w:tc>
          <w:tcPr>
            <w:tcW w:w="620" w:type="dxa"/>
            <w:shd w:val="clear" w:color="auto" w:fill="0F7EB4"/>
          </w:tcPr>
          <w:p w14:paraId="4FE3CB4A" w14:textId="77777777" w:rsidR="00EA1182" w:rsidRPr="00370818" w:rsidRDefault="00EA1182" w:rsidP="0053499B">
            <w:pPr>
              <w:pStyle w:val="Tablecondensedheading"/>
              <w:rPr>
                <w:lang w:val="en-AU"/>
              </w:rPr>
            </w:pPr>
            <w:r w:rsidRPr="00370818">
              <w:rPr>
                <w:lang w:val="en-AU"/>
              </w:rPr>
              <w:t>6</w:t>
            </w:r>
          </w:p>
        </w:tc>
        <w:tc>
          <w:tcPr>
            <w:tcW w:w="620" w:type="dxa"/>
            <w:shd w:val="clear" w:color="auto" w:fill="0F7EB4"/>
          </w:tcPr>
          <w:p w14:paraId="70FAACB9" w14:textId="77777777" w:rsidR="00EA1182" w:rsidRPr="00370818" w:rsidRDefault="00EA1182" w:rsidP="0053499B">
            <w:pPr>
              <w:pStyle w:val="Tablecondensedheading"/>
              <w:rPr>
                <w:lang w:val="en-AU"/>
              </w:rPr>
            </w:pPr>
            <w:r w:rsidRPr="00370818">
              <w:rPr>
                <w:lang w:val="en-AU"/>
              </w:rPr>
              <w:t>7</w:t>
            </w:r>
          </w:p>
        </w:tc>
        <w:tc>
          <w:tcPr>
            <w:tcW w:w="620" w:type="dxa"/>
            <w:shd w:val="clear" w:color="auto" w:fill="0F7EB4"/>
          </w:tcPr>
          <w:p w14:paraId="5BC1230D" w14:textId="77777777" w:rsidR="00EA1182" w:rsidRPr="00370818" w:rsidRDefault="00EA1182" w:rsidP="0053499B">
            <w:pPr>
              <w:pStyle w:val="Tablecondensedheading"/>
              <w:rPr>
                <w:lang w:val="en-AU"/>
              </w:rPr>
            </w:pPr>
            <w:r w:rsidRPr="00370818">
              <w:rPr>
                <w:lang w:val="en-AU"/>
              </w:rPr>
              <w:t>8</w:t>
            </w:r>
          </w:p>
        </w:tc>
        <w:tc>
          <w:tcPr>
            <w:tcW w:w="620" w:type="dxa"/>
            <w:shd w:val="clear" w:color="auto" w:fill="0F7EB4"/>
          </w:tcPr>
          <w:p w14:paraId="1B6A8EA7" w14:textId="77777777" w:rsidR="00EA1182" w:rsidRPr="00370818" w:rsidRDefault="00EA1182" w:rsidP="0053499B">
            <w:pPr>
              <w:pStyle w:val="Tablecondensedheading"/>
              <w:rPr>
                <w:lang w:val="en-AU"/>
              </w:rPr>
            </w:pPr>
            <w:r w:rsidRPr="00370818">
              <w:rPr>
                <w:lang w:val="en-AU"/>
              </w:rPr>
              <w:t>9</w:t>
            </w:r>
          </w:p>
        </w:tc>
        <w:tc>
          <w:tcPr>
            <w:tcW w:w="620" w:type="dxa"/>
            <w:shd w:val="clear" w:color="auto" w:fill="0F7EB4"/>
          </w:tcPr>
          <w:p w14:paraId="61EF69D8" w14:textId="77777777" w:rsidR="00EA1182" w:rsidRPr="00370818" w:rsidRDefault="00EA1182" w:rsidP="0053499B">
            <w:pPr>
              <w:pStyle w:val="Tablecondensedheading"/>
              <w:rPr>
                <w:lang w:val="en-AU"/>
              </w:rPr>
            </w:pPr>
            <w:r w:rsidRPr="00370818">
              <w:rPr>
                <w:lang w:val="en-AU"/>
              </w:rPr>
              <w:t>10</w:t>
            </w:r>
          </w:p>
        </w:tc>
        <w:tc>
          <w:tcPr>
            <w:tcW w:w="907" w:type="dxa"/>
            <w:shd w:val="clear" w:color="auto" w:fill="0F7EB4"/>
          </w:tcPr>
          <w:p w14:paraId="38BC60C1" w14:textId="77777777" w:rsidR="00EA1182" w:rsidRPr="00370818" w:rsidRDefault="00EA1182" w:rsidP="0053499B">
            <w:pPr>
              <w:pStyle w:val="Tablecondensedheading"/>
              <w:rPr>
                <w:lang w:val="en-AU"/>
              </w:rPr>
            </w:pPr>
            <w:r w:rsidRPr="00370818">
              <w:rPr>
                <w:lang w:val="en-AU"/>
              </w:rPr>
              <w:t>Average</w:t>
            </w:r>
          </w:p>
        </w:tc>
      </w:tr>
      <w:tr w:rsidR="00EA1182" w:rsidRPr="00370818" w14:paraId="35027C9B" w14:textId="77777777" w:rsidTr="0053499B">
        <w:tc>
          <w:tcPr>
            <w:tcW w:w="621" w:type="dxa"/>
          </w:tcPr>
          <w:p w14:paraId="6C3529DF" w14:textId="77777777" w:rsidR="00EA1182" w:rsidRPr="00370818" w:rsidRDefault="00EA1182" w:rsidP="00EA1182">
            <w:pPr>
              <w:pStyle w:val="Tablecondensed"/>
              <w:rPr>
                <w:lang w:val="en-AU"/>
              </w:rPr>
            </w:pPr>
            <w:r w:rsidRPr="00370818">
              <w:rPr>
                <w:lang w:val="en-AU"/>
              </w:rPr>
              <w:t>%</w:t>
            </w:r>
          </w:p>
        </w:tc>
        <w:tc>
          <w:tcPr>
            <w:tcW w:w="621" w:type="dxa"/>
          </w:tcPr>
          <w:p w14:paraId="4E942F78" w14:textId="40AB0FA9" w:rsidR="00EA1182" w:rsidRPr="00370818" w:rsidRDefault="00EA1182" w:rsidP="00EA1182">
            <w:pPr>
              <w:pStyle w:val="Tablecondensed"/>
              <w:rPr>
                <w:lang w:val="en-AU"/>
              </w:rPr>
            </w:pPr>
            <w:r w:rsidRPr="00370818">
              <w:rPr>
                <w:lang w:val="en-AU"/>
              </w:rPr>
              <w:t>17</w:t>
            </w:r>
          </w:p>
        </w:tc>
        <w:tc>
          <w:tcPr>
            <w:tcW w:w="621" w:type="dxa"/>
          </w:tcPr>
          <w:p w14:paraId="25EDF852" w14:textId="6334F8C7" w:rsidR="00EA1182" w:rsidRPr="00370818" w:rsidRDefault="00EA1182" w:rsidP="00EA1182">
            <w:pPr>
              <w:pStyle w:val="Tablecondensed"/>
              <w:rPr>
                <w:lang w:val="en-AU"/>
              </w:rPr>
            </w:pPr>
            <w:r w:rsidRPr="00370818">
              <w:rPr>
                <w:lang w:val="en-AU"/>
              </w:rPr>
              <w:t>5</w:t>
            </w:r>
          </w:p>
        </w:tc>
        <w:tc>
          <w:tcPr>
            <w:tcW w:w="621" w:type="dxa"/>
          </w:tcPr>
          <w:p w14:paraId="355C2094" w14:textId="5AF66DEA" w:rsidR="00EA1182" w:rsidRPr="00370818" w:rsidRDefault="00EA1182" w:rsidP="00EA1182">
            <w:pPr>
              <w:pStyle w:val="Tablecondensed"/>
              <w:rPr>
                <w:lang w:val="en-AU"/>
              </w:rPr>
            </w:pPr>
            <w:r w:rsidRPr="00370818">
              <w:rPr>
                <w:lang w:val="en-AU"/>
              </w:rPr>
              <w:t>7</w:t>
            </w:r>
          </w:p>
        </w:tc>
        <w:tc>
          <w:tcPr>
            <w:tcW w:w="620" w:type="dxa"/>
          </w:tcPr>
          <w:p w14:paraId="2A5AAFD9" w14:textId="456E42B2" w:rsidR="00EA1182" w:rsidRPr="00370818" w:rsidRDefault="00EA1182" w:rsidP="00EA1182">
            <w:pPr>
              <w:pStyle w:val="Tablecondensed"/>
              <w:rPr>
                <w:lang w:val="en-AU"/>
              </w:rPr>
            </w:pPr>
            <w:r w:rsidRPr="00370818">
              <w:rPr>
                <w:lang w:val="en-AU"/>
              </w:rPr>
              <w:t>11</w:t>
            </w:r>
          </w:p>
        </w:tc>
        <w:tc>
          <w:tcPr>
            <w:tcW w:w="620" w:type="dxa"/>
          </w:tcPr>
          <w:p w14:paraId="7418E8C0" w14:textId="0018B61D" w:rsidR="00EA1182" w:rsidRPr="00370818" w:rsidRDefault="00EA1182" w:rsidP="00EA1182">
            <w:pPr>
              <w:pStyle w:val="Tablecondensed"/>
              <w:rPr>
                <w:lang w:val="en-AU"/>
              </w:rPr>
            </w:pPr>
            <w:r w:rsidRPr="00370818">
              <w:rPr>
                <w:lang w:val="en-AU"/>
              </w:rPr>
              <w:t>11</w:t>
            </w:r>
          </w:p>
        </w:tc>
        <w:tc>
          <w:tcPr>
            <w:tcW w:w="620" w:type="dxa"/>
          </w:tcPr>
          <w:p w14:paraId="7AA6148B" w14:textId="15C84FE0" w:rsidR="00EA1182" w:rsidRPr="00370818" w:rsidRDefault="00EA1182" w:rsidP="00EA1182">
            <w:pPr>
              <w:pStyle w:val="Tablecondensed"/>
              <w:rPr>
                <w:lang w:val="en-AU"/>
              </w:rPr>
            </w:pPr>
            <w:r w:rsidRPr="00370818">
              <w:rPr>
                <w:lang w:val="en-AU"/>
              </w:rPr>
              <w:t>16</w:t>
            </w:r>
          </w:p>
        </w:tc>
        <w:tc>
          <w:tcPr>
            <w:tcW w:w="620" w:type="dxa"/>
          </w:tcPr>
          <w:p w14:paraId="506F1002" w14:textId="48930203" w:rsidR="00EA1182" w:rsidRPr="00370818" w:rsidRDefault="00EA1182" w:rsidP="00EA1182">
            <w:pPr>
              <w:pStyle w:val="Tablecondensed"/>
              <w:rPr>
                <w:lang w:val="en-AU"/>
              </w:rPr>
            </w:pPr>
            <w:r w:rsidRPr="00370818">
              <w:rPr>
                <w:lang w:val="en-AU"/>
              </w:rPr>
              <w:t>13</w:t>
            </w:r>
          </w:p>
        </w:tc>
        <w:tc>
          <w:tcPr>
            <w:tcW w:w="620" w:type="dxa"/>
          </w:tcPr>
          <w:p w14:paraId="4FC5EBC6" w14:textId="693F5520" w:rsidR="00EA1182" w:rsidRPr="00370818" w:rsidRDefault="00EA1182" w:rsidP="00EA1182">
            <w:pPr>
              <w:pStyle w:val="Tablecondensed"/>
              <w:rPr>
                <w:lang w:val="en-AU"/>
              </w:rPr>
            </w:pPr>
            <w:r w:rsidRPr="00370818">
              <w:rPr>
                <w:lang w:val="en-AU"/>
              </w:rPr>
              <w:t>9</w:t>
            </w:r>
          </w:p>
        </w:tc>
        <w:tc>
          <w:tcPr>
            <w:tcW w:w="620" w:type="dxa"/>
          </w:tcPr>
          <w:p w14:paraId="76F2FCF8" w14:textId="5F2FAD03" w:rsidR="00EA1182" w:rsidRPr="00370818" w:rsidRDefault="00EA1182" w:rsidP="00EA1182">
            <w:pPr>
              <w:pStyle w:val="Tablecondensed"/>
              <w:rPr>
                <w:lang w:val="en-AU"/>
              </w:rPr>
            </w:pPr>
            <w:r w:rsidRPr="00370818">
              <w:rPr>
                <w:lang w:val="en-AU"/>
              </w:rPr>
              <w:t>7</w:t>
            </w:r>
          </w:p>
        </w:tc>
        <w:tc>
          <w:tcPr>
            <w:tcW w:w="620" w:type="dxa"/>
          </w:tcPr>
          <w:p w14:paraId="62DFA177" w14:textId="6CF5F04A" w:rsidR="00EA1182" w:rsidRPr="00370818" w:rsidRDefault="00EA1182" w:rsidP="00EA1182">
            <w:pPr>
              <w:pStyle w:val="Tablecondensed"/>
              <w:rPr>
                <w:lang w:val="en-AU"/>
              </w:rPr>
            </w:pPr>
            <w:r w:rsidRPr="00370818">
              <w:rPr>
                <w:lang w:val="en-AU"/>
              </w:rPr>
              <w:t>4</w:t>
            </w:r>
          </w:p>
        </w:tc>
        <w:tc>
          <w:tcPr>
            <w:tcW w:w="620" w:type="dxa"/>
          </w:tcPr>
          <w:p w14:paraId="3842374F" w14:textId="35B4C677" w:rsidR="00EA1182" w:rsidRPr="00370818" w:rsidRDefault="00EA1182" w:rsidP="00EA1182">
            <w:pPr>
              <w:pStyle w:val="Tablecondensed"/>
              <w:rPr>
                <w:lang w:val="en-AU"/>
              </w:rPr>
            </w:pPr>
            <w:r w:rsidRPr="00370818">
              <w:rPr>
                <w:lang w:val="en-AU"/>
              </w:rPr>
              <w:t>1</w:t>
            </w:r>
          </w:p>
        </w:tc>
        <w:tc>
          <w:tcPr>
            <w:tcW w:w="907" w:type="dxa"/>
          </w:tcPr>
          <w:p w14:paraId="5F50ACCF" w14:textId="12C6C5D8" w:rsidR="00EA1182" w:rsidRPr="00370818" w:rsidRDefault="00EA1182" w:rsidP="00EA1182">
            <w:pPr>
              <w:pStyle w:val="Tablecondensed"/>
              <w:rPr>
                <w:lang w:val="en-AU"/>
              </w:rPr>
            </w:pPr>
            <w:r w:rsidRPr="00370818">
              <w:rPr>
                <w:lang w:val="en-AU"/>
              </w:rPr>
              <w:t>4.2</w:t>
            </w:r>
          </w:p>
        </w:tc>
      </w:tr>
    </w:tbl>
    <w:p w14:paraId="6932954E" w14:textId="0F3534D9" w:rsidR="00E66A5C" w:rsidRPr="00370818" w:rsidRDefault="5FDCE44C" w:rsidP="00C971E2">
      <w:pPr>
        <w:pStyle w:val="BodyText"/>
        <w:rPr>
          <w:color w:val="000000"/>
        </w:rPr>
      </w:pPr>
      <w:r w:rsidRPr="00370818">
        <w:t xml:space="preserve">In this </w:t>
      </w:r>
      <w:r w:rsidR="2B6724BC" w:rsidRPr="00370818">
        <w:t>question,</w:t>
      </w:r>
      <w:r w:rsidRPr="00370818">
        <w:t xml:space="preserve"> students were required to analyse the methods used by an artist to resolve visual language. </w:t>
      </w:r>
      <w:r w:rsidR="00E66A5C" w:rsidRPr="00370818">
        <w:t xml:space="preserve">Students were provided with source material outlining Andrea </w:t>
      </w:r>
      <w:proofErr w:type="spellStart"/>
      <w:r w:rsidR="00E66A5C" w:rsidRPr="00370818">
        <w:t>Kowch’s</w:t>
      </w:r>
      <w:proofErr w:type="spellEnd"/>
      <w:r w:rsidR="00E66A5C" w:rsidRPr="00370818">
        <w:t xml:space="preserve"> practice and biographical context. </w:t>
      </w:r>
      <w:r w:rsidR="004D4C92" w:rsidRPr="00370818">
        <w:t>Responses that scored highly</w:t>
      </w:r>
      <w:r w:rsidR="00E66A5C" w:rsidRPr="00370818">
        <w:t xml:space="preserve"> demonstrated a strong understanding of visual language, showing how art elements and principles combined with materials, techniques and processes to communicate meaning and convey personal, cultural and contemporary ideas to an audience. These students integrated the source information effectively</w:t>
      </w:r>
      <w:r w:rsidR="004D4C92" w:rsidRPr="00370818">
        <w:t xml:space="preserve"> in their responses</w:t>
      </w:r>
      <w:r w:rsidR="00E66A5C" w:rsidRPr="00370818">
        <w:t xml:space="preserve">, using it to support a nuanced analysis of how </w:t>
      </w:r>
      <w:proofErr w:type="spellStart"/>
      <w:r w:rsidR="00E66A5C" w:rsidRPr="00370818">
        <w:t>Kowch</w:t>
      </w:r>
      <w:proofErr w:type="spellEnd"/>
      <w:r w:rsidR="00E66A5C" w:rsidRPr="00370818">
        <w:t xml:space="preserve"> resolved visual language in</w:t>
      </w:r>
      <w:r w:rsidR="00E66A5C" w:rsidRPr="00370818">
        <w:rPr>
          <w:rStyle w:val="apple-converted-space"/>
        </w:rPr>
        <w:t> </w:t>
      </w:r>
      <w:r w:rsidR="00E66A5C" w:rsidRPr="00370818">
        <w:rPr>
          <w:rStyle w:val="Emphasis"/>
        </w:rPr>
        <w:t>Soiree</w:t>
      </w:r>
      <w:r w:rsidR="00E66A5C" w:rsidRPr="00370818">
        <w:t xml:space="preserve">. They </w:t>
      </w:r>
      <w:r w:rsidR="004D4C92" w:rsidRPr="00370818">
        <w:rPr>
          <w:color w:val="000000"/>
        </w:rPr>
        <w:t>analysed</w:t>
      </w:r>
      <w:r w:rsidR="0050535C" w:rsidRPr="00370818">
        <w:rPr>
          <w:color w:val="000000"/>
        </w:rPr>
        <w:t xml:space="preserve"> </w:t>
      </w:r>
      <w:r w:rsidR="00E66A5C" w:rsidRPr="00370818">
        <w:t>how compositional strategies, symbolism and stylistic devices</w:t>
      </w:r>
      <w:r w:rsidR="004D4C92" w:rsidRPr="00370818">
        <w:t>,</w:t>
      </w:r>
      <w:r w:rsidR="00E66A5C" w:rsidRPr="00370818">
        <w:t xml:space="preserve"> such as arrangement of subject matter, manipulation of colour and use of space</w:t>
      </w:r>
      <w:r w:rsidR="004D4C92" w:rsidRPr="00370818">
        <w:t>,</w:t>
      </w:r>
      <w:r w:rsidR="00E66A5C" w:rsidRPr="00370818">
        <w:t xml:space="preserve"> worked together with chosen materials and processes to create a cohesive and meaningful resolution. Their responses moved beyond restating the source material, synthesising it with observations from the artwork to provide a clear and analytical discussion.</w:t>
      </w:r>
    </w:p>
    <w:p w14:paraId="5496B66A" w14:textId="2EE436E1" w:rsidR="00E66A5C" w:rsidRPr="00370818" w:rsidRDefault="00E66A5C" w:rsidP="00C971E2">
      <w:pPr>
        <w:pStyle w:val="BodyText"/>
        <w:rPr>
          <w:color w:val="000000"/>
        </w:rPr>
      </w:pPr>
      <w:r w:rsidRPr="00370818">
        <w:t>In contrast, responses</w:t>
      </w:r>
      <w:r w:rsidR="004D4C92" w:rsidRPr="00370818">
        <w:t xml:space="preserve"> that did not score well</w:t>
      </w:r>
      <w:r w:rsidRPr="00370818">
        <w:t xml:space="preserve"> often repeated details from the source without applying them to the artwork or explaining their relevance to the resolution of visual language. Many </w:t>
      </w:r>
      <w:r w:rsidR="004D4C92" w:rsidRPr="00370818">
        <w:t>did not sufficiently</w:t>
      </w:r>
      <w:r w:rsidRPr="00370818">
        <w:t xml:space="preserve"> articulate how the integration of elements, principles and techniques contributed to meaning and interpretation. To </w:t>
      </w:r>
      <w:r w:rsidR="00D32010">
        <w:t>achieve higher scores</w:t>
      </w:r>
      <w:r w:rsidRPr="00370818">
        <w:t xml:space="preserve">, students should focus on connecting technical and conceptual aspects of the artwork to the artist’s intentions, using the source material as a foundation for interpretation rather than as a substitute for analysis. </w:t>
      </w:r>
      <w:r w:rsidR="00D32010">
        <w:t>Students are encouraged</w:t>
      </w:r>
      <w:r w:rsidRPr="00370818">
        <w:t xml:space="preserve"> to ask questions such as </w:t>
      </w:r>
      <w:r w:rsidR="004D4C92" w:rsidRPr="00370818">
        <w:t>‘</w:t>
      </w:r>
      <w:r w:rsidRPr="00370818">
        <w:t>How do these elements and techniques work together to communicate ideas?</w:t>
      </w:r>
      <w:r w:rsidR="004D4C92" w:rsidRPr="00370818">
        <w:t>’</w:t>
      </w:r>
      <w:r w:rsidRPr="00370818">
        <w:t> </w:t>
      </w:r>
      <w:r w:rsidR="00D32010">
        <w:t>to</w:t>
      </w:r>
      <w:r w:rsidR="00D32010" w:rsidRPr="00370818">
        <w:t xml:space="preserve"> </w:t>
      </w:r>
      <w:r w:rsidRPr="00370818">
        <w:t>help strengthen their understanding of visual language and its resolution.</w:t>
      </w:r>
    </w:p>
    <w:p w14:paraId="15383902" w14:textId="77777777" w:rsidR="003E611C" w:rsidRPr="00370818" w:rsidRDefault="00154348" w:rsidP="003E611C">
      <w:pPr>
        <w:pStyle w:val="BodyText"/>
      </w:pPr>
      <w:r w:rsidRPr="00370818">
        <w:t>The following is an example of a high-scoring response.</w:t>
      </w:r>
    </w:p>
    <w:p w14:paraId="1DE57388" w14:textId="2F6372CF" w:rsidR="00D144EE" w:rsidRPr="00370818" w:rsidRDefault="00D144EE" w:rsidP="00C971E2">
      <w:pPr>
        <w:pStyle w:val="Studentresponse"/>
      </w:pPr>
      <w:r w:rsidRPr="00370818">
        <w:t xml:space="preserve">The acrylic on canvas piece, consisting of a busy and complex depiction of a picnic in a paddock, is characterized by </w:t>
      </w:r>
      <w:proofErr w:type="spellStart"/>
      <w:r w:rsidRPr="00370818">
        <w:t>Kowch’s</w:t>
      </w:r>
      <w:proofErr w:type="spellEnd"/>
      <w:r w:rsidRPr="00370818">
        <w:t xml:space="preserve"> recurring quality of allegory within her works. The fascination with the interplay of nature and human life is depicted through the ravaging of crows at the picnic. In outlining her fascination with the human psyche, </w:t>
      </w:r>
      <w:proofErr w:type="spellStart"/>
      <w:r w:rsidRPr="00370818">
        <w:t>Kowch</w:t>
      </w:r>
      <w:proofErr w:type="spellEnd"/>
      <w:r w:rsidRPr="00370818">
        <w:t xml:space="preserve"> suggests that the invasive crows are metaphoric, depicting the internal struggles experienced by the female within the image. </w:t>
      </w:r>
      <w:proofErr w:type="spellStart"/>
      <w:r w:rsidRPr="00370818">
        <w:t>Kowch</w:t>
      </w:r>
      <w:proofErr w:type="spellEnd"/>
      <w:r w:rsidRPr="00370818">
        <w:t xml:space="preserve"> highlights the human nature to avoid seeking help for mental battle, symbolized by the female character in the painting seeming </w:t>
      </w:r>
      <w:r w:rsidRPr="00370818">
        <w:lastRenderedPageBreak/>
        <w:t xml:space="preserve">unresponsive to the crows ravaging. The neutral tone of the elevation in the image is further characterized by the dark and gloomy weather in the background of the artwork. This is driven by </w:t>
      </w:r>
      <w:proofErr w:type="spellStart"/>
      <w:r w:rsidRPr="00370818">
        <w:t>Kowch’s</w:t>
      </w:r>
      <w:proofErr w:type="spellEnd"/>
      <w:r w:rsidRPr="00370818">
        <w:t xml:space="preserve"> fascination with nature and the human psyche, exploration of the parallels between human lived experience and the mysteries of the natural world, appearing to act cohesively. Due to </w:t>
      </w:r>
      <w:proofErr w:type="spellStart"/>
      <w:r w:rsidRPr="00370818">
        <w:t>Kowch’s</w:t>
      </w:r>
      <w:proofErr w:type="spellEnd"/>
      <w:r w:rsidRPr="00370818">
        <w:t xml:space="preserve"> setting of the piece, when one sees the piece, it is clear to see the other inspiration from the Northern Renaissance in her depiction of the muted rural landscapes paired with the aged vernacular architecture, assisting in creating a personal connection with the piece.</w:t>
      </w:r>
    </w:p>
    <w:p w14:paraId="723246A0" w14:textId="77777777" w:rsidR="00E66A5C" w:rsidRPr="00370818" w:rsidRDefault="00E66A5C" w:rsidP="00154348">
      <w:pPr>
        <w:pStyle w:val="Bullet"/>
        <w:numPr>
          <w:ilvl w:val="0"/>
          <w:numId w:val="0"/>
        </w:numPr>
        <w:rPr>
          <w:bCs/>
          <w:iCs/>
          <w:highlight w:val="lightGray"/>
          <w:lang w:val="en-AU"/>
        </w:rPr>
      </w:pPr>
    </w:p>
    <w:sectPr w:rsidR="00E66A5C" w:rsidRPr="00370818" w:rsidSect="00B230DB">
      <w:headerReference w:type="default" r:id="rId10"/>
      <w:footerReference w:type="default" r:id="rId11"/>
      <w:headerReference w:type="first" r:id="rId12"/>
      <w:footerReference w:type="first" r:id="rId13"/>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7B5C9" w14:textId="77777777" w:rsidR="00ED7D65" w:rsidRDefault="00ED7D65" w:rsidP="00304EA1">
      <w:pPr>
        <w:spacing w:after="0" w:line="240" w:lineRule="auto"/>
      </w:pPr>
      <w:r>
        <w:separator/>
      </w:r>
    </w:p>
  </w:endnote>
  <w:endnote w:type="continuationSeparator" w:id="0">
    <w:p w14:paraId="49DD4648" w14:textId="77777777" w:rsidR="00ED7D65" w:rsidRDefault="00ED7D65" w:rsidP="00304EA1">
      <w:pPr>
        <w:spacing w:after="0" w:line="240" w:lineRule="auto"/>
      </w:pPr>
      <w:r>
        <w:continuationSeparator/>
      </w:r>
    </w:p>
  </w:endnote>
  <w:endnote w:type="continuationNotice" w:id="1">
    <w:p w14:paraId="701E8A2D" w14:textId="77777777" w:rsidR="00ED7D65" w:rsidRDefault="00ED7D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57185C62" w:rsidR="00FD29D3" w:rsidRPr="00D06414" w:rsidRDefault="00531DDC" w:rsidP="00BB3BAB">
          <w:pPr>
            <w:tabs>
              <w:tab w:val="left" w:pos="142"/>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0B2A642E"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7FE7C1B3">
          <wp:simplePos x="0" y="0"/>
          <wp:positionH relativeFrom="page">
            <wp:posOffset>0</wp:posOffset>
          </wp:positionH>
          <wp:positionV relativeFrom="bottomMargin">
            <wp:posOffset>0</wp:posOffset>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1372F" w14:textId="77777777" w:rsidR="00ED7D65" w:rsidRDefault="00ED7D65" w:rsidP="00304EA1">
      <w:pPr>
        <w:spacing w:after="0" w:line="240" w:lineRule="auto"/>
      </w:pPr>
      <w:r>
        <w:separator/>
      </w:r>
    </w:p>
  </w:footnote>
  <w:footnote w:type="continuationSeparator" w:id="0">
    <w:p w14:paraId="2A12B617" w14:textId="77777777" w:rsidR="00ED7D65" w:rsidRDefault="00ED7D65" w:rsidP="00304EA1">
      <w:pPr>
        <w:spacing w:after="0" w:line="240" w:lineRule="auto"/>
      </w:pPr>
      <w:r>
        <w:continuationSeparator/>
      </w:r>
    </w:p>
  </w:footnote>
  <w:footnote w:type="continuationNotice" w:id="1">
    <w:p w14:paraId="7A5C8027" w14:textId="77777777" w:rsidR="00ED7D65" w:rsidRDefault="00ED7D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777F8C51" w:rsidR="00FD29D3" w:rsidRPr="002B0664" w:rsidRDefault="007D0AF9" w:rsidP="00D86DE4">
    <w:pPr>
      <w:pStyle w:val="Captionsandfootnotes"/>
      <w:rPr>
        <w:color w:val="auto"/>
      </w:rPr>
    </w:pPr>
    <w:r>
      <w:rPr>
        <w:color w:val="auto"/>
      </w:rPr>
      <w:t>2025 VCE Art Making and Exhibiting external assessment report</w:t>
    </w:r>
    <w:r w:rsidR="00FD29D3" w:rsidRPr="002B0664">
      <w:rPr>
        <w:color w:val="auto"/>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85A214D"/>
    <w:multiLevelType w:val="multilevel"/>
    <w:tmpl w:val="67CED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3" w15:restartNumberingAfterBreak="0">
    <w:nsid w:val="4A2C33E6"/>
    <w:multiLevelType w:val="multilevel"/>
    <w:tmpl w:val="81B8F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5A8A327D"/>
    <w:multiLevelType w:val="multilevel"/>
    <w:tmpl w:val="47804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62872B6C"/>
    <w:multiLevelType w:val="hybridMultilevel"/>
    <w:tmpl w:val="A176B05C"/>
    <w:lvl w:ilvl="0" w:tplc="27F2EE64">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8"/>
  </w:num>
  <w:num w:numId="2" w16cid:durableId="1678000311">
    <w:abstractNumId w:val="15"/>
  </w:num>
  <w:num w:numId="3" w16cid:durableId="1018848057">
    <w:abstractNumId w:val="12"/>
  </w:num>
  <w:num w:numId="4" w16cid:durableId="1304190575">
    <w:abstractNumId w:val="10"/>
  </w:num>
  <w:num w:numId="5" w16cid:durableId="2057312338">
    <w:abstractNumId w:val="17"/>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2005429346">
    <w:abstractNumId w:val="14"/>
  </w:num>
  <w:num w:numId="17" w16cid:durableId="136263374">
    <w:abstractNumId w:val="16"/>
  </w:num>
  <w:num w:numId="18" w16cid:durableId="833453720">
    <w:abstractNumId w:val="11"/>
  </w:num>
  <w:num w:numId="19" w16cid:durableId="6793513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1223B"/>
    <w:rsid w:val="0001591D"/>
    <w:rsid w:val="0005780E"/>
    <w:rsid w:val="00065CC6"/>
    <w:rsid w:val="00067323"/>
    <w:rsid w:val="000841F3"/>
    <w:rsid w:val="00095B89"/>
    <w:rsid w:val="000A55CB"/>
    <w:rsid w:val="000A71F7"/>
    <w:rsid w:val="000B0FFE"/>
    <w:rsid w:val="000C52BF"/>
    <w:rsid w:val="000D1438"/>
    <w:rsid w:val="000F09E4"/>
    <w:rsid w:val="000F16FD"/>
    <w:rsid w:val="000F18D2"/>
    <w:rsid w:val="000F5AAF"/>
    <w:rsid w:val="00107E66"/>
    <w:rsid w:val="00142593"/>
    <w:rsid w:val="00143520"/>
    <w:rsid w:val="00143C30"/>
    <w:rsid w:val="00153AD2"/>
    <w:rsid w:val="00154348"/>
    <w:rsid w:val="001626E0"/>
    <w:rsid w:val="001779EA"/>
    <w:rsid w:val="00196CD6"/>
    <w:rsid w:val="001A185B"/>
    <w:rsid w:val="001A2EE2"/>
    <w:rsid w:val="001D3246"/>
    <w:rsid w:val="001E0020"/>
    <w:rsid w:val="002002C3"/>
    <w:rsid w:val="002136BD"/>
    <w:rsid w:val="002153E8"/>
    <w:rsid w:val="002279BA"/>
    <w:rsid w:val="002329F3"/>
    <w:rsid w:val="00243F0D"/>
    <w:rsid w:val="00260767"/>
    <w:rsid w:val="002647BB"/>
    <w:rsid w:val="002754C1"/>
    <w:rsid w:val="002841C8"/>
    <w:rsid w:val="0028516B"/>
    <w:rsid w:val="00292816"/>
    <w:rsid w:val="002A0C8F"/>
    <w:rsid w:val="002B0664"/>
    <w:rsid w:val="002C6F90"/>
    <w:rsid w:val="002E4FB5"/>
    <w:rsid w:val="002F7EAB"/>
    <w:rsid w:val="003018E8"/>
    <w:rsid w:val="00302FB8"/>
    <w:rsid w:val="00304EA1"/>
    <w:rsid w:val="00312495"/>
    <w:rsid w:val="00314D81"/>
    <w:rsid w:val="00315014"/>
    <w:rsid w:val="00322FC6"/>
    <w:rsid w:val="003472FE"/>
    <w:rsid w:val="0035293F"/>
    <w:rsid w:val="00365146"/>
    <w:rsid w:val="00370818"/>
    <w:rsid w:val="00373ABF"/>
    <w:rsid w:val="00381C75"/>
    <w:rsid w:val="00383BBB"/>
    <w:rsid w:val="00391986"/>
    <w:rsid w:val="003A00B4"/>
    <w:rsid w:val="003A06B2"/>
    <w:rsid w:val="003C5E71"/>
    <w:rsid w:val="003E611C"/>
    <w:rsid w:val="00410417"/>
    <w:rsid w:val="00417AA3"/>
    <w:rsid w:val="00425DFE"/>
    <w:rsid w:val="00434EDB"/>
    <w:rsid w:val="00440B32"/>
    <w:rsid w:val="0046078D"/>
    <w:rsid w:val="0046476D"/>
    <w:rsid w:val="0048143D"/>
    <w:rsid w:val="00490D0D"/>
    <w:rsid w:val="00495C80"/>
    <w:rsid w:val="004A2ED8"/>
    <w:rsid w:val="004D0842"/>
    <w:rsid w:val="004D4C92"/>
    <w:rsid w:val="004F0EEE"/>
    <w:rsid w:val="004F5BDA"/>
    <w:rsid w:val="0050535C"/>
    <w:rsid w:val="0051631E"/>
    <w:rsid w:val="00531DDC"/>
    <w:rsid w:val="00537A1F"/>
    <w:rsid w:val="00566029"/>
    <w:rsid w:val="00580103"/>
    <w:rsid w:val="005923CB"/>
    <w:rsid w:val="005937B1"/>
    <w:rsid w:val="005963FB"/>
    <w:rsid w:val="005B391B"/>
    <w:rsid w:val="005B6D1F"/>
    <w:rsid w:val="005C198E"/>
    <w:rsid w:val="005C6966"/>
    <w:rsid w:val="005D3D4E"/>
    <w:rsid w:val="005D3D78"/>
    <w:rsid w:val="005E2EF0"/>
    <w:rsid w:val="005E7506"/>
    <w:rsid w:val="005F4092"/>
    <w:rsid w:val="006007E8"/>
    <w:rsid w:val="006166AE"/>
    <w:rsid w:val="00622514"/>
    <w:rsid w:val="0064426F"/>
    <w:rsid w:val="0068471E"/>
    <w:rsid w:val="00684F98"/>
    <w:rsid w:val="00693FFD"/>
    <w:rsid w:val="00696264"/>
    <w:rsid w:val="006B3D79"/>
    <w:rsid w:val="006D2159"/>
    <w:rsid w:val="006F0A62"/>
    <w:rsid w:val="006F787C"/>
    <w:rsid w:val="00701BAC"/>
    <w:rsid w:val="00702636"/>
    <w:rsid w:val="00724507"/>
    <w:rsid w:val="00742C80"/>
    <w:rsid w:val="00757FAE"/>
    <w:rsid w:val="00773E6C"/>
    <w:rsid w:val="00775766"/>
    <w:rsid w:val="00775B6F"/>
    <w:rsid w:val="00781FB1"/>
    <w:rsid w:val="00782044"/>
    <w:rsid w:val="00794EF2"/>
    <w:rsid w:val="007B64FE"/>
    <w:rsid w:val="007D0AF9"/>
    <w:rsid w:val="007D1B6D"/>
    <w:rsid w:val="00806D1F"/>
    <w:rsid w:val="00813C37"/>
    <w:rsid w:val="008154B5"/>
    <w:rsid w:val="00823962"/>
    <w:rsid w:val="00841382"/>
    <w:rsid w:val="0084261C"/>
    <w:rsid w:val="00850410"/>
    <w:rsid w:val="00852719"/>
    <w:rsid w:val="00860115"/>
    <w:rsid w:val="00870A89"/>
    <w:rsid w:val="00875749"/>
    <w:rsid w:val="00880DA3"/>
    <w:rsid w:val="00883A8B"/>
    <w:rsid w:val="0088783C"/>
    <w:rsid w:val="008A39A2"/>
    <w:rsid w:val="008D18BE"/>
    <w:rsid w:val="008E049B"/>
    <w:rsid w:val="008E295F"/>
    <w:rsid w:val="008F20F2"/>
    <w:rsid w:val="009077FE"/>
    <w:rsid w:val="009132B1"/>
    <w:rsid w:val="009256A0"/>
    <w:rsid w:val="00930C0E"/>
    <w:rsid w:val="009355A5"/>
    <w:rsid w:val="009370BC"/>
    <w:rsid w:val="00956943"/>
    <w:rsid w:val="00963EE3"/>
    <w:rsid w:val="0096556B"/>
    <w:rsid w:val="00970580"/>
    <w:rsid w:val="00977E41"/>
    <w:rsid w:val="0098739B"/>
    <w:rsid w:val="009A282C"/>
    <w:rsid w:val="009B61E5"/>
    <w:rsid w:val="009D084F"/>
    <w:rsid w:val="009D1E1A"/>
    <w:rsid w:val="009D1E89"/>
    <w:rsid w:val="009D28DE"/>
    <w:rsid w:val="009E5707"/>
    <w:rsid w:val="009F523E"/>
    <w:rsid w:val="00A00C7D"/>
    <w:rsid w:val="00A03976"/>
    <w:rsid w:val="00A17661"/>
    <w:rsid w:val="00A24B2D"/>
    <w:rsid w:val="00A35EE8"/>
    <w:rsid w:val="00A40966"/>
    <w:rsid w:val="00A44E2C"/>
    <w:rsid w:val="00A57D95"/>
    <w:rsid w:val="00A700AD"/>
    <w:rsid w:val="00A921E0"/>
    <w:rsid w:val="00A922F4"/>
    <w:rsid w:val="00A93E57"/>
    <w:rsid w:val="00A95A81"/>
    <w:rsid w:val="00AB2D87"/>
    <w:rsid w:val="00AD4E93"/>
    <w:rsid w:val="00AE5526"/>
    <w:rsid w:val="00AF051B"/>
    <w:rsid w:val="00B01578"/>
    <w:rsid w:val="00B0738F"/>
    <w:rsid w:val="00B13D3B"/>
    <w:rsid w:val="00B230DB"/>
    <w:rsid w:val="00B26601"/>
    <w:rsid w:val="00B41951"/>
    <w:rsid w:val="00B41C52"/>
    <w:rsid w:val="00B43F9B"/>
    <w:rsid w:val="00B44C77"/>
    <w:rsid w:val="00B45417"/>
    <w:rsid w:val="00B53229"/>
    <w:rsid w:val="00B62480"/>
    <w:rsid w:val="00B81B70"/>
    <w:rsid w:val="00BB2170"/>
    <w:rsid w:val="00BB3BAB"/>
    <w:rsid w:val="00BB7413"/>
    <w:rsid w:val="00BC5B8F"/>
    <w:rsid w:val="00BD0724"/>
    <w:rsid w:val="00BD2B91"/>
    <w:rsid w:val="00BD582C"/>
    <w:rsid w:val="00BE5521"/>
    <w:rsid w:val="00BF6C23"/>
    <w:rsid w:val="00C155A6"/>
    <w:rsid w:val="00C33E8D"/>
    <w:rsid w:val="00C53263"/>
    <w:rsid w:val="00C5347C"/>
    <w:rsid w:val="00C623B2"/>
    <w:rsid w:val="00C67A88"/>
    <w:rsid w:val="00C72140"/>
    <w:rsid w:val="00C75F1D"/>
    <w:rsid w:val="00C81757"/>
    <w:rsid w:val="00C85802"/>
    <w:rsid w:val="00C95156"/>
    <w:rsid w:val="00C971E2"/>
    <w:rsid w:val="00CA0DC2"/>
    <w:rsid w:val="00CB68E8"/>
    <w:rsid w:val="00CC4C4F"/>
    <w:rsid w:val="00CE4F1F"/>
    <w:rsid w:val="00D04F01"/>
    <w:rsid w:val="00D06414"/>
    <w:rsid w:val="00D144EE"/>
    <w:rsid w:val="00D24E5A"/>
    <w:rsid w:val="00D25766"/>
    <w:rsid w:val="00D275DF"/>
    <w:rsid w:val="00D32010"/>
    <w:rsid w:val="00D338E4"/>
    <w:rsid w:val="00D51947"/>
    <w:rsid w:val="00D527C3"/>
    <w:rsid w:val="00D532F0"/>
    <w:rsid w:val="00D56E0F"/>
    <w:rsid w:val="00D6610F"/>
    <w:rsid w:val="00D66D8F"/>
    <w:rsid w:val="00D76E10"/>
    <w:rsid w:val="00D77413"/>
    <w:rsid w:val="00D82759"/>
    <w:rsid w:val="00D86DE4"/>
    <w:rsid w:val="00DA1F30"/>
    <w:rsid w:val="00DC0AF5"/>
    <w:rsid w:val="00DE1909"/>
    <w:rsid w:val="00DE51DB"/>
    <w:rsid w:val="00DE7ED0"/>
    <w:rsid w:val="00DF639C"/>
    <w:rsid w:val="00DF7107"/>
    <w:rsid w:val="00E208DF"/>
    <w:rsid w:val="00E23F1D"/>
    <w:rsid w:val="00E30E05"/>
    <w:rsid w:val="00E36361"/>
    <w:rsid w:val="00E55AE9"/>
    <w:rsid w:val="00E61572"/>
    <w:rsid w:val="00E66A5C"/>
    <w:rsid w:val="00E71100"/>
    <w:rsid w:val="00E7229D"/>
    <w:rsid w:val="00E7237D"/>
    <w:rsid w:val="00EA1182"/>
    <w:rsid w:val="00EB0C84"/>
    <w:rsid w:val="00EB2EF8"/>
    <w:rsid w:val="00EB76AB"/>
    <w:rsid w:val="00ED7D65"/>
    <w:rsid w:val="00EF01B7"/>
    <w:rsid w:val="00F17CCB"/>
    <w:rsid w:val="00F17FDE"/>
    <w:rsid w:val="00F20F96"/>
    <w:rsid w:val="00F40D53"/>
    <w:rsid w:val="00F4525C"/>
    <w:rsid w:val="00F50D86"/>
    <w:rsid w:val="00F91BBF"/>
    <w:rsid w:val="00F91C22"/>
    <w:rsid w:val="00FD29D3"/>
    <w:rsid w:val="00FD4EA7"/>
    <w:rsid w:val="00FE3F0B"/>
    <w:rsid w:val="017DE273"/>
    <w:rsid w:val="045BFE61"/>
    <w:rsid w:val="0569D776"/>
    <w:rsid w:val="070EB0A4"/>
    <w:rsid w:val="0922FD3F"/>
    <w:rsid w:val="092F6A97"/>
    <w:rsid w:val="09E78662"/>
    <w:rsid w:val="0C005DC9"/>
    <w:rsid w:val="0C740E73"/>
    <w:rsid w:val="0DB06882"/>
    <w:rsid w:val="11D4E877"/>
    <w:rsid w:val="14271F6D"/>
    <w:rsid w:val="153345AA"/>
    <w:rsid w:val="1655873A"/>
    <w:rsid w:val="18739B7B"/>
    <w:rsid w:val="18D97EE9"/>
    <w:rsid w:val="1900A502"/>
    <w:rsid w:val="19690006"/>
    <w:rsid w:val="1A34AC68"/>
    <w:rsid w:val="1BB65CC8"/>
    <w:rsid w:val="1DED0F17"/>
    <w:rsid w:val="1EAD75B6"/>
    <w:rsid w:val="207950BB"/>
    <w:rsid w:val="22B5AA6C"/>
    <w:rsid w:val="22D20059"/>
    <w:rsid w:val="24786AF3"/>
    <w:rsid w:val="24A63174"/>
    <w:rsid w:val="25F00398"/>
    <w:rsid w:val="284FE5B3"/>
    <w:rsid w:val="28B3DFFA"/>
    <w:rsid w:val="29F9FB0A"/>
    <w:rsid w:val="2B6724BC"/>
    <w:rsid w:val="2CDB2A28"/>
    <w:rsid w:val="2E9FA61B"/>
    <w:rsid w:val="2F5EF093"/>
    <w:rsid w:val="2F9429C0"/>
    <w:rsid w:val="2FBD4148"/>
    <w:rsid w:val="30D3382E"/>
    <w:rsid w:val="310E1479"/>
    <w:rsid w:val="31B685EF"/>
    <w:rsid w:val="33374C50"/>
    <w:rsid w:val="345F80AC"/>
    <w:rsid w:val="34663514"/>
    <w:rsid w:val="3553738E"/>
    <w:rsid w:val="389689CB"/>
    <w:rsid w:val="39319234"/>
    <w:rsid w:val="3BF58170"/>
    <w:rsid w:val="3DD5F1A4"/>
    <w:rsid w:val="3E86BCBE"/>
    <w:rsid w:val="3EDF9F6A"/>
    <w:rsid w:val="3F5EFA12"/>
    <w:rsid w:val="408F2000"/>
    <w:rsid w:val="4181B3BF"/>
    <w:rsid w:val="424826FA"/>
    <w:rsid w:val="42562A10"/>
    <w:rsid w:val="466F90CB"/>
    <w:rsid w:val="4AA0C21B"/>
    <w:rsid w:val="4BE6733A"/>
    <w:rsid w:val="504B4E9E"/>
    <w:rsid w:val="51AEE712"/>
    <w:rsid w:val="52FAD6CD"/>
    <w:rsid w:val="57E631EC"/>
    <w:rsid w:val="5866CB73"/>
    <w:rsid w:val="5AE5C9FD"/>
    <w:rsid w:val="5D604BC7"/>
    <w:rsid w:val="5D9B2874"/>
    <w:rsid w:val="5E2CFEA6"/>
    <w:rsid w:val="5E3A0F75"/>
    <w:rsid w:val="5EA58A54"/>
    <w:rsid w:val="5EBAAAF9"/>
    <w:rsid w:val="5FDCE44C"/>
    <w:rsid w:val="61916BCC"/>
    <w:rsid w:val="64B6BD5F"/>
    <w:rsid w:val="69B4E850"/>
    <w:rsid w:val="6A1AEEC1"/>
    <w:rsid w:val="6AD35DED"/>
    <w:rsid w:val="6AF58946"/>
    <w:rsid w:val="6D209AC6"/>
    <w:rsid w:val="6F016B6B"/>
    <w:rsid w:val="6F0D8333"/>
    <w:rsid w:val="6F2F779E"/>
    <w:rsid w:val="6FF449F5"/>
    <w:rsid w:val="706D0A43"/>
    <w:rsid w:val="71287BD0"/>
    <w:rsid w:val="72104D48"/>
    <w:rsid w:val="73C52F01"/>
    <w:rsid w:val="74325681"/>
    <w:rsid w:val="746FD940"/>
    <w:rsid w:val="748AC791"/>
    <w:rsid w:val="776B3FAE"/>
    <w:rsid w:val="77DAA6A1"/>
    <w:rsid w:val="783F8155"/>
    <w:rsid w:val="786C0A7E"/>
    <w:rsid w:val="7E498C7A"/>
    <w:rsid w:val="7E65F250"/>
    <w:rsid w:val="7FAB7F5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7229D"/>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381C75"/>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unhideWhenUsed/>
    <w:rsid w:val="00870A89"/>
    <w:pPr>
      <w:spacing w:after="120"/>
    </w:pPr>
  </w:style>
  <w:style w:type="character" w:customStyle="1" w:styleId="BodyText2Char">
    <w:name w:val="Body Text 2 Char"/>
    <w:basedOn w:val="DefaultParagraphFont"/>
    <w:link w:val="BodyText2"/>
    <w:uiPriority w:val="99"/>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ED7D65"/>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531DDC"/>
    <w:rPr>
      <w:color w:val="605E5C"/>
      <w:shd w:val="clear" w:color="auto" w:fill="E1DFDD"/>
    </w:rPr>
  </w:style>
  <w:style w:type="character" w:styleId="FollowedHyperlink">
    <w:name w:val="FollowedHyperlink"/>
    <w:basedOn w:val="DefaultParagraphFont"/>
    <w:uiPriority w:val="99"/>
    <w:semiHidden/>
    <w:unhideWhenUsed/>
    <w:rsid w:val="00531DDC"/>
    <w:rPr>
      <w:color w:val="8DB3E2" w:themeColor="followedHyperlink"/>
      <w:u w:val="single"/>
    </w:rPr>
  </w:style>
  <w:style w:type="character" w:customStyle="1" w:styleId="apple-converted-space">
    <w:name w:val="apple-converted-space"/>
    <w:basedOn w:val="DefaultParagraphFont"/>
    <w:rsid w:val="00E66A5C"/>
  </w:style>
  <w:style w:type="character" w:styleId="Strong">
    <w:name w:val="Strong"/>
    <w:basedOn w:val="DefaultParagraphFont"/>
    <w:uiPriority w:val="22"/>
    <w:qFormat/>
    <w:rsid w:val="00E66A5C"/>
    <w:rPr>
      <w:b/>
      <w:bCs/>
    </w:rPr>
  </w:style>
  <w:style w:type="character" w:styleId="Emphasis">
    <w:name w:val="Emphasis"/>
    <w:basedOn w:val="DefaultParagraphFont"/>
    <w:uiPriority w:val="20"/>
    <w:qFormat/>
    <w:rsid w:val="00E66A5C"/>
    <w:rPr>
      <w:i/>
      <w:iCs/>
    </w:rPr>
  </w:style>
  <w:style w:type="paragraph" w:customStyle="1" w:styleId="VCAAHeading1">
    <w:name w:val="VCAA Heading 1"/>
    <w:qFormat/>
    <w:rsid w:val="006007E8"/>
    <w:pPr>
      <w:spacing w:before="480" w:after="120" w:line="560" w:lineRule="exact"/>
      <w:outlineLvl w:val="1"/>
    </w:pPr>
    <w:rPr>
      <w:rFonts w:ascii="Arial" w:hAnsi="Arial" w:cs="Arial"/>
      <w:color w:val="0F7EB4"/>
      <w:sz w:val="48"/>
      <w:szCs w:val="40"/>
    </w:rPr>
  </w:style>
  <w:style w:type="paragraph" w:customStyle="1" w:styleId="VCAAbody">
    <w:name w:val="VCAA body"/>
    <w:link w:val="VCAAbodyChar"/>
    <w:qFormat/>
    <w:rsid w:val="006007E8"/>
    <w:pPr>
      <w:spacing w:before="120" w:after="120" w:line="280" w:lineRule="exact"/>
    </w:pPr>
    <w:rPr>
      <w:rFonts w:ascii="Arial" w:hAnsi="Arial" w:cs="Arial"/>
      <w:color w:val="000000" w:themeColor="text1"/>
      <w:sz w:val="20"/>
    </w:rPr>
  </w:style>
  <w:style w:type="character" w:customStyle="1" w:styleId="VCAAbodyChar">
    <w:name w:val="VCAA body Char"/>
    <w:basedOn w:val="DefaultParagraphFont"/>
    <w:link w:val="VCAAbody"/>
    <w:qFormat/>
    <w:rsid w:val="006007E8"/>
    <w:rPr>
      <w:rFonts w:ascii="Arial" w:hAnsi="Arial" w:cs="Arial"/>
      <w:color w:val="000000" w:themeColor="text1"/>
      <w:sz w:val="20"/>
    </w:rPr>
  </w:style>
  <w:style w:type="paragraph" w:styleId="Revision">
    <w:name w:val="Revision"/>
    <w:hidden/>
    <w:uiPriority w:val="99"/>
    <w:semiHidden/>
    <w:rsid w:val="0084261C"/>
    <w:pPr>
      <w:spacing w:after="0" w:line="240" w:lineRule="auto"/>
    </w:pPr>
  </w:style>
  <w:style w:type="character" w:styleId="CommentReference">
    <w:name w:val="annotation reference"/>
    <w:basedOn w:val="DefaultParagraphFont"/>
    <w:uiPriority w:val="99"/>
    <w:semiHidden/>
    <w:unhideWhenUsed/>
    <w:rsid w:val="0084261C"/>
    <w:rPr>
      <w:sz w:val="16"/>
      <w:szCs w:val="16"/>
    </w:rPr>
  </w:style>
  <w:style w:type="paragraph" w:customStyle="1" w:styleId="Studentresponse">
    <w:name w:val="Student response"/>
    <w:basedOn w:val="BodyText"/>
    <w:link w:val="StudentresponseChar"/>
    <w:qFormat/>
    <w:rsid w:val="00C971E2"/>
    <w:pPr>
      <w:ind w:left="284"/>
    </w:pPr>
    <w:rPr>
      <w:i/>
    </w:rPr>
  </w:style>
  <w:style w:type="character" w:customStyle="1" w:styleId="StudentresponseChar">
    <w:name w:val="Student response Char"/>
    <w:basedOn w:val="BodyTextChar"/>
    <w:link w:val="Studentresponse"/>
    <w:rsid w:val="00C971E2"/>
    <w:rPr>
      <w:rFonts w:ascii="Arial" w:hAnsi="Arial" w:cs="Arial"/>
      <w:i/>
      <w:color w:val="000000" w:themeColor="text1"/>
      <w:sz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copyrigh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copyrigh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A54BA6E3721C459EB3C95B9B8F1A35" ma:contentTypeVersion="13" ma:contentTypeDescription="Create a new document." ma:contentTypeScope="" ma:versionID="0f55dc40e9c838ef78209e7ca20d09fa">
  <xsd:schema xmlns:xsd="http://www.w3.org/2001/XMLSchema" xmlns:xs="http://www.w3.org/2001/XMLSchema" xmlns:p="http://schemas.microsoft.com/office/2006/metadata/properties" xmlns:ns2="e9ccb2cb-7aa8-4bc9-a094-f008dabcc21d" xmlns:ns3="5e91c720-40cf-4a29-a59b-798f72d42987" targetNamespace="http://schemas.microsoft.com/office/2006/metadata/properties" ma:root="true" ma:fieldsID="c1534436aef4a1b0addd54b8ef8831a0" ns2:_="" ns3:_="">
    <xsd:import namespace="e9ccb2cb-7aa8-4bc9-a094-f008dabcc21d"/>
    <xsd:import namespace="5e91c720-40cf-4a29-a59b-798f72d429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VersionContr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cb2cb-7aa8-4bc9-a094-f008dabcc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VersionControl" ma:index="20" nillable="true" ma:displayName="Version Control" ma:format="Dropdown" ma:internalName="VersionControl">
      <xsd:simpleType>
        <xsd:restriction base="dms:Choice">
          <xsd:enumeration value="Awaiting review"/>
          <xsd:enumeration value="Final from EDM"/>
          <xsd:enumeration value="Editor reviewed"/>
          <xsd:enumeration value="Ready to print"/>
          <xsd:enumeration value="Choice 5"/>
        </xsd:restriction>
      </xsd:simpleType>
    </xsd:element>
  </xsd:schema>
  <xsd:schema xmlns:xsd="http://www.w3.org/2001/XMLSchema" xmlns:xs="http://www.w3.org/2001/XMLSchema" xmlns:dms="http://schemas.microsoft.com/office/2006/documentManagement/types" xmlns:pc="http://schemas.microsoft.com/office/infopath/2007/PartnerControls" targetNamespace="5e91c720-40cf-4a29-a59b-798f72d4298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56cb874-3864-4d25-b23a-a359e8c37ae8}" ma:internalName="TaxCatchAll" ma:showField="CatchAllData" ma:web="5e91c720-40cf-4a29-a59b-798f72d429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E770C-1C83-4815-A6A2-907B8087C3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ccb2cb-7aa8-4bc9-a094-f008dabcc21d"/>
    <ds:schemaRef ds:uri="5e91c720-40cf-4a29-a59b-798f72d42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4761</Words>
  <Characters>27143</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Art Making and Exhibiting external assessment report</dc:title>
  <dc:creator/>
  <cp:lastModifiedBy/>
  <cp:revision>1</cp:revision>
  <dcterms:created xsi:type="dcterms:W3CDTF">2026-01-21T04:18:00Z</dcterms:created>
  <dcterms:modified xsi:type="dcterms:W3CDTF">2026-01-21T22:49:00Z</dcterms:modified>
</cp:coreProperties>
</file>