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6CA22A13" w:rsidR="00F4525C" w:rsidRPr="00870A89" w:rsidRDefault="00DF7107" w:rsidP="00E7229D">
          <w:pPr>
            <w:pStyle w:val="Title"/>
          </w:pPr>
          <w:r>
            <w:t xml:space="preserve">2025 VCE </w:t>
          </w:r>
          <w:r w:rsidR="00E22285">
            <w:t>Australian History</w:t>
          </w:r>
          <w:r>
            <w:t xml:space="preserve"> external assessment report</w:t>
          </w:r>
        </w:p>
      </w:sdtContent>
    </w:sdt>
    <w:p w14:paraId="6B8D6978" w14:textId="77777777" w:rsidR="00AB029E" w:rsidRPr="00DB274C" w:rsidRDefault="00AB029E" w:rsidP="00AB029E">
      <w:pPr>
        <w:pStyle w:val="BodyText"/>
      </w:pPr>
      <w:r w:rsidRPr="00DB274C">
        <w:t>Note: Student responses reproduced in this report have not been corrected for grammar, spelling or factual information.</w:t>
      </w:r>
    </w:p>
    <w:p w14:paraId="59D26C60" w14:textId="73A71972" w:rsidR="00DF7107" w:rsidRDefault="00DF7107" w:rsidP="00DF7107">
      <w:pPr>
        <w:pStyle w:val="BodyText"/>
      </w:pPr>
      <w:r>
        <w:t xml:space="preserve">This report provides sample answers or an indication of what answers may have included. Unless otherwise stated, these are not intended to be exemplary or complete responses. </w:t>
      </w:r>
    </w:p>
    <w:p w14:paraId="78948898" w14:textId="0BA30ECE" w:rsidR="00DF7107" w:rsidRDefault="00DF7107" w:rsidP="00DF7107">
      <w:pPr>
        <w:pStyle w:val="BodyText"/>
      </w:pPr>
      <w:r>
        <w:t xml:space="preserve">The statistics in this report may be subject to rounding resulting in a total </w:t>
      </w:r>
      <w:r w:rsidR="007A675B">
        <w:t xml:space="preserve">of </w:t>
      </w:r>
      <w:r>
        <w:t>more or less than 100 per cent.</w:t>
      </w:r>
    </w:p>
    <w:p w14:paraId="21D16D87" w14:textId="77777777" w:rsidR="00E22285" w:rsidRPr="00BA00B7" w:rsidRDefault="00E22285" w:rsidP="00FF3C7C">
      <w:pPr>
        <w:pStyle w:val="Heading1"/>
      </w:pPr>
      <w:r w:rsidRPr="00BA00B7">
        <w:t>Section A</w:t>
      </w:r>
    </w:p>
    <w:p w14:paraId="1704FD31" w14:textId="16D182D5" w:rsidR="00834A93" w:rsidRDefault="002577B0" w:rsidP="00DF7107">
      <w:pPr>
        <w:pStyle w:val="BodyText"/>
      </w:pPr>
      <w:r>
        <w:t>Advice specific to Section A:</w:t>
      </w:r>
    </w:p>
    <w:p w14:paraId="4555419B" w14:textId="388EC94B" w:rsidR="00BC0D50" w:rsidRPr="00D923D6" w:rsidRDefault="00EC442E" w:rsidP="0063768C">
      <w:pPr>
        <w:pStyle w:val="Bullet"/>
      </w:pPr>
      <w:r>
        <w:t>‘</w:t>
      </w:r>
      <w:r w:rsidR="00BC0D50" w:rsidRPr="00D923D6">
        <w:t>Identify and outline</w:t>
      </w:r>
      <w:r>
        <w:t>’</w:t>
      </w:r>
      <w:r w:rsidR="00BC0D50" w:rsidRPr="00D923D6">
        <w:t xml:space="preserve"> questions that ask</w:t>
      </w:r>
      <w:r>
        <w:t>ed</w:t>
      </w:r>
      <w:r w:rsidR="00BC0D50" w:rsidRPr="00D923D6">
        <w:t xml:space="preserve"> students to </w:t>
      </w:r>
      <w:r w:rsidR="000B5B15">
        <w:t>‘</w:t>
      </w:r>
      <w:r w:rsidR="00BC0D50" w:rsidRPr="00D923D6">
        <w:t>Use source x…</w:t>
      </w:r>
      <w:r w:rsidR="000B5B15">
        <w:t>’</w:t>
      </w:r>
      <w:r w:rsidR="00BC0D50" w:rsidRPr="00D923D6">
        <w:t xml:space="preserve"> require</w:t>
      </w:r>
      <w:r>
        <w:t>d</w:t>
      </w:r>
      <w:r w:rsidR="00BC0D50" w:rsidRPr="00D923D6">
        <w:t xml:space="preserve"> students to draw answers only from the source provided.</w:t>
      </w:r>
    </w:p>
    <w:p w14:paraId="33103009" w14:textId="5006064D" w:rsidR="002577B0" w:rsidRPr="00D923D6" w:rsidRDefault="002577B0" w:rsidP="0063768C">
      <w:pPr>
        <w:pStyle w:val="Bullet"/>
      </w:pPr>
      <w:r w:rsidRPr="00D923D6">
        <w:t>Questions that used the command term ‘outline’ require</w:t>
      </w:r>
      <w:r w:rsidR="00BC0D50" w:rsidRPr="00D923D6">
        <w:t>d</w:t>
      </w:r>
      <w:r w:rsidRPr="00D923D6">
        <w:t xml:space="preserve"> </w:t>
      </w:r>
      <w:r w:rsidR="00EC442E">
        <w:t>students</w:t>
      </w:r>
      <w:r w:rsidR="00305B1E">
        <w:t xml:space="preserve"> to</w:t>
      </w:r>
      <w:r w:rsidR="00EC442E">
        <w:t xml:space="preserve"> include </w:t>
      </w:r>
      <w:r w:rsidRPr="00D923D6">
        <w:t>full sentences</w:t>
      </w:r>
      <w:r w:rsidR="00E946B3" w:rsidRPr="00D923D6">
        <w:t xml:space="preserve"> in the</w:t>
      </w:r>
      <w:r w:rsidRPr="00D923D6">
        <w:t xml:space="preserve"> response</w:t>
      </w:r>
      <w:r w:rsidR="00E946B3" w:rsidRPr="00D923D6">
        <w:t>, rather than simply providing isolated excerpts of quotes from the source</w:t>
      </w:r>
      <w:r w:rsidR="00BC0D50" w:rsidRPr="00D923D6">
        <w:t xml:space="preserve">. </w:t>
      </w:r>
      <w:r w:rsidRPr="00D923D6">
        <w:t xml:space="preserve">Quotes from the source could be used independently if the quote consisted of a fully formed, meaningful sentence that provided one of the main arguments of the source. </w:t>
      </w:r>
      <w:r w:rsidR="00E946B3" w:rsidRPr="00D923D6">
        <w:t>However, q</w:t>
      </w:r>
      <w:r w:rsidRPr="00D923D6">
        <w:t xml:space="preserve">uotes from the source were more commonly used in combination with a student’s own words in order to form </w:t>
      </w:r>
      <w:r w:rsidR="00E946B3" w:rsidRPr="00D923D6">
        <w:t>full</w:t>
      </w:r>
      <w:r w:rsidRPr="00D923D6">
        <w:t xml:space="preserve"> sentences. Paraphrasing the main arguments of the source was also an acceptable way to respond to </w:t>
      </w:r>
      <w:r w:rsidR="006125B9">
        <w:t>these</w:t>
      </w:r>
      <w:r w:rsidR="006125B9" w:rsidRPr="00D923D6">
        <w:t xml:space="preserve"> </w:t>
      </w:r>
      <w:r w:rsidRPr="00D923D6">
        <w:t>question</w:t>
      </w:r>
      <w:r w:rsidR="006125B9">
        <w:t>s</w:t>
      </w:r>
      <w:r w:rsidRPr="00D923D6">
        <w:t>.</w:t>
      </w:r>
    </w:p>
    <w:p w14:paraId="33380349" w14:textId="51FB944E" w:rsidR="00BC0D50" w:rsidRPr="00D923D6" w:rsidRDefault="007267BA" w:rsidP="0063768C">
      <w:pPr>
        <w:pStyle w:val="Bullet"/>
      </w:pPr>
      <w:r w:rsidRPr="00D923D6">
        <w:t>A source was provided for each 10</w:t>
      </w:r>
      <w:r w:rsidR="00EC442E">
        <w:t>-</w:t>
      </w:r>
      <w:r w:rsidRPr="00D923D6">
        <w:t>mark ‘evaluate’ question. The source provided was intended to support the construction of an argumentative answer, but some responses focused only on the source itself.</w:t>
      </w:r>
      <w:r w:rsidR="006D6D07" w:rsidRPr="00D923D6">
        <w:t xml:space="preserve"> </w:t>
      </w:r>
      <w:r w:rsidRPr="00D923D6">
        <w:t>Higher</w:t>
      </w:r>
      <w:r w:rsidR="00EC442E">
        <w:t>-</w:t>
      </w:r>
      <w:r w:rsidRPr="00D923D6">
        <w:t>scoring extended responses provided knowledge and evidence from beyond the source provided.</w:t>
      </w:r>
    </w:p>
    <w:p w14:paraId="2B281F84" w14:textId="122C994F" w:rsidR="006E04F3" w:rsidRPr="00D923D6" w:rsidRDefault="006E04F3" w:rsidP="0063768C">
      <w:pPr>
        <w:pStyle w:val="Bullet"/>
      </w:pPr>
      <w:r w:rsidRPr="00D923D6">
        <w:t>When using sources, students are reminde</w:t>
      </w:r>
      <w:r w:rsidR="00E946B3" w:rsidRPr="00D923D6">
        <w:t>d</w:t>
      </w:r>
      <w:r w:rsidRPr="00D923D6">
        <w:t xml:space="preserve"> to make explicit reference to the source, for example, by writing </w:t>
      </w:r>
      <w:r w:rsidR="000B5B15">
        <w:t>‘</w:t>
      </w:r>
      <w:r w:rsidRPr="00D923D6">
        <w:t>as seen in source x</w:t>
      </w:r>
      <w:r w:rsidR="000B5B15">
        <w:t>’</w:t>
      </w:r>
      <w:r w:rsidRPr="00D923D6">
        <w:t xml:space="preserve">, or adding </w:t>
      </w:r>
      <w:r w:rsidR="00264DAA">
        <w:t>‘</w:t>
      </w:r>
      <w:r w:rsidRPr="00D923D6">
        <w:t>(source x)</w:t>
      </w:r>
      <w:r w:rsidR="00264DAA">
        <w:t>’</w:t>
      </w:r>
      <w:r w:rsidRPr="00D923D6">
        <w:t xml:space="preserve"> following a quote from the source.</w:t>
      </w:r>
      <w:r w:rsidR="006D6D07" w:rsidRPr="00D923D6">
        <w:t xml:space="preserve"> </w:t>
      </w:r>
    </w:p>
    <w:p w14:paraId="0C22682E" w14:textId="1D1433BB" w:rsidR="007267BA" w:rsidRPr="00D923D6" w:rsidRDefault="007267BA" w:rsidP="0063768C">
      <w:pPr>
        <w:pStyle w:val="Bullet"/>
      </w:pPr>
      <w:r w:rsidRPr="00D923D6">
        <w:t>Students are reminded to pay close attention to the timeframes specified by the question</w:t>
      </w:r>
      <w:r w:rsidR="00E946B3" w:rsidRPr="00D923D6">
        <w:t xml:space="preserve"> and </w:t>
      </w:r>
      <w:r w:rsidR="00F27549">
        <w:t>to ensure that</w:t>
      </w:r>
      <w:r w:rsidR="00F27549" w:rsidRPr="00D923D6">
        <w:t xml:space="preserve"> </w:t>
      </w:r>
      <w:r w:rsidR="00E946B3" w:rsidRPr="00D923D6">
        <w:t>their answer focus</w:t>
      </w:r>
      <w:r w:rsidR="00F27549">
        <w:t>es</w:t>
      </w:r>
      <w:r w:rsidR="00E946B3" w:rsidRPr="00D923D6">
        <w:t xml:space="preserve"> on this timeframe.</w:t>
      </w:r>
    </w:p>
    <w:p w14:paraId="31F51538" w14:textId="54021D4D" w:rsidR="006E04F3" w:rsidRPr="00D923D6" w:rsidRDefault="006E04F3" w:rsidP="0063768C">
      <w:pPr>
        <w:pStyle w:val="Bullet"/>
      </w:pPr>
      <w:r w:rsidRPr="00D923D6">
        <w:t xml:space="preserve">The quality and clarity of handwriting </w:t>
      </w:r>
      <w:r w:rsidR="000F031C">
        <w:t>wa</w:t>
      </w:r>
      <w:r w:rsidR="000F031C" w:rsidRPr="00D923D6">
        <w:t xml:space="preserve">s </w:t>
      </w:r>
      <w:r w:rsidRPr="00D923D6">
        <w:t>an issue; assessors make every effort to</w:t>
      </w:r>
      <w:r w:rsidR="00C64250" w:rsidRPr="00D923D6">
        <w:t xml:space="preserve"> understand</w:t>
      </w:r>
      <w:r w:rsidRPr="00D923D6">
        <w:t xml:space="preserve"> every word that is written but sometimes this is not possible.</w:t>
      </w:r>
      <w:r w:rsidR="006D6D07" w:rsidRPr="00D923D6">
        <w:t xml:space="preserve"> </w:t>
      </w:r>
      <w:r w:rsidRPr="00D923D6">
        <w:t>Students are reminde</w:t>
      </w:r>
      <w:r w:rsidR="005C0962" w:rsidRPr="00D923D6">
        <w:t>d</w:t>
      </w:r>
      <w:r w:rsidRPr="00D923D6">
        <w:t xml:space="preserve"> to practi</w:t>
      </w:r>
      <w:r w:rsidR="00F27549">
        <w:t>s</w:t>
      </w:r>
      <w:r w:rsidRPr="00D923D6">
        <w:t xml:space="preserve">e their handwriting throughout the year and take time to ensure that </w:t>
      </w:r>
      <w:r w:rsidR="00F27549">
        <w:t>it</w:t>
      </w:r>
      <w:r w:rsidRPr="00D923D6">
        <w:t xml:space="preserve"> is legible in the exam.</w:t>
      </w:r>
      <w:r w:rsidR="006D6D07" w:rsidRPr="00D923D6">
        <w:t xml:space="preserve"> </w:t>
      </w:r>
    </w:p>
    <w:p w14:paraId="50EE1AC3" w14:textId="77777777" w:rsidR="00E22285" w:rsidRDefault="00E22285" w:rsidP="00FF3C7C">
      <w:pPr>
        <w:pStyle w:val="Heading3"/>
      </w:pPr>
      <w:r w:rsidRPr="00BA00B7">
        <w:t>Question 1a.</w:t>
      </w:r>
    </w:p>
    <w:tbl>
      <w:tblPr>
        <w:tblStyle w:val="VCAATableClosed"/>
        <w:tblW w:w="0" w:type="auto"/>
        <w:tblLook w:val="01E0" w:firstRow="1" w:lastRow="1" w:firstColumn="1" w:lastColumn="1" w:noHBand="0" w:noVBand="0"/>
      </w:tblPr>
      <w:tblGrid>
        <w:gridCol w:w="864"/>
        <w:gridCol w:w="864"/>
        <w:gridCol w:w="864"/>
        <w:gridCol w:w="864"/>
        <w:gridCol w:w="864"/>
      </w:tblGrid>
      <w:tr w:rsidR="00263580" w:rsidRPr="00BA00B7" w14:paraId="26C6890C"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5BDE60AB" w14:textId="77777777" w:rsidR="00263580" w:rsidRPr="00BA00B7" w:rsidRDefault="00263580" w:rsidP="00D923D6">
            <w:pPr>
              <w:pStyle w:val="Tablecondensedheading"/>
              <w:rPr>
                <w:lang w:val="en-AU"/>
              </w:rPr>
            </w:pPr>
            <w:r w:rsidRPr="00BA00B7">
              <w:rPr>
                <w:lang w:val="en-AU"/>
              </w:rPr>
              <w:t>Marks</w:t>
            </w:r>
          </w:p>
        </w:tc>
        <w:tc>
          <w:tcPr>
            <w:tcW w:w="864" w:type="dxa"/>
          </w:tcPr>
          <w:p w14:paraId="7D2F7934" w14:textId="77777777" w:rsidR="00263580" w:rsidRPr="00BA00B7" w:rsidRDefault="00263580" w:rsidP="00D923D6">
            <w:pPr>
              <w:pStyle w:val="Tablecondensedheading"/>
              <w:rPr>
                <w:lang w:val="en-AU"/>
              </w:rPr>
            </w:pPr>
            <w:r w:rsidRPr="00BA00B7">
              <w:rPr>
                <w:lang w:val="en-AU"/>
              </w:rPr>
              <w:t>0</w:t>
            </w:r>
          </w:p>
        </w:tc>
        <w:tc>
          <w:tcPr>
            <w:tcW w:w="864" w:type="dxa"/>
          </w:tcPr>
          <w:p w14:paraId="2149AE1D" w14:textId="77777777" w:rsidR="00263580" w:rsidRPr="00BA00B7" w:rsidRDefault="00263580" w:rsidP="00D923D6">
            <w:pPr>
              <w:pStyle w:val="Tablecondensedheading"/>
              <w:rPr>
                <w:lang w:val="en-AU"/>
              </w:rPr>
            </w:pPr>
            <w:r w:rsidRPr="00BA00B7">
              <w:rPr>
                <w:lang w:val="en-AU"/>
              </w:rPr>
              <w:t>1</w:t>
            </w:r>
          </w:p>
        </w:tc>
        <w:tc>
          <w:tcPr>
            <w:tcW w:w="864" w:type="dxa"/>
          </w:tcPr>
          <w:p w14:paraId="22A94981" w14:textId="77777777" w:rsidR="00263580" w:rsidRPr="00BA00B7" w:rsidRDefault="00263580" w:rsidP="00D923D6">
            <w:pPr>
              <w:pStyle w:val="Tablecondensedheading"/>
              <w:rPr>
                <w:lang w:val="en-AU"/>
              </w:rPr>
            </w:pPr>
            <w:r>
              <w:rPr>
                <w:lang w:val="en-AU"/>
              </w:rPr>
              <w:t>2</w:t>
            </w:r>
          </w:p>
        </w:tc>
        <w:tc>
          <w:tcPr>
            <w:tcW w:w="864" w:type="dxa"/>
          </w:tcPr>
          <w:p w14:paraId="155631F0" w14:textId="77777777" w:rsidR="00263580" w:rsidRPr="00BA00B7" w:rsidRDefault="00263580" w:rsidP="00D923D6">
            <w:pPr>
              <w:pStyle w:val="Tablecondensedheading"/>
              <w:rPr>
                <w:lang w:val="en-AU"/>
              </w:rPr>
            </w:pPr>
            <w:r w:rsidRPr="00BA00B7">
              <w:rPr>
                <w:lang w:val="en-AU"/>
              </w:rPr>
              <w:t>Average</w:t>
            </w:r>
          </w:p>
        </w:tc>
      </w:tr>
      <w:tr w:rsidR="00263580" w:rsidRPr="008D7B0E" w14:paraId="0A1DB770" w14:textId="77777777" w:rsidTr="007A45BC">
        <w:trPr>
          <w:trHeight w:hRule="exact" w:val="397"/>
        </w:trPr>
        <w:tc>
          <w:tcPr>
            <w:tcW w:w="864" w:type="dxa"/>
          </w:tcPr>
          <w:p w14:paraId="2984686E" w14:textId="77777777" w:rsidR="00263580" w:rsidRPr="008D7B0E" w:rsidRDefault="00263580" w:rsidP="00D923D6">
            <w:pPr>
              <w:pStyle w:val="Tablecondensed"/>
            </w:pPr>
            <w:r w:rsidRPr="008D7B0E">
              <w:t>%</w:t>
            </w:r>
          </w:p>
        </w:tc>
        <w:tc>
          <w:tcPr>
            <w:tcW w:w="864" w:type="dxa"/>
            <w:vAlign w:val="bottom"/>
          </w:tcPr>
          <w:p w14:paraId="57A6F9FC" w14:textId="39379E2C" w:rsidR="00263580" w:rsidRPr="008D7B0E" w:rsidRDefault="00263580" w:rsidP="00D923D6">
            <w:pPr>
              <w:pStyle w:val="Tablecondensed"/>
            </w:pPr>
            <w:r>
              <w:t>0</w:t>
            </w:r>
          </w:p>
        </w:tc>
        <w:tc>
          <w:tcPr>
            <w:tcW w:w="864" w:type="dxa"/>
            <w:vAlign w:val="bottom"/>
          </w:tcPr>
          <w:p w14:paraId="3BD110F6" w14:textId="25BBCE76" w:rsidR="00263580" w:rsidRPr="008D7B0E" w:rsidRDefault="00263580" w:rsidP="00D923D6">
            <w:pPr>
              <w:pStyle w:val="Tablecondensed"/>
            </w:pPr>
            <w:r>
              <w:t>6</w:t>
            </w:r>
          </w:p>
        </w:tc>
        <w:tc>
          <w:tcPr>
            <w:tcW w:w="864" w:type="dxa"/>
            <w:vAlign w:val="bottom"/>
          </w:tcPr>
          <w:p w14:paraId="5E849418" w14:textId="71B31435" w:rsidR="00263580" w:rsidRPr="008D7B0E" w:rsidRDefault="00263580" w:rsidP="00D923D6">
            <w:pPr>
              <w:pStyle w:val="Tablecondensed"/>
            </w:pPr>
            <w:r>
              <w:t>94</w:t>
            </w:r>
          </w:p>
        </w:tc>
        <w:tc>
          <w:tcPr>
            <w:tcW w:w="864" w:type="dxa"/>
          </w:tcPr>
          <w:p w14:paraId="5C5A2A82" w14:textId="19446C80" w:rsidR="00263580" w:rsidRPr="008D7B0E" w:rsidRDefault="00263580" w:rsidP="00D923D6">
            <w:pPr>
              <w:pStyle w:val="Tablecondensed"/>
            </w:pPr>
            <w:r>
              <w:t>1.9</w:t>
            </w:r>
          </w:p>
        </w:tc>
      </w:tr>
    </w:tbl>
    <w:p w14:paraId="5F5C4AD9" w14:textId="1322FC49" w:rsidR="00F66D53" w:rsidRDefault="00F66D53" w:rsidP="00FF3C7C">
      <w:pPr>
        <w:pStyle w:val="BodyText"/>
      </w:pPr>
      <w:r>
        <w:t>Question 1a. required students to identify two features listed in the source that represented changes brought to Melbourne by European colonisation. Possible answers include</w:t>
      </w:r>
      <w:r w:rsidR="0077733A">
        <w:t>d</w:t>
      </w:r>
      <w:r>
        <w:t>:</w:t>
      </w:r>
    </w:p>
    <w:p w14:paraId="142EDF29" w14:textId="702AF640" w:rsidR="00F66D53" w:rsidRPr="00F66D53" w:rsidRDefault="000F031C" w:rsidP="0063768C">
      <w:pPr>
        <w:pStyle w:val="Bullet"/>
      </w:pPr>
      <w:r>
        <w:t>i</w:t>
      </w:r>
      <w:r w:rsidR="00F66D53" w:rsidRPr="004A6FEF">
        <w:t xml:space="preserve">ntroduced </w:t>
      </w:r>
      <w:r w:rsidR="00F66D53">
        <w:t xml:space="preserve">grazing </w:t>
      </w:r>
      <w:r w:rsidR="00F66D53" w:rsidRPr="004A6FEF">
        <w:t>animals</w:t>
      </w:r>
      <w:r w:rsidR="00F66D53">
        <w:t xml:space="preserve"> as evidence of pastoralism</w:t>
      </w:r>
    </w:p>
    <w:p w14:paraId="5D8DF931" w14:textId="3B35E8F1" w:rsidR="00F66D53" w:rsidRPr="00F66D53" w:rsidRDefault="000F031C" w:rsidP="0063768C">
      <w:pPr>
        <w:pStyle w:val="Bullet"/>
        <w:rPr>
          <w:rStyle w:val="EmphasisBold"/>
          <w:b w:val="0"/>
          <w:bCs/>
          <w:szCs w:val="20"/>
          <w:lang w:val="en-AU"/>
        </w:rPr>
      </w:pPr>
      <w:r>
        <w:t>c</w:t>
      </w:r>
      <w:r w:rsidR="00F66D53" w:rsidRPr="00F66D53">
        <w:t>onstructed buildings, roads and a bridge</w:t>
      </w:r>
    </w:p>
    <w:p w14:paraId="1A68657C" w14:textId="1E362A6A" w:rsidR="00F66D53" w:rsidRPr="004A6FEF" w:rsidRDefault="000F031C" w:rsidP="0063768C">
      <w:pPr>
        <w:pStyle w:val="Bullet"/>
      </w:pPr>
      <w:r>
        <w:lastRenderedPageBreak/>
        <w:t>f</w:t>
      </w:r>
      <w:r w:rsidR="00F66D53" w:rsidRPr="004A6FEF">
        <w:t>encing</w:t>
      </w:r>
      <w:r w:rsidR="00F66D53">
        <w:t xml:space="preserve"> as evidence of private property</w:t>
      </w:r>
    </w:p>
    <w:p w14:paraId="027607BD" w14:textId="1F05D537" w:rsidR="00F66D53" w:rsidRDefault="000F031C" w:rsidP="0063768C">
      <w:pPr>
        <w:pStyle w:val="Bullet"/>
      </w:pPr>
      <w:r>
        <w:t>a</w:t>
      </w:r>
      <w:r w:rsidR="00F66D53" w:rsidRPr="004A6FEF">
        <w:t xml:space="preserve"> train line; the caption also reads </w:t>
      </w:r>
      <w:r w:rsidR="000B5B15">
        <w:t>‘</w:t>
      </w:r>
      <w:r w:rsidR="00F66D53" w:rsidRPr="004A6FEF">
        <w:t>Church Street Railway Station</w:t>
      </w:r>
      <w:r w:rsidR="000B5B15">
        <w:t>’</w:t>
      </w:r>
      <w:r>
        <w:t>.</w:t>
      </w:r>
    </w:p>
    <w:p w14:paraId="3B300F7D" w14:textId="77777777" w:rsidR="00E22285" w:rsidRDefault="00E22285" w:rsidP="00E22285">
      <w:pPr>
        <w:pStyle w:val="VCAAHeading3"/>
        <w:rPr>
          <w:lang w:val="en-AU"/>
        </w:rPr>
      </w:pPr>
      <w:r w:rsidRPr="00BA00B7">
        <w:rPr>
          <w:lang w:val="en-AU"/>
        </w:rPr>
        <w:t>Question 1b.</w:t>
      </w:r>
    </w:p>
    <w:tbl>
      <w:tblPr>
        <w:tblStyle w:val="VCAATableClosed"/>
        <w:tblW w:w="0" w:type="auto"/>
        <w:tblLook w:val="01E0" w:firstRow="1" w:lastRow="1" w:firstColumn="1" w:lastColumn="1" w:noHBand="0" w:noVBand="0"/>
      </w:tblPr>
      <w:tblGrid>
        <w:gridCol w:w="864"/>
        <w:gridCol w:w="691"/>
        <w:gridCol w:w="567"/>
        <w:gridCol w:w="708"/>
        <w:gridCol w:w="567"/>
        <w:gridCol w:w="709"/>
        <w:gridCol w:w="709"/>
        <w:gridCol w:w="709"/>
        <w:gridCol w:w="709"/>
        <w:gridCol w:w="709"/>
        <w:gridCol w:w="709"/>
        <w:gridCol w:w="709"/>
        <w:gridCol w:w="864"/>
      </w:tblGrid>
      <w:tr w:rsidR="00263580" w:rsidRPr="00BA00B7" w14:paraId="44B8C4DD" w14:textId="77777777" w:rsidTr="00263580">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72C49CC" w14:textId="77777777" w:rsidR="00263580" w:rsidRPr="00BA00B7" w:rsidRDefault="00263580" w:rsidP="00D923D6">
            <w:pPr>
              <w:pStyle w:val="Tablecondensedheading"/>
              <w:rPr>
                <w:lang w:val="en-AU"/>
              </w:rPr>
            </w:pPr>
            <w:r w:rsidRPr="00BA00B7">
              <w:rPr>
                <w:lang w:val="en-AU"/>
              </w:rPr>
              <w:t>Marks</w:t>
            </w:r>
          </w:p>
        </w:tc>
        <w:tc>
          <w:tcPr>
            <w:tcW w:w="691" w:type="dxa"/>
          </w:tcPr>
          <w:p w14:paraId="6917DAC4" w14:textId="77777777" w:rsidR="00263580" w:rsidRPr="00BA00B7" w:rsidRDefault="00263580" w:rsidP="00D923D6">
            <w:pPr>
              <w:pStyle w:val="Tablecondensedheading"/>
              <w:rPr>
                <w:lang w:val="en-AU"/>
              </w:rPr>
            </w:pPr>
            <w:r w:rsidRPr="00BA00B7">
              <w:rPr>
                <w:lang w:val="en-AU"/>
              </w:rPr>
              <w:t>0</w:t>
            </w:r>
          </w:p>
        </w:tc>
        <w:tc>
          <w:tcPr>
            <w:tcW w:w="567" w:type="dxa"/>
          </w:tcPr>
          <w:p w14:paraId="5330923B" w14:textId="77777777" w:rsidR="00263580" w:rsidRPr="00BA00B7" w:rsidRDefault="00263580" w:rsidP="00D923D6">
            <w:pPr>
              <w:pStyle w:val="Tablecondensedheading"/>
              <w:rPr>
                <w:lang w:val="en-AU"/>
              </w:rPr>
            </w:pPr>
            <w:r w:rsidRPr="00BA00B7">
              <w:rPr>
                <w:lang w:val="en-AU"/>
              </w:rPr>
              <w:t>1</w:t>
            </w:r>
          </w:p>
        </w:tc>
        <w:tc>
          <w:tcPr>
            <w:tcW w:w="708" w:type="dxa"/>
          </w:tcPr>
          <w:p w14:paraId="0966B309" w14:textId="77777777" w:rsidR="00263580" w:rsidRPr="00BA00B7" w:rsidRDefault="00263580" w:rsidP="00D923D6">
            <w:pPr>
              <w:pStyle w:val="Tablecondensedheading"/>
              <w:rPr>
                <w:lang w:val="en-AU"/>
              </w:rPr>
            </w:pPr>
            <w:r>
              <w:rPr>
                <w:lang w:val="en-AU"/>
              </w:rPr>
              <w:t>2</w:t>
            </w:r>
          </w:p>
        </w:tc>
        <w:tc>
          <w:tcPr>
            <w:tcW w:w="567" w:type="dxa"/>
          </w:tcPr>
          <w:p w14:paraId="4859E438" w14:textId="5629409E" w:rsidR="00263580" w:rsidRPr="00BA00B7" w:rsidRDefault="00263580" w:rsidP="00D923D6">
            <w:pPr>
              <w:pStyle w:val="Tablecondensedheading"/>
              <w:rPr>
                <w:lang w:val="en-AU"/>
              </w:rPr>
            </w:pPr>
            <w:r>
              <w:rPr>
                <w:lang w:val="en-AU"/>
              </w:rPr>
              <w:t>3</w:t>
            </w:r>
          </w:p>
        </w:tc>
        <w:tc>
          <w:tcPr>
            <w:tcW w:w="709" w:type="dxa"/>
          </w:tcPr>
          <w:p w14:paraId="239B9F8E" w14:textId="07A0E0B8" w:rsidR="00263580" w:rsidRPr="00BA00B7" w:rsidRDefault="00263580" w:rsidP="00D923D6">
            <w:pPr>
              <w:pStyle w:val="Tablecondensedheading"/>
              <w:rPr>
                <w:lang w:val="en-AU"/>
              </w:rPr>
            </w:pPr>
            <w:r>
              <w:rPr>
                <w:lang w:val="en-AU"/>
              </w:rPr>
              <w:t>4</w:t>
            </w:r>
          </w:p>
        </w:tc>
        <w:tc>
          <w:tcPr>
            <w:tcW w:w="709" w:type="dxa"/>
          </w:tcPr>
          <w:p w14:paraId="452D48C7" w14:textId="41D994DD" w:rsidR="00263580" w:rsidRPr="00BA00B7" w:rsidRDefault="00263580" w:rsidP="00D923D6">
            <w:pPr>
              <w:pStyle w:val="Tablecondensedheading"/>
              <w:rPr>
                <w:lang w:val="en-AU"/>
              </w:rPr>
            </w:pPr>
            <w:r>
              <w:rPr>
                <w:lang w:val="en-AU"/>
              </w:rPr>
              <w:t>5</w:t>
            </w:r>
          </w:p>
        </w:tc>
        <w:tc>
          <w:tcPr>
            <w:tcW w:w="709" w:type="dxa"/>
          </w:tcPr>
          <w:p w14:paraId="53A7A590" w14:textId="1247E9D8" w:rsidR="00263580" w:rsidRDefault="00263580" w:rsidP="00D923D6">
            <w:pPr>
              <w:pStyle w:val="Tablecondensedheading"/>
              <w:rPr>
                <w:lang w:val="en-AU"/>
              </w:rPr>
            </w:pPr>
            <w:r>
              <w:rPr>
                <w:lang w:val="en-AU"/>
              </w:rPr>
              <w:t>6</w:t>
            </w:r>
          </w:p>
        </w:tc>
        <w:tc>
          <w:tcPr>
            <w:tcW w:w="709" w:type="dxa"/>
          </w:tcPr>
          <w:p w14:paraId="7AF48E58" w14:textId="6BE2CA6C" w:rsidR="00263580" w:rsidRDefault="00263580" w:rsidP="00D923D6">
            <w:pPr>
              <w:pStyle w:val="Tablecondensedheading"/>
              <w:rPr>
                <w:lang w:val="en-AU"/>
              </w:rPr>
            </w:pPr>
            <w:r>
              <w:rPr>
                <w:lang w:val="en-AU"/>
              </w:rPr>
              <w:t>7</w:t>
            </w:r>
          </w:p>
        </w:tc>
        <w:tc>
          <w:tcPr>
            <w:tcW w:w="709" w:type="dxa"/>
          </w:tcPr>
          <w:p w14:paraId="58225EB8" w14:textId="767C91F5" w:rsidR="00263580" w:rsidRDefault="00263580" w:rsidP="00D923D6">
            <w:pPr>
              <w:pStyle w:val="Tablecondensedheading"/>
              <w:rPr>
                <w:lang w:val="en-AU"/>
              </w:rPr>
            </w:pPr>
            <w:r>
              <w:rPr>
                <w:lang w:val="en-AU"/>
              </w:rPr>
              <w:t>8</w:t>
            </w:r>
          </w:p>
        </w:tc>
        <w:tc>
          <w:tcPr>
            <w:tcW w:w="709" w:type="dxa"/>
          </w:tcPr>
          <w:p w14:paraId="75D0D61C" w14:textId="23F8669B" w:rsidR="00263580" w:rsidRDefault="00263580" w:rsidP="00D923D6">
            <w:pPr>
              <w:pStyle w:val="Tablecondensedheading"/>
              <w:rPr>
                <w:lang w:val="en-AU"/>
              </w:rPr>
            </w:pPr>
            <w:r>
              <w:rPr>
                <w:lang w:val="en-AU"/>
              </w:rPr>
              <w:t>9</w:t>
            </w:r>
          </w:p>
        </w:tc>
        <w:tc>
          <w:tcPr>
            <w:tcW w:w="709" w:type="dxa"/>
          </w:tcPr>
          <w:p w14:paraId="3319AB59" w14:textId="03D00905" w:rsidR="00263580" w:rsidRPr="00BA00B7" w:rsidRDefault="00263580" w:rsidP="00D923D6">
            <w:pPr>
              <w:pStyle w:val="Tablecondensedheading"/>
              <w:rPr>
                <w:lang w:val="en-AU"/>
              </w:rPr>
            </w:pPr>
            <w:r>
              <w:rPr>
                <w:lang w:val="en-AU"/>
              </w:rPr>
              <w:t>10</w:t>
            </w:r>
          </w:p>
        </w:tc>
        <w:tc>
          <w:tcPr>
            <w:tcW w:w="864" w:type="dxa"/>
          </w:tcPr>
          <w:p w14:paraId="43EF0C54" w14:textId="0A3BCC4F" w:rsidR="00263580" w:rsidRPr="00BA00B7" w:rsidRDefault="00263580" w:rsidP="00D923D6">
            <w:pPr>
              <w:pStyle w:val="Tablecondensedheading"/>
              <w:rPr>
                <w:lang w:val="en-AU"/>
              </w:rPr>
            </w:pPr>
            <w:r w:rsidRPr="00BA00B7">
              <w:rPr>
                <w:lang w:val="en-AU"/>
              </w:rPr>
              <w:t>Average</w:t>
            </w:r>
          </w:p>
        </w:tc>
      </w:tr>
      <w:tr w:rsidR="00263580" w:rsidRPr="008D7B0E" w14:paraId="26612DE4" w14:textId="77777777" w:rsidTr="00263580">
        <w:trPr>
          <w:trHeight w:hRule="exact" w:val="397"/>
        </w:trPr>
        <w:tc>
          <w:tcPr>
            <w:tcW w:w="864" w:type="dxa"/>
          </w:tcPr>
          <w:p w14:paraId="7F651DA9" w14:textId="77777777" w:rsidR="00263580" w:rsidRPr="008D7B0E" w:rsidRDefault="00263580" w:rsidP="00D923D6">
            <w:pPr>
              <w:pStyle w:val="Tablecondensed"/>
            </w:pPr>
            <w:r w:rsidRPr="008D7B0E">
              <w:t>%</w:t>
            </w:r>
          </w:p>
        </w:tc>
        <w:tc>
          <w:tcPr>
            <w:tcW w:w="691" w:type="dxa"/>
            <w:vAlign w:val="bottom"/>
          </w:tcPr>
          <w:p w14:paraId="652FD241" w14:textId="3DD15501" w:rsidR="00263580" w:rsidRPr="008D7B0E" w:rsidRDefault="007D2B1A" w:rsidP="00D923D6">
            <w:pPr>
              <w:pStyle w:val="Tablecondensed"/>
            </w:pPr>
            <w:r>
              <w:t>2</w:t>
            </w:r>
          </w:p>
        </w:tc>
        <w:tc>
          <w:tcPr>
            <w:tcW w:w="567" w:type="dxa"/>
            <w:vAlign w:val="bottom"/>
          </w:tcPr>
          <w:p w14:paraId="76A1FD2C" w14:textId="1976DE22" w:rsidR="00263580" w:rsidRPr="008D7B0E" w:rsidRDefault="00263580" w:rsidP="00D923D6">
            <w:pPr>
              <w:pStyle w:val="Tablecondensed"/>
            </w:pPr>
            <w:r>
              <w:t>5</w:t>
            </w:r>
          </w:p>
        </w:tc>
        <w:tc>
          <w:tcPr>
            <w:tcW w:w="708" w:type="dxa"/>
            <w:vAlign w:val="bottom"/>
          </w:tcPr>
          <w:p w14:paraId="3F7A80F6" w14:textId="787552DF" w:rsidR="00263580" w:rsidRPr="008D7B0E" w:rsidRDefault="00263580" w:rsidP="00D923D6">
            <w:pPr>
              <w:pStyle w:val="Tablecondensed"/>
            </w:pPr>
            <w:r>
              <w:t>11</w:t>
            </w:r>
          </w:p>
        </w:tc>
        <w:tc>
          <w:tcPr>
            <w:tcW w:w="567" w:type="dxa"/>
          </w:tcPr>
          <w:p w14:paraId="62E70FB9" w14:textId="238BD1F5" w:rsidR="00263580" w:rsidRPr="008D7B0E" w:rsidRDefault="00263580" w:rsidP="00D923D6">
            <w:pPr>
              <w:pStyle w:val="Tablecondensed"/>
            </w:pPr>
            <w:r>
              <w:t>8</w:t>
            </w:r>
          </w:p>
        </w:tc>
        <w:tc>
          <w:tcPr>
            <w:tcW w:w="709" w:type="dxa"/>
          </w:tcPr>
          <w:p w14:paraId="7FCB747C" w14:textId="6521C17D" w:rsidR="00263580" w:rsidRPr="008D7B0E" w:rsidRDefault="00263580" w:rsidP="00D923D6">
            <w:pPr>
              <w:pStyle w:val="Tablecondensed"/>
            </w:pPr>
            <w:r>
              <w:t>10</w:t>
            </w:r>
          </w:p>
        </w:tc>
        <w:tc>
          <w:tcPr>
            <w:tcW w:w="709" w:type="dxa"/>
          </w:tcPr>
          <w:p w14:paraId="45573375" w14:textId="7A90B18D" w:rsidR="00263580" w:rsidRPr="008D7B0E" w:rsidRDefault="00263580" w:rsidP="00D923D6">
            <w:pPr>
              <w:pStyle w:val="Tablecondensed"/>
            </w:pPr>
            <w:r>
              <w:t>20</w:t>
            </w:r>
          </w:p>
        </w:tc>
        <w:tc>
          <w:tcPr>
            <w:tcW w:w="709" w:type="dxa"/>
          </w:tcPr>
          <w:p w14:paraId="234E5657" w14:textId="26438B3E" w:rsidR="00263580" w:rsidRPr="008D7B0E" w:rsidRDefault="00263580" w:rsidP="00D923D6">
            <w:pPr>
              <w:pStyle w:val="Tablecondensed"/>
            </w:pPr>
            <w:r>
              <w:t>20</w:t>
            </w:r>
          </w:p>
        </w:tc>
        <w:tc>
          <w:tcPr>
            <w:tcW w:w="709" w:type="dxa"/>
          </w:tcPr>
          <w:p w14:paraId="5DEF8A8F" w14:textId="5425D202" w:rsidR="00263580" w:rsidRPr="008D7B0E" w:rsidRDefault="00263580" w:rsidP="00D923D6">
            <w:pPr>
              <w:pStyle w:val="Tablecondensed"/>
            </w:pPr>
            <w:r>
              <w:t>13</w:t>
            </w:r>
          </w:p>
        </w:tc>
        <w:tc>
          <w:tcPr>
            <w:tcW w:w="709" w:type="dxa"/>
          </w:tcPr>
          <w:p w14:paraId="2CC47ACF" w14:textId="49F6688C" w:rsidR="00263580" w:rsidRPr="008D7B0E" w:rsidRDefault="00263580" w:rsidP="00D923D6">
            <w:pPr>
              <w:pStyle w:val="Tablecondensed"/>
            </w:pPr>
            <w:r>
              <w:t>6</w:t>
            </w:r>
          </w:p>
        </w:tc>
        <w:tc>
          <w:tcPr>
            <w:tcW w:w="709" w:type="dxa"/>
          </w:tcPr>
          <w:p w14:paraId="57CA9877" w14:textId="0D15AA30" w:rsidR="00263580" w:rsidRPr="008D7B0E" w:rsidRDefault="00263580" w:rsidP="00D923D6">
            <w:pPr>
              <w:pStyle w:val="Tablecondensed"/>
            </w:pPr>
            <w:r>
              <w:t>4</w:t>
            </w:r>
          </w:p>
        </w:tc>
        <w:tc>
          <w:tcPr>
            <w:tcW w:w="709" w:type="dxa"/>
          </w:tcPr>
          <w:p w14:paraId="7A34C9A9" w14:textId="132EB96C" w:rsidR="00263580" w:rsidRPr="008D7B0E" w:rsidRDefault="00263580" w:rsidP="00D923D6">
            <w:pPr>
              <w:pStyle w:val="Tablecondensed"/>
            </w:pPr>
            <w:r>
              <w:t>3</w:t>
            </w:r>
          </w:p>
        </w:tc>
        <w:tc>
          <w:tcPr>
            <w:tcW w:w="864" w:type="dxa"/>
          </w:tcPr>
          <w:p w14:paraId="59B2407F" w14:textId="1D4959D4" w:rsidR="00263580" w:rsidRPr="008D7B0E" w:rsidRDefault="00263580" w:rsidP="00D923D6">
            <w:pPr>
              <w:pStyle w:val="Tablecondensed"/>
            </w:pPr>
            <w:r>
              <w:t>4.9</w:t>
            </w:r>
          </w:p>
        </w:tc>
      </w:tr>
    </w:tbl>
    <w:p w14:paraId="2533D3FD" w14:textId="6C49B289" w:rsidR="00E80B40" w:rsidRDefault="00E80B40" w:rsidP="00FF3C7C">
      <w:pPr>
        <w:pStyle w:val="BodyText"/>
      </w:pPr>
      <w:r>
        <w:t>Question 1b. required students to evaluate the extent to which Aboriginal land management and custodianship changed the natural environment of Australia prior to European colonisation, using Source 2 and other evidence to support their answer.</w:t>
      </w:r>
      <w:r w:rsidR="006D6D07">
        <w:t xml:space="preserve"> </w:t>
      </w:r>
      <w:r>
        <w:t xml:space="preserve">Most students used the source to explain that the Dreaming is central to Aboriginal religion and that </w:t>
      </w:r>
      <w:r w:rsidR="00F27549">
        <w:t>it</w:t>
      </w:r>
      <w:r>
        <w:t xml:space="preserve"> has two rules</w:t>
      </w:r>
      <w:r w:rsidR="00F27549">
        <w:t>:</w:t>
      </w:r>
      <w:r>
        <w:t xml:space="preserve"> </w:t>
      </w:r>
      <w:r w:rsidR="000B5B15">
        <w:t>‘</w:t>
      </w:r>
      <w:r>
        <w:t>obey the Law and leave the world as you found it...</w:t>
      </w:r>
      <w:r w:rsidR="000B5B15">
        <w:t>’</w:t>
      </w:r>
      <w:r>
        <w:t>.</w:t>
      </w:r>
      <w:r w:rsidR="006D6D07">
        <w:t xml:space="preserve"> </w:t>
      </w:r>
      <w:r>
        <w:t>This is because creator ancestors made the land</w:t>
      </w:r>
      <w:r w:rsidR="00F27549">
        <w:t>;</w:t>
      </w:r>
      <w:r>
        <w:t xml:space="preserve"> people see evidence of the Dreaming in the land, sea and sky</w:t>
      </w:r>
      <w:r w:rsidR="00F27549">
        <w:t>;</w:t>
      </w:r>
      <w:r>
        <w:t xml:space="preserve"> and </w:t>
      </w:r>
      <w:r w:rsidR="000B5B15">
        <w:t>‘</w:t>
      </w:r>
      <w:r>
        <w:t xml:space="preserve">every hill, plain, rock and tree </w:t>
      </w:r>
      <w:proofErr w:type="gramStart"/>
      <w:r>
        <w:t>is</w:t>
      </w:r>
      <w:proofErr w:type="gramEnd"/>
      <w:r>
        <w:t xml:space="preserve"> alive with story and imagery and filled with </w:t>
      </w:r>
      <w:proofErr w:type="gramStart"/>
      <w:r>
        <w:t>presences</w:t>
      </w:r>
      <w:r w:rsidR="00F27549">
        <w:t>’</w:t>
      </w:r>
      <w:proofErr w:type="gramEnd"/>
      <w:r>
        <w:t>.</w:t>
      </w:r>
      <w:r w:rsidR="006D6D07">
        <w:t xml:space="preserve"> </w:t>
      </w:r>
      <w:r w:rsidR="00CB35E9">
        <w:t xml:space="preserve">Furthermore, </w:t>
      </w:r>
      <w:r>
        <w:t xml:space="preserve">the source </w:t>
      </w:r>
      <w:r w:rsidR="00CB35E9">
        <w:t xml:space="preserve">argues that </w:t>
      </w:r>
      <w:r w:rsidR="000B5B15">
        <w:t>‘</w:t>
      </w:r>
      <w:r w:rsidR="00CB35E9">
        <w:t>within the perception of living generations generally they succeeded</w:t>
      </w:r>
      <w:r w:rsidR="000B5B15">
        <w:t>’</w:t>
      </w:r>
      <w:r w:rsidR="00CB35E9">
        <w:t xml:space="preserve"> in conserving the natural environment in accordance with their religion.</w:t>
      </w:r>
      <w:r w:rsidR="006D6D07">
        <w:t xml:space="preserve"> </w:t>
      </w:r>
      <w:r>
        <w:t>Higher</w:t>
      </w:r>
      <w:r w:rsidR="00F27549">
        <w:t>-</w:t>
      </w:r>
      <w:r>
        <w:t xml:space="preserve">scoring responses, however, argued that Aboriginal peoples also </w:t>
      </w:r>
      <w:r w:rsidR="00F27549">
        <w:t xml:space="preserve">employed </w:t>
      </w:r>
      <w:r>
        <w:t>strategies such as using fire,</w:t>
      </w:r>
      <w:r w:rsidR="006D6D07">
        <w:t xml:space="preserve"> </w:t>
      </w:r>
      <w:r>
        <w:t xml:space="preserve">hydraulic engineering and stone quarrying to manage and shape the natural environment, and </w:t>
      </w:r>
      <w:r w:rsidR="00CB35E9">
        <w:t>th</w:t>
      </w:r>
      <w:r w:rsidR="00F27549">
        <w:t>erefore</w:t>
      </w:r>
      <w:r>
        <w:t xml:space="preserve"> </w:t>
      </w:r>
      <w:r w:rsidR="00F27549">
        <w:t xml:space="preserve">they </w:t>
      </w:r>
      <w:r>
        <w:t>did make changes to the environment over longer periods of time in sustainable ways.</w:t>
      </w:r>
      <w:r w:rsidR="006D6D07">
        <w:t xml:space="preserve"> </w:t>
      </w:r>
      <w:r w:rsidR="00A37B0D">
        <w:t>Thus, many students argued that</w:t>
      </w:r>
      <w:r>
        <w:t xml:space="preserve"> land was </w:t>
      </w:r>
      <w:r w:rsidR="00A37B0D">
        <w:t xml:space="preserve">sustainably </w:t>
      </w:r>
      <w:r>
        <w:t>conserved for future use by being changed, rather than necessarily being preserved in its original state.</w:t>
      </w:r>
      <w:r w:rsidR="006D6D07">
        <w:t xml:space="preserve"> </w:t>
      </w:r>
      <w:r w:rsidR="001D2D28">
        <w:t>The highest</w:t>
      </w:r>
      <w:r w:rsidR="00F27549">
        <w:t>-</w:t>
      </w:r>
      <w:r w:rsidR="001D2D28">
        <w:t>scoring responses used additional evidence together with their own knowledge and quotes from the source to construct their answer.</w:t>
      </w:r>
      <w:r w:rsidR="006D6D07">
        <w:t xml:space="preserve"> </w:t>
      </w:r>
    </w:p>
    <w:p w14:paraId="3986A722" w14:textId="77777777" w:rsidR="00E80B40" w:rsidRDefault="00E80B40" w:rsidP="00FF3C7C">
      <w:pPr>
        <w:pStyle w:val="BodyText"/>
      </w:pPr>
      <w:r>
        <w:t>The following is an example of a high-scoring response:</w:t>
      </w:r>
    </w:p>
    <w:p w14:paraId="69A6B84A" w14:textId="42D7128F" w:rsidR="00950D2B" w:rsidRPr="00CA5021" w:rsidRDefault="00950D2B" w:rsidP="00CA5021">
      <w:pPr>
        <w:pStyle w:val="Studentsamples"/>
      </w:pPr>
      <w:r w:rsidRPr="00CA5021">
        <w:t>Aboriginal land management and custodianship changed the natural environment before 1788 to a significant extent through sustainable land practices such as hydraulic engineering and stone quarrying.</w:t>
      </w:r>
      <w:r w:rsidR="006D6D07" w:rsidRPr="00CA5021">
        <w:t xml:space="preserve"> </w:t>
      </w:r>
    </w:p>
    <w:p w14:paraId="5E725B4C" w14:textId="05CD6515" w:rsidR="00950D2B" w:rsidRPr="00CA5021" w:rsidRDefault="00950D2B" w:rsidP="00CA5021">
      <w:pPr>
        <w:pStyle w:val="Studentsamples"/>
      </w:pPr>
      <w:r w:rsidRPr="00CA5021">
        <w:t xml:space="preserve">Hydraulic engineering was performed by the Gunditjmara peoples of </w:t>
      </w:r>
      <w:proofErr w:type="spellStart"/>
      <w:r w:rsidRPr="00CA5021">
        <w:t>Budj</w:t>
      </w:r>
      <w:proofErr w:type="spellEnd"/>
      <w:r w:rsidRPr="00CA5021">
        <w:t xml:space="preserve"> Bim, where they sustainably farmed eels, ensuring they did not excessively harvest them to near extinction.</w:t>
      </w:r>
      <w:r w:rsidR="006D6D07" w:rsidRPr="00CA5021">
        <w:t xml:space="preserve"> </w:t>
      </w:r>
      <w:r w:rsidRPr="00CA5021">
        <w:t xml:space="preserve">This was because of a sacred connection to the land, described in Red Gum’s 1982 song, </w:t>
      </w:r>
      <w:r w:rsidR="000B5B15" w:rsidRPr="00CA5021">
        <w:t>‘</w:t>
      </w:r>
      <w:r w:rsidRPr="00CA5021">
        <w:t>Solid Rock</w:t>
      </w:r>
      <w:r w:rsidR="000B5B15" w:rsidRPr="00CA5021">
        <w:t>’</w:t>
      </w:r>
      <w:r w:rsidRPr="00CA5021">
        <w:t>.</w:t>
      </w:r>
      <w:r w:rsidR="006D6D07" w:rsidRPr="00CA5021">
        <w:t xml:space="preserve"> </w:t>
      </w:r>
      <w:r w:rsidRPr="00CA5021">
        <w:t xml:space="preserve">Custodianship </w:t>
      </w:r>
      <w:r w:rsidR="00455CC3" w:rsidRPr="00CA5021">
        <w:t xml:space="preserve">and the Dreaming (source 2) constructed this connection that was </w:t>
      </w:r>
      <w:r w:rsidR="000B5B15" w:rsidRPr="00CA5021">
        <w:t>‘</w:t>
      </w:r>
      <w:r w:rsidR="00455CC3" w:rsidRPr="00CA5021">
        <w:t>inherited [through] generations</w:t>
      </w:r>
      <w:r w:rsidR="000B5B15" w:rsidRPr="00CA5021">
        <w:t>’</w:t>
      </w:r>
      <w:r w:rsidR="00455CC3" w:rsidRPr="00CA5021">
        <w:t xml:space="preserve"> (source 2).</w:t>
      </w:r>
      <w:r w:rsidR="006D6D07" w:rsidRPr="00CA5021">
        <w:t xml:space="preserve"> </w:t>
      </w:r>
      <w:r w:rsidR="00455CC3" w:rsidRPr="00CA5021">
        <w:t xml:space="preserve">Ken Saunders, a Gunditjmara elder reinforced this idea, saying </w:t>
      </w:r>
      <w:r w:rsidR="000B5B15" w:rsidRPr="00CA5021">
        <w:t>‘</w:t>
      </w:r>
      <w:r w:rsidR="00455CC3" w:rsidRPr="00CA5021">
        <w:t>when the lake is good, we are good</w:t>
      </w:r>
      <w:r w:rsidR="000B5B15" w:rsidRPr="00CA5021">
        <w:t>’</w:t>
      </w:r>
      <w:r w:rsidR="00455CC3" w:rsidRPr="00CA5021">
        <w:t>.</w:t>
      </w:r>
    </w:p>
    <w:p w14:paraId="5CF303B8" w14:textId="760D95DB" w:rsidR="00455CC3" w:rsidRPr="00CA5021" w:rsidRDefault="00455CC3" w:rsidP="00CA5021">
      <w:pPr>
        <w:pStyle w:val="Studentsamples"/>
      </w:pPr>
      <w:r w:rsidRPr="00CA5021">
        <w:t xml:space="preserve">This was further demonstrated through Indigenous stone quarrying, where, like most Aboriginal tribes, felt </w:t>
      </w:r>
      <w:r w:rsidR="000B5B15" w:rsidRPr="00CA5021">
        <w:t>‘</w:t>
      </w:r>
      <w:r w:rsidRPr="00CA5021">
        <w:t>creator ancestors made all the land</w:t>
      </w:r>
      <w:r w:rsidR="000B5B15" w:rsidRPr="00CA5021">
        <w:t>’</w:t>
      </w:r>
      <w:r w:rsidRPr="00CA5021">
        <w:t xml:space="preserve"> (source 2).</w:t>
      </w:r>
      <w:r w:rsidR="006D6D07" w:rsidRPr="00CA5021">
        <w:t xml:space="preserve"> </w:t>
      </w:r>
      <w:r w:rsidRPr="00CA5021">
        <w:t xml:space="preserve">In the case of Mount William in Wurundjeri country, this creator totem was </w:t>
      </w:r>
      <w:proofErr w:type="spellStart"/>
      <w:r w:rsidRPr="00CA5021">
        <w:t>Bunjil</w:t>
      </w:r>
      <w:proofErr w:type="spellEnd"/>
      <w:r w:rsidRPr="00CA5021">
        <w:t>.</w:t>
      </w:r>
      <w:r w:rsidR="006D6D07" w:rsidRPr="00CA5021">
        <w:t xml:space="preserve"> </w:t>
      </w:r>
      <w:r w:rsidRPr="00CA5021">
        <w:t xml:space="preserve">In relation to Gammage’s interpretation that Indigenous </w:t>
      </w:r>
      <w:r w:rsidR="00280EAD" w:rsidRPr="00CA5021">
        <w:t xml:space="preserve">custodianship meant </w:t>
      </w:r>
      <w:r w:rsidR="000B5B15" w:rsidRPr="00CA5021">
        <w:t>‘</w:t>
      </w:r>
      <w:r w:rsidR="00280EAD" w:rsidRPr="00CA5021">
        <w:t>leaving the world as they found it</w:t>
      </w:r>
      <w:r w:rsidR="000B5B15" w:rsidRPr="00CA5021">
        <w:t>’</w:t>
      </w:r>
      <w:r w:rsidR="00280EAD" w:rsidRPr="00CA5021">
        <w:t xml:space="preserve">, the carefully performed quarrying is highlighted when William Barak commented on his family member, </w:t>
      </w:r>
      <w:proofErr w:type="spellStart"/>
      <w:r w:rsidR="00280EAD" w:rsidRPr="00CA5021">
        <w:t>Billibellari</w:t>
      </w:r>
      <w:proofErr w:type="spellEnd"/>
      <w:r w:rsidR="00280EAD" w:rsidRPr="00CA5021">
        <w:t>, meeting with the Wathaurong tribe to investigate about stolen minerals and rocks from Mount William.</w:t>
      </w:r>
      <w:r w:rsidR="006D6D07" w:rsidRPr="00CA5021">
        <w:t xml:space="preserve"> </w:t>
      </w:r>
      <w:r w:rsidR="00280EAD" w:rsidRPr="00CA5021">
        <w:t>Barak underscores this idea of custodianship saying that his people are not for exploiting the land, but rather, ensure its longevity.</w:t>
      </w:r>
      <w:r w:rsidR="006D6D07" w:rsidRPr="00CA5021">
        <w:t xml:space="preserve"> </w:t>
      </w:r>
    </w:p>
    <w:p w14:paraId="2234045B" w14:textId="79BF35B1" w:rsidR="00280EAD" w:rsidRPr="00CA5021" w:rsidRDefault="00280EAD" w:rsidP="00CA5021">
      <w:pPr>
        <w:pStyle w:val="Studentsamples"/>
      </w:pPr>
      <w:r w:rsidRPr="00CA5021">
        <w:t xml:space="preserve">Ultimately, land practices by Indigenous people at </w:t>
      </w:r>
      <w:proofErr w:type="spellStart"/>
      <w:r w:rsidRPr="00CA5021">
        <w:t>Budj</w:t>
      </w:r>
      <w:proofErr w:type="spellEnd"/>
      <w:r w:rsidRPr="00CA5021">
        <w:t xml:space="preserve"> Bim and Mount William suggest that change was made to a significant extent to the environment, however, doing so sustainably and </w:t>
      </w:r>
      <w:r w:rsidR="000B5B15" w:rsidRPr="00CA5021">
        <w:t>‘</w:t>
      </w:r>
      <w:r w:rsidRPr="00CA5021">
        <w:t>[obeying] the law</w:t>
      </w:r>
      <w:r w:rsidR="000B5B15" w:rsidRPr="00CA5021">
        <w:t>’</w:t>
      </w:r>
      <w:r w:rsidRPr="00CA5021">
        <w:t xml:space="preserve"> (s2) was of utmost importance.</w:t>
      </w:r>
      <w:r w:rsidR="006D6D07" w:rsidRPr="00CA5021">
        <w:t xml:space="preserve"> </w:t>
      </w:r>
    </w:p>
    <w:p w14:paraId="78AD28E6" w14:textId="77777777" w:rsidR="00E22285" w:rsidRDefault="00E22285" w:rsidP="006D6D07">
      <w:pPr>
        <w:pStyle w:val="Heading3"/>
      </w:pPr>
      <w:r w:rsidRPr="00BA00B7">
        <w:t>Question 1c.</w:t>
      </w:r>
    </w:p>
    <w:tbl>
      <w:tblPr>
        <w:tblStyle w:val="VCAATableClosed"/>
        <w:tblW w:w="0" w:type="auto"/>
        <w:tblLook w:val="01E0" w:firstRow="1" w:lastRow="1" w:firstColumn="1" w:lastColumn="1" w:noHBand="0" w:noVBand="0"/>
      </w:tblPr>
      <w:tblGrid>
        <w:gridCol w:w="864"/>
        <w:gridCol w:w="691"/>
        <w:gridCol w:w="567"/>
        <w:gridCol w:w="708"/>
        <w:gridCol w:w="567"/>
        <w:gridCol w:w="864"/>
      </w:tblGrid>
      <w:tr w:rsidR="00263580" w:rsidRPr="00BA00B7" w14:paraId="05E7D0DA"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D0A2430" w14:textId="77777777" w:rsidR="00263580" w:rsidRPr="00BA00B7" w:rsidRDefault="00263580" w:rsidP="00D923D6">
            <w:pPr>
              <w:pStyle w:val="Tablecondensedheading"/>
              <w:rPr>
                <w:lang w:val="en-AU"/>
              </w:rPr>
            </w:pPr>
            <w:r w:rsidRPr="00BA00B7">
              <w:rPr>
                <w:lang w:val="en-AU"/>
              </w:rPr>
              <w:t>Marks</w:t>
            </w:r>
          </w:p>
        </w:tc>
        <w:tc>
          <w:tcPr>
            <w:tcW w:w="691" w:type="dxa"/>
          </w:tcPr>
          <w:p w14:paraId="791B1B3A" w14:textId="77777777" w:rsidR="00263580" w:rsidRPr="00BA00B7" w:rsidRDefault="00263580" w:rsidP="00D923D6">
            <w:pPr>
              <w:pStyle w:val="Tablecondensedheading"/>
              <w:rPr>
                <w:lang w:val="en-AU"/>
              </w:rPr>
            </w:pPr>
            <w:r w:rsidRPr="00BA00B7">
              <w:rPr>
                <w:lang w:val="en-AU"/>
              </w:rPr>
              <w:t>0</w:t>
            </w:r>
          </w:p>
        </w:tc>
        <w:tc>
          <w:tcPr>
            <w:tcW w:w="567" w:type="dxa"/>
          </w:tcPr>
          <w:p w14:paraId="1FF07F73" w14:textId="77777777" w:rsidR="00263580" w:rsidRPr="00BA00B7" w:rsidRDefault="00263580" w:rsidP="00D923D6">
            <w:pPr>
              <w:pStyle w:val="Tablecondensedheading"/>
              <w:rPr>
                <w:lang w:val="en-AU"/>
              </w:rPr>
            </w:pPr>
            <w:r w:rsidRPr="00BA00B7">
              <w:rPr>
                <w:lang w:val="en-AU"/>
              </w:rPr>
              <w:t>1</w:t>
            </w:r>
          </w:p>
        </w:tc>
        <w:tc>
          <w:tcPr>
            <w:tcW w:w="708" w:type="dxa"/>
          </w:tcPr>
          <w:p w14:paraId="68563086" w14:textId="77777777" w:rsidR="00263580" w:rsidRPr="00BA00B7" w:rsidRDefault="00263580" w:rsidP="00D923D6">
            <w:pPr>
              <w:pStyle w:val="Tablecondensedheading"/>
              <w:rPr>
                <w:lang w:val="en-AU"/>
              </w:rPr>
            </w:pPr>
            <w:r>
              <w:rPr>
                <w:lang w:val="en-AU"/>
              </w:rPr>
              <w:t>2</w:t>
            </w:r>
          </w:p>
        </w:tc>
        <w:tc>
          <w:tcPr>
            <w:tcW w:w="567" w:type="dxa"/>
          </w:tcPr>
          <w:p w14:paraId="4D906509" w14:textId="77777777" w:rsidR="00263580" w:rsidRPr="00BA00B7" w:rsidRDefault="00263580" w:rsidP="00D923D6">
            <w:pPr>
              <w:pStyle w:val="Tablecondensedheading"/>
              <w:rPr>
                <w:lang w:val="en-AU"/>
              </w:rPr>
            </w:pPr>
            <w:r>
              <w:rPr>
                <w:lang w:val="en-AU"/>
              </w:rPr>
              <w:t>3</w:t>
            </w:r>
          </w:p>
        </w:tc>
        <w:tc>
          <w:tcPr>
            <w:tcW w:w="864" w:type="dxa"/>
          </w:tcPr>
          <w:p w14:paraId="4465868E" w14:textId="77777777" w:rsidR="00263580" w:rsidRPr="00BA00B7" w:rsidRDefault="00263580" w:rsidP="00D923D6">
            <w:pPr>
              <w:pStyle w:val="Tablecondensedheading"/>
              <w:rPr>
                <w:lang w:val="en-AU"/>
              </w:rPr>
            </w:pPr>
            <w:r w:rsidRPr="00BA00B7">
              <w:rPr>
                <w:lang w:val="en-AU"/>
              </w:rPr>
              <w:t>Average</w:t>
            </w:r>
          </w:p>
        </w:tc>
      </w:tr>
      <w:tr w:rsidR="00263580" w:rsidRPr="008D7B0E" w14:paraId="4F493048" w14:textId="77777777" w:rsidTr="007A45BC">
        <w:trPr>
          <w:trHeight w:hRule="exact" w:val="397"/>
        </w:trPr>
        <w:tc>
          <w:tcPr>
            <w:tcW w:w="864" w:type="dxa"/>
          </w:tcPr>
          <w:p w14:paraId="2943F7D0" w14:textId="77777777" w:rsidR="00263580" w:rsidRPr="008D7B0E" w:rsidRDefault="00263580" w:rsidP="00D923D6">
            <w:pPr>
              <w:pStyle w:val="Tablecondensed"/>
            </w:pPr>
            <w:r w:rsidRPr="008D7B0E">
              <w:t>%</w:t>
            </w:r>
          </w:p>
        </w:tc>
        <w:tc>
          <w:tcPr>
            <w:tcW w:w="691" w:type="dxa"/>
            <w:vAlign w:val="bottom"/>
          </w:tcPr>
          <w:p w14:paraId="2F86BE61" w14:textId="5AFAE2CB" w:rsidR="00263580" w:rsidRPr="008D7B0E" w:rsidRDefault="00263580" w:rsidP="00D923D6">
            <w:pPr>
              <w:pStyle w:val="Tablecondensed"/>
            </w:pPr>
            <w:r>
              <w:t>3</w:t>
            </w:r>
          </w:p>
        </w:tc>
        <w:tc>
          <w:tcPr>
            <w:tcW w:w="567" w:type="dxa"/>
            <w:vAlign w:val="bottom"/>
          </w:tcPr>
          <w:p w14:paraId="5F426494" w14:textId="65DB7DB4" w:rsidR="00263580" w:rsidRPr="008D7B0E" w:rsidRDefault="00263580" w:rsidP="00D923D6">
            <w:pPr>
              <w:pStyle w:val="Tablecondensed"/>
            </w:pPr>
            <w:r>
              <w:t>4</w:t>
            </w:r>
          </w:p>
        </w:tc>
        <w:tc>
          <w:tcPr>
            <w:tcW w:w="708" w:type="dxa"/>
            <w:vAlign w:val="bottom"/>
          </w:tcPr>
          <w:p w14:paraId="11197DB3" w14:textId="2E209FB2" w:rsidR="00263580" w:rsidRPr="008D7B0E" w:rsidRDefault="00263580" w:rsidP="00D923D6">
            <w:pPr>
              <w:pStyle w:val="Tablecondensed"/>
            </w:pPr>
            <w:r>
              <w:t>36</w:t>
            </w:r>
          </w:p>
        </w:tc>
        <w:tc>
          <w:tcPr>
            <w:tcW w:w="567" w:type="dxa"/>
          </w:tcPr>
          <w:p w14:paraId="19F80024" w14:textId="4234E47F" w:rsidR="00263580" w:rsidRPr="008D7B0E" w:rsidRDefault="00263580" w:rsidP="00D923D6">
            <w:pPr>
              <w:pStyle w:val="Tablecondensed"/>
            </w:pPr>
            <w:r>
              <w:t>57</w:t>
            </w:r>
          </w:p>
        </w:tc>
        <w:tc>
          <w:tcPr>
            <w:tcW w:w="864" w:type="dxa"/>
          </w:tcPr>
          <w:p w14:paraId="787583AB" w14:textId="170BD9CE" w:rsidR="00263580" w:rsidRPr="008D7B0E" w:rsidRDefault="00263580" w:rsidP="00D923D6">
            <w:pPr>
              <w:pStyle w:val="Tablecondensed"/>
            </w:pPr>
            <w:r>
              <w:t>2.5</w:t>
            </w:r>
          </w:p>
        </w:tc>
      </w:tr>
    </w:tbl>
    <w:p w14:paraId="00DFD254" w14:textId="33AB7C52" w:rsidR="001D2D28" w:rsidRPr="006D6D07" w:rsidRDefault="00CB35E9" w:rsidP="006D6D07">
      <w:pPr>
        <w:pStyle w:val="BodyText"/>
      </w:pPr>
      <w:r w:rsidRPr="006D6D07">
        <w:t>Question 1</w:t>
      </w:r>
      <w:r w:rsidR="001D2D28" w:rsidRPr="006D6D07">
        <w:t>c</w:t>
      </w:r>
      <w:r w:rsidRPr="006D6D07">
        <w:t xml:space="preserve">. required students to </w:t>
      </w:r>
      <w:r w:rsidR="001D2D28" w:rsidRPr="006D6D07">
        <w:t xml:space="preserve">outline three reasons </w:t>
      </w:r>
      <w:r w:rsidR="00A56989">
        <w:t xml:space="preserve">that were </w:t>
      </w:r>
      <w:r w:rsidR="00F27549">
        <w:t>provided</w:t>
      </w:r>
      <w:r w:rsidR="00F27549" w:rsidRPr="006D6D07">
        <w:t xml:space="preserve"> in Source 3</w:t>
      </w:r>
      <w:r w:rsidR="00F27549">
        <w:t xml:space="preserve"> </w:t>
      </w:r>
      <w:r w:rsidR="001D2D28" w:rsidRPr="006D6D07">
        <w:t>supporting the idea that humans have caused the Earth to enter a new geological age.</w:t>
      </w:r>
    </w:p>
    <w:p w14:paraId="324D35E0" w14:textId="37537F9E" w:rsidR="001D2D28" w:rsidRPr="006D6D07" w:rsidRDefault="001D2D28" w:rsidP="006D6D07">
      <w:pPr>
        <w:pStyle w:val="BodyText"/>
      </w:pPr>
      <w:r w:rsidRPr="006D6D07">
        <w:lastRenderedPageBreak/>
        <w:t xml:space="preserve">Fully formed sentences were required to provide the main features of the argument in the source, </w:t>
      </w:r>
      <w:r w:rsidR="00A84CA2" w:rsidRPr="006D6D07">
        <w:t xml:space="preserve">and </w:t>
      </w:r>
      <w:r w:rsidR="00B04B6C">
        <w:t>possible answers include</w:t>
      </w:r>
      <w:r w:rsidR="0077733A">
        <w:t>d</w:t>
      </w:r>
      <w:r w:rsidR="00B04B6C">
        <w:t>:</w:t>
      </w:r>
    </w:p>
    <w:p w14:paraId="0516F9C8" w14:textId="22B6DFC8" w:rsidR="00A84CA2" w:rsidRPr="004A6FEF" w:rsidRDefault="00A84CA2" w:rsidP="0063768C">
      <w:pPr>
        <w:pStyle w:val="Bullet"/>
      </w:pPr>
      <w:r w:rsidRPr="004A6FEF">
        <w:t>The ozone hole over Antarctica has an undeniably anthropogenic cause (environmental change caused by humans)</w:t>
      </w:r>
      <w:r w:rsidR="006F2C24">
        <w:t>.</w:t>
      </w:r>
    </w:p>
    <w:p w14:paraId="5D792062" w14:textId="54CD1747" w:rsidR="00A84CA2" w:rsidRPr="004A6FEF" w:rsidRDefault="00A84CA2" w:rsidP="0063768C">
      <w:pPr>
        <w:pStyle w:val="Bullet"/>
      </w:pPr>
      <w:r w:rsidRPr="004A6FEF">
        <w:t>The emission of a colourless, odourless gas such as CO</w:t>
      </w:r>
      <w:r w:rsidRPr="00A208FC">
        <w:rPr>
          <w:vertAlign w:val="subscript"/>
        </w:rPr>
        <w:t>2</w:t>
      </w:r>
      <w:r w:rsidRPr="004A6FEF">
        <w:t xml:space="preserve"> can affect the energy balance of the Earth’s surface </w:t>
      </w:r>
      <w:r w:rsidR="006F2C24">
        <w:t>–</w:t>
      </w:r>
      <w:r w:rsidR="00A37B0D">
        <w:t xml:space="preserve"> </w:t>
      </w:r>
      <w:r w:rsidRPr="004A6FEF">
        <w:t>this has reinforced the concern that human activity can adversely affect ecosystems that support human (and other) life</w:t>
      </w:r>
      <w:r w:rsidR="006F2C24">
        <w:t>.</w:t>
      </w:r>
    </w:p>
    <w:p w14:paraId="0ADC2852" w14:textId="15D360D2" w:rsidR="00A84CA2" w:rsidRPr="004A6FEF" w:rsidRDefault="00A84CA2" w:rsidP="0063768C">
      <w:pPr>
        <w:pStyle w:val="Bullet"/>
      </w:pPr>
      <w:r w:rsidRPr="004A6FEF">
        <w:t xml:space="preserve">Humans are driving the </w:t>
      </w:r>
      <w:r w:rsidR="006F2C24">
        <w:t>sixth</w:t>
      </w:r>
      <w:r w:rsidRPr="004A6FEF">
        <w:t xml:space="preserve"> major extinction event in history</w:t>
      </w:r>
      <w:r w:rsidR="006F2C24">
        <w:t>.</w:t>
      </w:r>
    </w:p>
    <w:p w14:paraId="3B0387AA" w14:textId="5CB3BC05" w:rsidR="00A84CA2" w:rsidRPr="004A6FEF" w:rsidRDefault="00A84CA2" w:rsidP="0063768C">
      <w:pPr>
        <w:pStyle w:val="Bullet"/>
      </w:pPr>
      <w:r w:rsidRPr="004A6FEF">
        <w:t xml:space="preserve">Humankind has become so large and active that it now rivals some of the great forces of </w:t>
      </w:r>
      <w:r w:rsidR="007B17B8">
        <w:t>n</w:t>
      </w:r>
      <w:r w:rsidRPr="004A6FEF">
        <w:t>ature</w:t>
      </w:r>
      <w:r w:rsidR="006F2C24">
        <w:t>.</w:t>
      </w:r>
    </w:p>
    <w:p w14:paraId="222BC418" w14:textId="570D59CD" w:rsidR="009E59B1" w:rsidRPr="006D6D07" w:rsidRDefault="009E59B1" w:rsidP="006D6D07">
      <w:pPr>
        <w:pStyle w:val="BodyText"/>
      </w:pPr>
      <w:r w:rsidRPr="006D6D07">
        <w:t>The following is an example of a high-scoring response:</w:t>
      </w:r>
    </w:p>
    <w:p w14:paraId="5F980489" w14:textId="41605384" w:rsidR="00D76F57" w:rsidRPr="00CA5021" w:rsidRDefault="00D76F57" w:rsidP="00CA5021">
      <w:pPr>
        <w:pStyle w:val="Studentsamples"/>
      </w:pPr>
      <w:r w:rsidRPr="00CA5021">
        <w:t>One reason that supports the idea that humans have caused Earth to enter a new geological age is the emissions by humans of ‘large quantities’ of gas.</w:t>
      </w:r>
      <w:r w:rsidR="006D6D07" w:rsidRPr="00CA5021">
        <w:t xml:space="preserve"> </w:t>
      </w:r>
      <w:r w:rsidRPr="00CA5021">
        <w:t>Another reason is that human activity can ‘adversely affect’ ecosystems that support human life.</w:t>
      </w:r>
      <w:r w:rsidR="006D6D07" w:rsidRPr="00CA5021">
        <w:t xml:space="preserve"> </w:t>
      </w:r>
      <w:r w:rsidRPr="00CA5021">
        <w:t>A third reason is that humans are ‘likely driving’ the sixth major extinction event in Earth history.</w:t>
      </w:r>
    </w:p>
    <w:p w14:paraId="0AE11D17" w14:textId="11F9DAFD" w:rsidR="00E22285" w:rsidRDefault="00E22285" w:rsidP="006D6D07">
      <w:pPr>
        <w:pStyle w:val="Heading3"/>
      </w:pPr>
      <w:r w:rsidRPr="00BA00B7">
        <w:t>Question 1d.</w:t>
      </w:r>
    </w:p>
    <w:tbl>
      <w:tblPr>
        <w:tblStyle w:val="VCAATableClosed"/>
        <w:tblW w:w="0" w:type="auto"/>
        <w:tblLook w:val="01E0" w:firstRow="1" w:lastRow="1" w:firstColumn="1" w:lastColumn="1" w:noHBand="0" w:noVBand="0"/>
      </w:tblPr>
      <w:tblGrid>
        <w:gridCol w:w="864"/>
        <w:gridCol w:w="691"/>
        <w:gridCol w:w="567"/>
        <w:gridCol w:w="708"/>
        <w:gridCol w:w="567"/>
        <w:gridCol w:w="567"/>
        <w:gridCol w:w="864"/>
      </w:tblGrid>
      <w:tr w:rsidR="00263580" w:rsidRPr="00BA00B7" w14:paraId="34D730CE" w14:textId="77777777" w:rsidTr="004C5532">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7D6B43E" w14:textId="77777777" w:rsidR="00263580" w:rsidRPr="00BA00B7" w:rsidRDefault="00263580" w:rsidP="00D923D6">
            <w:pPr>
              <w:pStyle w:val="Tablecondensedheading"/>
              <w:rPr>
                <w:lang w:val="en-AU"/>
              </w:rPr>
            </w:pPr>
            <w:r w:rsidRPr="00BA00B7">
              <w:rPr>
                <w:lang w:val="en-AU"/>
              </w:rPr>
              <w:t>Marks</w:t>
            </w:r>
          </w:p>
        </w:tc>
        <w:tc>
          <w:tcPr>
            <w:tcW w:w="691" w:type="dxa"/>
          </w:tcPr>
          <w:p w14:paraId="12CD8166" w14:textId="77777777" w:rsidR="00263580" w:rsidRPr="00BA00B7" w:rsidRDefault="00263580" w:rsidP="00D923D6">
            <w:pPr>
              <w:pStyle w:val="Tablecondensedheading"/>
              <w:rPr>
                <w:lang w:val="en-AU"/>
              </w:rPr>
            </w:pPr>
            <w:r w:rsidRPr="00BA00B7">
              <w:rPr>
                <w:lang w:val="en-AU"/>
              </w:rPr>
              <w:t>0</w:t>
            </w:r>
          </w:p>
        </w:tc>
        <w:tc>
          <w:tcPr>
            <w:tcW w:w="567" w:type="dxa"/>
          </w:tcPr>
          <w:p w14:paraId="70E9D57B" w14:textId="77777777" w:rsidR="00263580" w:rsidRPr="00BA00B7" w:rsidRDefault="00263580" w:rsidP="00D923D6">
            <w:pPr>
              <w:pStyle w:val="Tablecondensedheading"/>
              <w:rPr>
                <w:lang w:val="en-AU"/>
              </w:rPr>
            </w:pPr>
            <w:r w:rsidRPr="00BA00B7">
              <w:rPr>
                <w:lang w:val="en-AU"/>
              </w:rPr>
              <w:t>1</w:t>
            </w:r>
          </w:p>
        </w:tc>
        <w:tc>
          <w:tcPr>
            <w:tcW w:w="708" w:type="dxa"/>
          </w:tcPr>
          <w:p w14:paraId="55AFCF10" w14:textId="77777777" w:rsidR="00263580" w:rsidRPr="00BA00B7" w:rsidRDefault="00263580" w:rsidP="00D923D6">
            <w:pPr>
              <w:pStyle w:val="Tablecondensedheading"/>
              <w:rPr>
                <w:lang w:val="en-AU"/>
              </w:rPr>
            </w:pPr>
            <w:r>
              <w:rPr>
                <w:lang w:val="en-AU"/>
              </w:rPr>
              <w:t>2</w:t>
            </w:r>
          </w:p>
        </w:tc>
        <w:tc>
          <w:tcPr>
            <w:tcW w:w="567" w:type="dxa"/>
          </w:tcPr>
          <w:p w14:paraId="52247BA2" w14:textId="32F9A8F8" w:rsidR="00263580" w:rsidRDefault="00263580" w:rsidP="00D923D6">
            <w:pPr>
              <w:pStyle w:val="Tablecondensedheading"/>
              <w:rPr>
                <w:lang w:val="en-AU"/>
              </w:rPr>
            </w:pPr>
            <w:r>
              <w:rPr>
                <w:lang w:val="en-AU"/>
              </w:rPr>
              <w:t>3</w:t>
            </w:r>
          </w:p>
        </w:tc>
        <w:tc>
          <w:tcPr>
            <w:tcW w:w="567" w:type="dxa"/>
          </w:tcPr>
          <w:p w14:paraId="54A76A8F" w14:textId="52310DFF" w:rsidR="00263580" w:rsidRPr="00BA00B7" w:rsidRDefault="00263580" w:rsidP="00D923D6">
            <w:pPr>
              <w:pStyle w:val="Tablecondensedheading"/>
              <w:rPr>
                <w:lang w:val="en-AU"/>
              </w:rPr>
            </w:pPr>
            <w:r>
              <w:rPr>
                <w:lang w:val="en-AU"/>
              </w:rPr>
              <w:t>4</w:t>
            </w:r>
          </w:p>
        </w:tc>
        <w:tc>
          <w:tcPr>
            <w:tcW w:w="864" w:type="dxa"/>
          </w:tcPr>
          <w:p w14:paraId="35AFD04F" w14:textId="77777777" w:rsidR="00263580" w:rsidRPr="00BA00B7" w:rsidRDefault="00263580" w:rsidP="00D923D6">
            <w:pPr>
              <w:pStyle w:val="Tablecondensedheading"/>
              <w:rPr>
                <w:lang w:val="en-AU"/>
              </w:rPr>
            </w:pPr>
            <w:r w:rsidRPr="00BA00B7">
              <w:rPr>
                <w:lang w:val="en-AU"/>
              </w:rPr>
              <w:t>Average</w:t>
            </w:r>
          </w:p>
        </w:tc>
      </w:tr>
      <w:tr w:rsidR="00263580" w:rsidRPr="008D7B0E" w14:paraId="56ED9EC4" w14:textId="77777777" w:rsidTr="004C5532">
        <w:trPr>
          <w:trHeight w:hRule="exact" w:val="397"/>
        </w:trPr>
        <w:tc>
          <w:tcPr>
            <w:tcW w:w="864" w:type="dxa"/>
          </w:tcPr>
          <w:p w14:paraId="3E781AF7" w14:textId="77777777" w:rsidR="00263580" w:rsidRPr="008D7B0E" w:rsidRDefault="00263580" w:rsidP="00D923D6">
            <w:pPr>
              <w:pStyle w:val="Tablecondensed"/>
            </w:pPr>
            <w:r w:rsidRPr="008D7B0E">
              <w:t>%</w:t>
            </w:r>
          </w:p>
        </w:tc>
        <w:tc>
          <w:tcPr>
            <w:tcW w:w="691" w:type="dxa"/>
            <w:vAlign w:val="bottom"/>
          </w:tcPr>
          <w:p w14:paraId="20AF3E30" w14:textId="51A330B2" w:rsidR="00263580" w:rsidRPr="008D7B0E" w:rsidRDefault="00263580" w:rsidP="00D923D6">
            <w:pPr>
              <w:pStyle w:val="Tablecondensed"/>
            </w:pPr>
            <w:r>
              <w:t>14</w:t>
            </w:r>
          </w:p>
        </w:tc>
        <w:tc>
          <w:tcPr>
            <w:tcW w:w="567" w:type="dxa"/>
            <w:vAlign w:val="bottom"/>
          </w:tcPr>
          <w:p w14:paraId="7DF183B6" w14:textId="2C5F2148" w:rsidR="00263580" w:rsidRPr="008D7B0E" w:rsidRDefault="00263580" w:rsidP="00D923D6">
            <w:pPr>
              <w:pStyle w:val="Tablecondensed"/>
            </w:pPr>
            <w:r>
              <w:t>22</w:t>
            </w:r>
          </w:p>
        </w:tc>
        <w:tc>
          <w:tcPr>
            <w:tcW w:w="708" w:type="dxa"/>
            <w:vAlign w:val="bottom"/>
          </w:tcPr>
          <w:p w14:paraId="3556D9E0" w14:textId="2545B11B" w:rsidR="00263580" w:rsidRPr="008D7B0E" w:rsidRDefault="00263580" w:rsidP="00D923D6">
            <w:pPr>
              <w:pStyle w:val="Tablecondensed"/>
            </w:pPr>
            <w:r>
              <w:t>29</w:t>
            </w:r>
          </w:p>
        </w:tc>
        <w:tc>
          <w:tcPr>
            <w:tcW w:w="567" w:type="dxa"/>
          </w:tcPr>
          <w:p w14:paraId="2B7E9A7E" w14:textId="152020ED" w:rsidR="00263580" w:rsidRPr="008D7B0E" w:rsidRDefault="00263580" w:rsidP="00D923D6">
            <w:pPr>
              <w:pStyle w:val="Tablecondensed"/>
            </w:pPr>
            <w:r>
              <w:t>24</w:t>
            </w:r>
          </w:p>
        </w:tc>
        <w:tc>
          <w:tcPr>
            <w:tcW w:w="567" w:type="dxa"/>
          </w:tcPr>
          <w:p w14:paraId="5FF12A7C" w14:textId="02CF0301" w:rsidR="00263580" w:rsidRPr="008D7B0E" w:rsidRDefault="00263580" w:rsidP="00D923D6">
            <w:pPr>
              <w:pStyle w:val="Tablecondensed"/>
            </w:pPr>
            <w:r>
              <w:t>11</w:t>
            </w:r>
          </w:p>
        </w:tc>
        <w:tc>
          <w:tcPr>
            <w:tcW w:w="864" w:type="dxa"/>
          </w:tcPr>
          <w:p w14:paraId="41F7B528" w14:textId="4260E3DD" w:rsidR="00263580" w:rsidRPr="008D7B0E" w:rsidRDefault="00263580" w:rsidP="00D923D6">
            <w:pPr>
              <w:pStyle w:val="Tablecondensed"/>
            </w:pPr>
            <w:r>
              <w:t>1.9</w:t>
            </w:r>
          </w:p>
        </w:tc>
      </w:tr>
    </w:tbl>
    <w:p w14:paraId="3F935C5C" w14:textId="018B29F7" w:rsidR="001A3E82" w:rsidRPr="006D6D07" w:rsidRDefault="001A3E82" w:rsidP="006D6D07">
      <w:pPr>
        <w:pStyle w:val="BodyText"/>
      </w:pPr>
      <w:r w:rsidRPr="006D6D07">
        <w:t>Question 1d. required students to describe how atomic testing in the Pacific contributed to the anti-nuclear movement in Australia</w:t>
      </w:r>
      <w:r w:rsidR="006F2C24">
        <w:t>,</w:t>
      </w:r>
      <w:r w:rsidR="00990A40" w:rsidRPr="006D6D07">
        <w:t xml:space="preserve"> using their own knowledge.</w:t>
      </w:r>
    </w:p>
    <w:p w14:paraId="1C2DC9DD" w14:textId="796DF177" w:rsidR="00990A40" w:rsidRPr="006D6D07" w:rsidRDefault="00CE413F" w:rsidP="006D6D07">
      <w:pPr>
        <w:pStyle w:val="BodyText"/>
      </w:pPr>
      <w:r>
        <w:t>Many students found this question challenging, with relatively few students identifying that France began nuclear tests in the Pacific in 1</w:t>
      </w:r>
      <w:r w:rsidR="007B17B8">
        <w:t>96</w:t>
      </w:r>
      <w:r>
        <w:t xml:space="preserve">6 and </w:t>
      </w:r>
      <w:r w:rsidR="00722A14">
        <w:t xml:space="preserve">was </w:t>
      </w:r>
      <w:r>
        <w:t xml:space="preserve">subsequently taken to the International Court of Justice by Australia and New Zealand (and later Fiji) in 1973. </w:t>
      </w:r>
      <w:r w:rsidR="00F92FEC">
        <w:t>Impacts of the testing in the Pacific included radioactive fallout spreading across the Australian countryside and elevated levels of radiation in rain in parts of Australia.</w:t>
      </w:r>
      <w:r w:rsidR="006D6D07">
        <w:t xml:space="preserve"> </w:t>
      </w:r>
      <w:r w:rsidR="00F92FEC">
        <w:t xml:space="preserve">Street protests and rallies against the testing were galvanised in the 1970s by the government’s court case, </w:t>
      </w:r>
      <w:r w:rsidR="00B04B6C">
        <w:t>against a broader background context of</w:t>
      </w:r>
      <w:r w:rsidR="00F92FEC">
        <w:t xml:space="preserve"> social protest, for example, against the war in Vietnam, </w:t>
      </w:r>
      <w:r w:rsidR="00722A14">
        <w:t xml:space="preserve">which </w:t>
      </w:r>
      <w:r w:rsidR="00F92FEC">
        <w:t>attract</w:t>
      </w:r>
      <w:r w:rsidR="00722A14">
        <w:t>ed</w:t>
      </w:r>
      <w:r w:rsidR="00F92FEC">
        <w:t xml:space="preserve"> 20</w:t>
      </w:r>
      <w:r w:rsidR="00722A14">
        <w:t xml:space="preserve"> </w:t>
      </w:r>
      <w:r w:rsidR="00F92FEC">
        <w:t xml:space="preserve">000 people to </w:t>
      </w:r>
      <w:r w:rsidR="005C554F">
        <w:t>a protest in Melbourne in 1977.</w:t>
      </w:r>
    </w:p>
    <w:p w14:paraId="40B04497" w14:textId="057053AD" w:rsidR="001A3E82" w:rsidRPr="003F32E1" w:rsidRDefault="001A3E82" w:rsidP="00CA5021">
      <w:pPr>
        <w:pStyle w:val="BodyText"/>
      </w:pPr>
      <w:r w:rsidRPr="003F32E1">
        <w:t>Many students i</w:t>
      </w:r>
      <w:r w:rsidR="00B04B6C" w:rsidRPr="003F32E1">
        <w:t xml:space="preserve">dentified </w:t>
      </w:r>
      <w:r w:rsidRPr="003F32E1">
        <w:t>earlier atomic tests at Maralinga as being a driving factor for the anti-nuclear movement</w:t>
      </w:r>
      <w:r w:rsidR="00722A14" w:rsidRPr="003F32E1">
        <w:t>,</w:t>
      </w:r>
      <w:r w:rsidRPr="003F32E1">
        <w:t xml:space="preserve"> which was </w:t>
      </w:r>
      <w:r w:rsidR="005C554F" w:rsidRPr="003F32E1">
        <w:t xml:space="preserve">largely </w:t>
      </w:r>
      <w:r w:rsidRPr="003F32E1">
        <w:t>not appropriate for this question</w:t>
      </w:r>
      <w:r w:rsidR="00CE413F" w:rsidRPr="003F32E1">
        <w:t>, given that Maralinga is not in the Pacific and awareness of the impact</w:t>
      </w:r>
      <w:r w:rsidR="008601E8" w:rsidRPr="003F32E1">
        <w:t xml:space="preserve"> and criticism</w:t>
      </w:r>
      <w:r w:rsidR="00CE413F" w:rsidRPr="003F32E1">
        <w:t xml:space="preserve"> of these tests </w:t>
      </w:r>
      <w:r w:rsidR="008601E8" w:rsidRPr="003F32E1">
        <w:t>mainly</w:t>
      </w:r>
      <w:r w:rsidR="00CE413F" w:rsidRPr="003F32E1">
        <w:t xml:space="preserve"> occurred much later</w:t>
      </w:r>
      <w:r w:rsidRPr="003F32E1">
        <w:t>.</w:t>
      </w:r>
      <w:r w:rsidR="006D6D07" w:rsidRPr="003F32E1">
        <w:t xml:space="preserve"> </w:t>
      </w:r>
    </w:p>
    <w:p w14:paraId="393955AB" w14:textId="77777777" w:rsidR="009E59B1" w:rsidRPr="006D6D07" w:rsidRDefault="009E59B1" w:rsidP="006D6D07">
      <w:pPr>
        <w:pStyle w:val="BodyText"/>
      </w:pPr>
      <w:r w:rsidRPr="006D6D07">
        <w:t>The following is an example of a high-scoring response:</w:t>
      </w:r>
    </w:p>
    <w:p w14:paraId="3B2EA8C6" w14:textId="3C114B20" w:rsidR="004539F3" w:rsidRPr="00CA5021" w:rsidRDefault="004539F3" w:rsidP="00CA5021">
      <w:pPr>
        <w:pStyle w:val="Studentsamples"/>
      </w:pPr>
      <w:r w:rsidRPr="00CA5021">
        <w:t>French atomic testing in the Pacific contributed to the anti-nuclear movement in Australia due to its direct effect on the country and following awareness.</w:t>
      </w:r>
      <w:r w:rsidR="006D6D07" w:rsidRPr="00CA5021">
        <w:t xml:space="preserve"> </w:t>
      </w:r>
      <w:r w:rsidRPr="00CA5021">
        <w:t>In 1972 the Australian countryside was ‘bombarded with nuclear fallout’ (The Age, 1972).</w:t>
      </w:r>
      <w:r w:rsidR="006D6D07" w:rsidRPr="00CA5021">
        <w:t xml:space="preserve"> </w:t>
      </w:r>
      <w:r w:rsidRPr="00CA5021">
        <w:t xml:space="preserve">In Adelaide there was radiation contaminated </w:t>
      </w:r>
      <w:r w:rsidR="00BC2EE1" w:rsidRPr="00CA5021">
        <w:t>rain and even water sources.</w:t>
      </w:r>
      <w:r w:rsidR="006D6D07" w:rsidRPr="00CA5021">
        <w:t xml:space="preserve"> </w:t>
      </w:r>
      <w:r w:rsidR="00BC2EE1" w:rsidRPr="00CA5021">
        <w:t>The knowledge that children were 10</w:t>
      </w:r>
      <w:r w:rsidR="00722A14" w:rsidRPr="00CA5021">
        <w:t>–</w:t>
      </w:r>
      <w:r w:rsidR="00BC2EE1" w:rsidRPr="00CA5021">
        <w:t>20 times more affected by radiation further fuelled national outrage on the issue.</w:t>
      </w:r>
      <w:r w:rsidR="006D6D07" w:rsidRPr="00CA5021">
        <w:t xml:space="preserve"> </w:t>
      </w:r>
      <w:r w:rsidR="00BC2EE1" w:rsidRPr="00CA5021">
        <w:t>In 1972, the Whitlam government was elected on the promise to bring France to the International Court of Justice over widespread concern for nuclear testing in the Pacific and its affects</w:t>
      </w:r>
      <w:r w:rsidR="00B04B6C" w:rsidRPr="00CA5021">
        <w:t xml:space="preserve"> [sic]</w:t>
      </w:r>
      <w:r w:rsidR="00BC2EE1" w:rsidRPr="00CA5021">
        <w:t>, gaining international support by Fiji and New Zealand and providing success for the anti-nuclear movement.</w:t>
      </w:r>
    </w:p>
    <w:p w14:paraId="234578DB" w14:textId="77777777" w:rsidR="00E22285" w:rsidRDefault="00E22285" w:rsidP="00722A14">
      <w:pPr>
        <w:pStyle w:val="Heading3"/>
        <w:keepNext/>
      </w:pPr>
      <w:r w:rsidRPr="00BA00B7">
        <w:lastRenderedPageBreak/>
        <w:t>Question 1</w:t>
      </w:r>
      <w:r>
        <w:t>e</w:t>
      </w:r>
      <w:r w:rsidRPr="00BA00B7">
        <w:t>.</w:t>
      </w:r>
    </w:p>
    <w:tbl>
      <w:tblPr>
        <w:tblStyle w:val="VCAATableClosed"/>
        <w:tblW w:w="0" w:type="auto"/>
        <w:tblLook w:val="01E0" w:firstRow="1" w:lastRow="1" w:firstColumn="1" w:lastColumn="1" w:noHBand="0" w:noVBand="0"/>
      </w:tblPr>
      <w:tblGrid>
        <w:gridCol w:w="864"/>
        <w:gridCol w:w="691"/>
        <w:gridCol w:w="567"/>
        <w:gridCol w:w="708"/>
        <w:gridCol w:w="567"/>
        <w:gridCol w:w="709"/>
        <w:gridCol w:w="709"/>
        <w:gridCol w:w="709"/>
        <w:gridCol w:w="864"/>
      </w:tblGrid>
      <w:tr w:rsidR="00263580" w:rsidRPr="00BA00B7" w14:paraId="02790FE0"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8CD7A3F" w14:textId="77777777" w:rsidR="00263580" w:rsidRPr="00BA00B7" w:rsidRDefault="00263580" w:rsidP="00722A14">
            <w:pPr>
              <w:pStyle w:val="Tablecondensedheading"/>
              <w:keepNext/>
              <w:rPr>
                <w:lang w:val="en-AU"/>
              </w:rPr>
            </w:pPr>
            <w:r w:rsidRPr="00BA00B7">
              <w:rPr>
                <w:lang w:val="en-AU"/>
              </w:rPr>
              <w:t>Marks</w:t>
            </w:r>
          </w:p>
        </w:tc>
        <w:tc>
          <w:tcPr>
            <w:tcW w:w="691" w:type="dxa"/>
          </w:tcPr>
          <w:p w14:paraId="7DD7BE4A" w14:textId="77777777" w:rsidR="00263580" w:rsidRPr="00BA00B7" w:rsidRDefault="00263580" w:rsidP="00722A14">
            <w:pPr>
              <w:pStyle w:val="Tablecondensedheading"/>
              <w:keepNext/>
              <w:rPr>
                <w:lang w:val="en-AU"/>
              </w:rPr>
            </w:pPr>
            <w:r w:rsidRPr="00BA00B7">
              <w:rPr>
                <w:lang w:val="en-AU"/>
              </w:rPr>
              <w:t>0</w:t>
            </w:r>
          </w:p>
        </w:tc>
        <w:tc>
          <w:tcPr>
            <w:tcW w:w="567" w:type="dxa"/>
          </w:tcPr>
          <w:p w14:paraId="58AC2361" w14:textId="77777777" w:rsidR="00263580" w:rsidRPr="00BA00B7" w:rsidRDefault="00263580" w:rsidP="00722A14">
            <w:pPr>
              <w:pStyle w:val="Tablecondensedheading"/>
              <w:keepNext/>
              <w:rPr>
                <w:lang w:val="en-AU"/>
              </w:rPr>
            </w:pPr>
            <w:r w:rsidRPr="00BA00B7">
              <w:rPr>
                <w:lang w:val="en-AU"/>
              </w:rPr>
              <w:t>1</w:t>
            </w:r>
          </w:p>
        </w:tc>
        <w:tc>
          <w:tcPr>
            <w:tcW w:w="708" w:type="dxa"/>
          </w:tcPr>
          <w:p w14:paraId="5ED61BE0" w14:textId="77777777" w:rsidR="00263580" w:rsidRPr="00BA00B7" w:rsidRDefault="00263580" w:rsidP="00722A14">
            <w:pPr>
              <w:pStyle w:val="Tablecondensedheading"/>
              <w:keepNext/>
              <w:rPr>
                <w:lang w:val="en-AU"/>
              </w:rPr>
            </w:pPr>
            <w:r>
              <w:rPr>
                <w:lang w:val="en-AU"/>
              </w:rPr>
              <w:t>2</w:t>
            </w:r>
          </w:p>
        </w:tc>
        <w:tc>
          <w:tcPr>
            <w:tcW w:w="567" w:type="dxa"/>
          </w:tcPr>
          <w:p w14:paraId="56F83FD5" w14:textId="77777777" w:rsidR="00263580" w:rsidRPr="00BA00B7" w:rsidRDefault="00263580" w:rsidP="00722A14">
            <w:pPr>
              <w:pStyle w:val="Tablecondensedheading"/>
              <w:keepNext/>
              <w:rPr>
                <w:lang w:val="en-AU"/>
              </w:rPr>
            </w:pPr>
            <w:r>
              <w:rPr>
                <w:lang w:val="en-AU"/>
              </w:rPr>
              <w:t>3</w:t>
            </w:r>
          </w:p>
        </w:tc>
        <w:tc>
          <w:tcPr>
            <w:tcW w:w="709" w:type="dxa"/>
          </w:tcPr>
          <w:p w14:paraId="0CB5B7F5" w14:textId="77777777" w:rsidR="00263580" w:rsidRPr="00BA00B7" w:rsidRDefault="00263580" w:rsidP="00722A14">
            <w:pPr>
              <w:pStyle w:val="Tablecondensedheading"/>
              <w:keepNext/>
              <w:rPr>
                <w:lang w:val="en-AU"/>
              </w:rPr>
            </w:pPr>
            <w:r>
              <w:rPr>
                <w:lang w:val="en-AU"/>
              </w:rPr>
              <w:t>4</w:t>
            </w:r>
          </w:p>
        </w:tc>
        <w:tc>
          <w:tcPr>
            <w:tcW w:w="709" w:type="dxa"/>
          </w:tcPr>
          <w:p w14:paraId="325EE2DC" w14:textId="77777777" w:rsidR="00263580" w:rsidRPr="00BA00B7" w:rsidRDefault="00263580" w:rsidP="00722A14">
            <w:pPr>
              <w:pStyle w:val="Tablecondensedheading"/>
              <w:keepNext/>
              <w:rPr>
                <w:lang w:val="en-AU"/>
              </w:rPr>
            </w:pPr>
            <w:r>
              <w:rPr>
                <w:lang w:val="en-AU"/>
              </w:rPr>
              <w:t>5</w:t>
            </w:r>
          </w:p>
        </w:tc>
        <w:tc>
          <w:tcPr>
            <w:tcW w:w="709" w:type="dxa"/>
          </w:tcPr>
          <w:p w14:paraId="7D31D5E1" w14:textId="77777777" w:rsidR="00263580" w:rsidRDefault="00263580" w:rsidP="00722A14">
            <w:pPr>
              <w:pStyle w:val="Tablecondensedheading"/>
              <w:keepNext/>
              <w:rPr>
                <w:lang w:val="en-AU"/>
              </w:rPr>
            </w:pPr>
            <w:r>
              <w:rPr>
                <w:lang w:val="en-AU"/>
              </w:rPr>
              <w:t>6</w:t>
            </w:r>
          </w:p>
        </w:tc>
        <w:tc>
          <w:tcPr>
            <w:tcW w:w="864" w:type="dxa"/>
          </w:tcPr>
          <w:p w14:paraId="0F7B264D" w14:textId="77777777" w:rsidR="00263580" w:rsidRPr="00BA00B7" w:rsidRDefault="00263580" w:rsidP="00722A14">
            <w:pPr>
              <w:pStyle w:val="Tablecondensedheading"/>
              <w:keepNext/>
              <w:rPr>
                <w:lang w:val="en-AU"/>
              </w:rPr>
            </w:pPr>
            <w:r w:rsidRPr="00BA00B7">
              <w:rPr>
                <w:lang w:val="en-AU"/>
              </w:rPr>
              <w:t>Average</w:t>
            </w:r>
          </w:p>
        </w:tc>
      </w:tr>
      <w:tr w:rsidR="00263580" w:rsidRPr="008D7B0E" w14:paraId="043A9958" w14:textId="77777777" w:rsidTr="007A45BC">
        <w:trPr>
          <w:trHeight w:hRule="exact" w:val="397"/>
        </w:trPr>
        <w:tc>
          <w:tcPr>
            <w:tcW w:w="864" w:type="dxa"/>
          </w:tcPr>
          <w:p w14:paraId="7962A4D1" w14:textId="77777777" w:rsidR="00263580" w:rsidRPr="008D7B0E" w:rsidRDefault="00263580" w:rsidP="00722A14">
            <w:pPr>
              <w:pStyle w:val="Tablecondensed"/>
              <w:keepNext/>
            </w:pPr>
            <w:r w:rsidRPr="008D7B0E">
              <w:t>%</w:t>
            </w:r>
          </w:p>
        </w:tc>
        <w:tc>
          <w:tcPr>
            <w:tcW w:w="691" w:type="dxa"/>
            <w:vAlign w:val="bottom"/>
          </w:tcPr>
          <w:p w14:paraId="5859D8B8" w14:textId="79F2D715" w:rsidR="00263580" w:rsidRPr="008D7B0E" w:rsidRDefault="00263580" w:rsidP="00722A14">
            <w:pPr>
              <w:pStyle w:val="Tablecondensed"/>
              <w:keepNext/>
            </w:pPr>
            <w:r>
              <w:t>8</w:t>
            </w:r>
          </w:p>
        </w:tc>
        <w:tc>
          <w:tcPr>
            <w:tcW w:w="567" w:type="dxa"/>
            <w:vAlign w:val="bottom"/>
          </w:tcPr>
          <w:p w14:paraId="09DBDFE4" w14:textId="4832CE70" w:rsidR="00263580" w:rsidRPr="008D7B0E" w:rsidRDefault="00263580" w:rsidP="00722A14">
            <w:pPr>
              <w:pStyle w:val="Tablecondensed"/>
              <w:keepNext/>
            </w:pPr>
            <w:r>
              <w:t>15</w:t>
            </w:r>
          </w:p>
        </w:tc>
        <w:tc>
          <w:tcPr>
            <w:tcW w:w="708" w:type="dxa"/>
            <w:vAlign w:val="bottom"/>
          </w:tcPr>
          <w:p w14:paraId="5328E786" w14:textId="57F25E0D" w:rsidR="00263580" w:rsidRPr="008D7B0E" w:rsidRDefault="003724FE" w:rsidP="00722A14">
            <w:pPr>
              <w:pStyle w:val="Tablecondensed"/>
              <w:keepNext/>
            </w:pPr>
            <w:r>
              <w:t>19</w:t>
            </w:r>
          </w:p>
        </w:tc>
        <w:tc>
          <w:tcPr>
            <w:tcW w:w="567" w:type="dxa"/>
          </w:tcPr>
          <w:p w14:paraId="6346D446" w14:textId="3FDB573A" w:rsidR="00263580" w:rsidRPr="008D7B0E" w:rsidRDefault="003724FE" w:rsidP="00722A14">
            <w:pPr>
              <w:pStyle w:val="Tablecondensed"/>
              <w:keepNext/>
            </w:pPr>
            <w:r>
              <w:t>21</w:t>
            </w:r>
          </w:p>
        </w:tc>
        <w:tc>
          <w:tcPr>
            <w:tcW w:w="709" w:type="dxa"/>
          </w:tcPr>
          <w:p w14:paraId="2F4A5E0B" w14:textId="1FF6ED0F" w:rsidR="00263580" w:rsidRPr="008D7B0E" w:rsidRDefault="003724FE" w:rsidP="00722A14">
            <w:pPr>
              <w:pStyle w:val="Tablecondensed"/>
              <w:keepNext/>
            </w:pPr>
            <w:r>
              <w:t>20</w:t>
            </w:r>
          </w:p>
        </w:tc>
        <w:tc>
          <w:tcPr>
            <w:tcW w:w="709" w:type="dxa"/>
          </w:tcPr>
          <w:p w14:paraId="530692F4" w14:textId="64D5A18E" w:rsidR="00263580" w:rsidRPr="008D7B0E" w:rsidRDefault="003724FE" w:rsidP="00722A14">
            <w:pPr>
              <w:pStyle w:val="Tablecondensed"/>
              <w:keepNext/>
            </w:pPr>
            <w:r>
              <w:t>12</w:t>
            </w:r>
          </w:p>
        </w:tc>
        <w:tc>
          <w:tcPr>
            <w:tcW w:w="709" w:type="dxa"/>
          </w:tcPr>
          <w:p w14:paraId="3E407501" w14:textId="72A3AFA8" w:rsidR="00263580" w:rsidRPr="008D7B0E" w:rsidRDefault="003724FE" w:rsidP="00722A14">
            <w:pPr>
              <w:pStyle w:val="Tablecondensed"/>
              <w:keepNext/>
            </w:pPr>
            <w:r>
              <w:t>5</w:t>
            </w:r>
          </w:p>
        </w:tc>
        <w:tc>
          <w:tcPr>
            <w:tcW w:w="864" w:type="dxa"/>
          </w:tcPr>
          <w:p w14:paraId="35F7F339" w14:textId="0D8B8A5E" w:rsidR="00263580" w:rsidRPr="008D7B0E" w:rsidRDefault="003724FE" w:rsidP="00722A14">
            <w:pPr>
              <w:pStyle w:val="Tablecondensed"/>
              <w:keepNext/>
            </w:pPr>
            <w:r>
              <w:t>2.8</w:t>
            </w:r>
          </w:p>
        </w:tc>
      </w:tr>
    </w:tbl>
    <w:p w14:paraId="4673C928" w14:textId="2ECE1A37" w:rsidR="002F4435" w:rsidRPr="006D6D07" w:rsidRDefault="002F4435" w:rsidP="006D6D07">
      <w:pPr>
        <w:pStyle w:val="BodyText"/>
      </w:pPr>
      <w:r w:rsidRPr="006D6D07">
        <w:t>Question 1e. required students to explain how the impacts of human activity on the natural environment were challenged by individuals and groups between 1989 and 2010, using Source 4.</w:t>
      </w:r>
      <w:r w:rsidR="006D6D07" w:rsidRPr="006D6D07">
        <w:t xml:space="preserve"> </w:t>
      </w:r>
      <w:r w:rsidR="00253A74" w:rsidRPr="006D6D07">
        <w:t>Higher</w:t>
      </w:r>
      <w:r w:rsidR="00722A14">
        <w:t>-</w:t>
      </w:r>
      <w:r w:rsidR="00253A74" w:rsidRPr="006D6D07">
        <w:t xml:space="preserve">scoring responses described the strategies used by both individuals and groups </w:t>
      </w:r>
      <w:r w:rsidR="00643777" w:rsidRPr="006D6D07">
        <w:t>to address the impacts of human activity on the natural environment.</w:t>
      </w:r>
      <w:r w:rsidR="006D6D07" w:rsidRPr="006D6D07">
        <w:t xml:space="preserve"> </w:t>
      </w:r>
      <w:r w:rsidR="00643777" w:rsidRPr="006D6D07">
        <w:t xml:space="preserve">Most responses described the actions of Ian Kiernan and the group involved in Clean Up Sydney Harbour (a movement </w:t>
      </w:r>
      <w:r w:rsidR="00722A14">
        <w:t>that</w:t>
      </w:r>
      <w:r w:rsidR="00722A14" w:rsidRPr="006D6D07">
        <w:t xml:space="preserve"> </w:t>
      </w:r>
      <w:r w:rsidR="00643777" w:rsidRPr="006D6D07">
        <w:t xml:space="preserve">grew into Clean Up Australia Day) and were able to add their own knowledge of other strategies such as the formation of Landcare by Bob Hawke’s Labor </w:t>
      </w:r>
      <w:r w:rsidR="00722A14">
        <w:t>g</w:t>
      </w:r>
      <w:r w:rsidR="00643777" w:rsidRPr="006D6D07">
        <w:t>overnment</w:t>
      </w:r>
      <w:r w:rsidR="00370398" w:rsidRPr="006D6D07">
        <w:t xml:space="preserve"> or the Australian Greens political party</w:t>
      </w:r>
      <w:r w:rsidR="00643777" w:rsidRPr="006D6D07">
        <w:t xml:space="preserve">, the </w:t>
      </w:r>
      <w:r w:rsidR="00370398" w:rsidRPr="006D6D07">
        <w:t xml:space="preserve">federal </w:t>
      </w:r>
      <w:r w:rsidR="00643777" w:rsidRPr="006D6D07">
        <w:t xml:space="preserve">government’s participation in the </w:t>
      </w:r>
      <w:r w:rsidR="00370398" w:rsidRPr="006D6D07">
        <w:t>Earth</w:t>
      </w:r>
      <w:r w:rsidR="00643777" w:rsidRPr="006D6D07">
        <w:t xml:space="preserve"> Summit</w:t>
      </w:r>
      <w:r w:rsidR="00370398" w:rsidRPr="006D6D07">
        <w:t xml:space="preserve"> in Rio de Janeiro</w:t>
      </w:r>
      <w:r w:rsidR="00643777" w:rsidRPr="006D6D07">
        <w:t xml:space="preserve"> and the Rudd Government’s decision to ratify the Kyoto Protocol</w:t>
      </w:r>
      <w:r w:rsidR="00370398" w:rsidRPr="006D6D07">
        <w:t>.</w:t>
      </w:r>
      <w:r w:rsidR="006D6D07" w:rsidRPr="006D6D07">
        <w:t xml:space="preserve"> </w:t>
      </w:r>
      <w:r w:rsidR="00370398" w:rsidRPr="006D6D07">
        <w:t xml:space="preserve">Less common were responses that described the actions taken by protest groups, such as at Jabiluka, or the use of popular culture such as John Williamson’s song </w:t>
      </w:r>
      <w:r w:rsidR="00370398" w:rsidRPr="0017038D">
        <w:rPr>
          <w:rStyle w:val="Emphasis"/>
        </w:rPr>
        <w:t xml:space="preserve">Rip </w:t>
      </w:r>
      <w:proofErr w:type="spellStart"/>
      <w:r w:rsidR="00370398" w:rsidRPr="0017038D">
        <w:rPr>
          <w:rStyle w:val="Emphasis"/>
        </w:rPr>
        <w:t>Rip</w:t>
      </w:r>
      <w:proofErr w:type="spellEnd"/>
      <w:r w:rsidR="00370398" w:rsidRPr="0017038D">
        <w:rPr>
          <w:rStyle w:val="Emphasis"/>
        </w:rPr>
        <w:t xml:space="preserve"> Woodchip</w:t>
      </w:r>
      <w:r w:rsidR="00370398" w:rsidRPr="006D6D07">
        <w:t>.</w:t>
      </w:r>
      <w:r w:rsidR="006D6D07" w:rsidRPr="006D6D07">
        <w:t xml:space="preserve"> </w:t>
      </w:r>
      <w:r w:rsidR="0066737D" w:rsidRPr="006D6D07">
        <w:t>To answer this question effectively, responses needed to identify and describe actions taken by at least one individual and at least one group, although the role of an individual within a group (e.g. Kevin Rudd as a representative of the government) was acceptable.</w:t>
      </w:r>
    </w:p>
    <w:p w14:paraId="65D73B39" w14:textId="77777777" w:rsidR="0066737D" w:rsidRPr="006D6D07" w:rsidRDefault="0066737D" w:rsidP="006D6D07">
      <w:pPr>
        <w:pStyle w:val="BodyText"/>
      </w:pPr>
      <w:r w:rsidRPr="006D6D07">
        <w:t>The following is an example of a high-scoring response:</w:t>
      </w:r>
    </w:p>
    <w:p w14:paraId="510F18F8" w14:textId="097BAB63" w:rsidR="00E22285" w:rsidRPr="00CA5021" w:rsidRDefault="00BC2EE1" w:rsidP="00CA5021">
      <w:pPr>
        <w:pStyle w:val="Studentsamples"/>
        <w:rPr>
          <w:highlight w:val="lightGray"/>
        </w:rPr>
      </w:pPr>
      <w:r w:rsidRPr="00CA5021">
        <w:t>Between 1989 and 2010, the impacts of human activity on the environment were challenged.</w:t>
      </w:r>
      <w:r w:rsidR="006D6D07" w:rsidRPr="00CA5021">
        <w:t xml:space="preserve"> </w:t>
      </w:r>
      <w:r w:rsidRPr="00CA5021">
        <w:t xml:space="preserve">The public grew more aware and acted to counter harm to the environment, yet industry remained </w:t>
      </w:r>
      <w:r w:rsidR="000B5B15" w:rsidRPr="00CA5021">
        <w:t>‘</w:t>
      </w:r>
      <w:r w:rsidRPr="00CA5021">
        <w:t>one of the dynamos</w:t>
      </w:r>
      <w:r w:rsidR="000B5B15" w:rsidRPr="00CA5021">
        <w:t>’</w:t>
      </w:r>
      <w:r w:rsidRPr="00CA5021">
        <w:t xml:space="preserve"> for the Australian economy (G. Bolton).</w:t>
      </w:r>
      <w:r w:rsidR="006D6D07" w:rsidRPr="00CA5021">
        <w:t xml:space="preserve"> </w:t>
      </w:r>
      <w:r w:rsidRPr="00CA5021">
        <w:t>The public was brought together to support the environment at times such as the January 1989 Clean Up Sydney Ha</w:t>
      </w:r>
      <w:r w:rsidR="007A675B">
        <w:t>r</w:t>
      </w:r>
      <w:r w:rsidRPr="00CA5021">
        <w:t xml:space="preserve">bour Day, where </w:t>
      </w:r>
      <w:r w:rsidR="000B5B15" w:rsidRPr="00CA5021">
        <w:t>‘</w:t>
      </w:r>
      <w:r w:rsidRPr="00CA5021">
        <w:t>120 tonnes of rubbish had been collected at 140 sites around the harbour</w:t>
      </w:r>
      <w:r w:rsidR="0077733A">
        <w:t>’</w:t>
      </w:r>
      <w:r w:rsidRPr="00CA5021">
        <w:t xml:space="preserve"> (source 4).</w:t>
      </w:r>
      <w:r w:rsidR="006D6D07" w:rsidRPr="00CA5021">
        <w:t xml:space="preserve"> </w:t>
      </w:r>
      <w:r w:rsidRPr="00CA5021">
        <w:t xml:space="preserve">The 1998 Jabiluka protest, led by Indigenous elder, Yvonne </w:t>
      </w:r>
      <w:proofErr w:type="spellStart"/>
      <w:r w:rsidRPr="00CA5021">
        <w:t>Margar</w:t>
      </w:r>
      <w:r w:rsidR="00E247AF" w:rsidRPr="00CA5021">
        <w:t>u</w:t>
      </w:r>
      <w:r w:rsidRPr="00CA5021">
        <w:t>la</w:t>
      </w:r>
      <w:proofErr w:type="spellEnd"/>
      <w:r w:rsidR="00E247AF" w:rsidRPr="00CA5021">
        <w:t xml:space="preserve"> of the </w:t>
      </w:r>
      <w:proofErr w:type="spellStart"/>
      <w:r w:rsidR="00E247AF" w:rsidRPr="00CA5021">
        <w:t>Mirarr</w:t>
      </w:r>
      <w:proofErr w:type="spellEnd"/>
      <w:r w:rsidR="00E247AF" w:rsidRPr="00CA5021">
        <w:t xml:space="preserve"> people was another time when environmentalism and Indigenous connection to land directly challenged economic gain (from the proposed uranium mine). The </w:t>
      </w:r>
      <w:proofErr w:type="gramStart"/>
      <w:r w:rsidR="00E247AF" w:rsidRPr="00CA5021">
        <w:t>eight month</w:t>
      </w:r>
      <w:proofErr w:type="gramEnd"/>
      <w:r w:rsidR="00E247AF" w:rsidRPr="00CA5021">
        <w:t xml:space="preserve"> long blockade consisting of Indigenous community members and activists, as well as university students, prevented access to Kakadu from opening </w:t>
      </w:r>
      <w:r w:rsidR="000B5B15" w:rsidRPr="00CA5021">
        <w:t>‘</w:t>
      </w:r>
      <w:r w:rsidR="00E247AF" w:rsidRPr="00CA5021">
        <w:t>every national park in the nation to mining</w:t>
      </w:r>
      <w:r w:rsidR="000B5B15" w:rsidRPr="00CA5021">
        <w:t>’</w:t>
      </w:r>
      <w:r w:rsidR="00E247AF" w:rsidRPr="00CA5021">
        <w:t xml:space="preserve"> (B. Hawke 1988).</w:t>
      </w:r>
      <w:r w:rsidR="006D6D07" w:rsidRPr="00CA5021">
        <w:t xml:space="preserve"> </w:t>
      </w:r>
      <w:r w:rsidR="00E247AF" w:rsidRPr="00CA5021">
        <w:t>Despite government supported mining initiatives, such as at Jabiluka</w:t>
      </w:r>
      <w:r w:rsidR="00193223" w:rsidRPr="00CA5021">
        <w:t>, individuals and groups from 1989 actively worked to change perspectives and impacts on the natural environment.</w:t>
      </w:r>
      <w:r w:rsidR="006D6D07" w:rsidRPr="00CA5021">
        <w:t xml:space="preserve"> </w:t>
      </w:r>
    </w:p>
    <w:p w14:paraId="3B181AED" w14:textId="61B6E071" w:rsidR="00E22285" w:rsidRDefault="00E22285" w:rsidP="006D6D07">
      <w:pPr>
        <w:pStyle w:val="Heading3"/>
      </w:pPr>
      <w:r w:rsidRPr="00BA00B7">
        <w:t xml:space="preserve">Question </w:t>
      </w:r>
      <w:r>
        <w:t>2</w:t>
      </w:r>
      <w:r w:rsidRPr="00BA00B7">
        <w:t>a.</w:t>
      </w:r>
    </w:p>
    <w:tbl>
      <w:tblPr>
        <w:tblStyle w:val="VCAATableClosed"/>
        <w:tblW w:w="0" w:type="auto"/>
        <w:tblLook w:val="01E0" w:firstRow="1" w:lastRow="1" w:firstColumn="1" w:lastColumn="1" w:noHBand="0" w:noVBand="0"/>
      </w:tblPr>
      <w:tblGrid>
        <w:gridCol w:w="864"/>
        <w:gridCol w:w="691"/>
        <w:gridCol w:w="567"/>
        <w:gridCol w:w="708"/>
        <w:gridCol w:w="864"/>
      </w:tblGrid>
      <w:tr w:rsidR="003724FE" w:rsidRPr="00BA00B7" w14:paraId="61F7377D"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CA578C3" w14:textId="77777777" w:rsidR="003724FE" w:rsidRPr="00BA00B7" w:rsidRDefault="003724FE" w:rsidP="00D923D6">
            <w:pPr>
              <w:pStyle w:val="Tablecondensedheading"/>
              <w:rPr>
                <w:lang w:val="en-AU"/>
              </w:rPr>
            </w:pPr>
            <w:r w:rsidRPr="00BA00B7">
              <w:rPr>
                <w:lang w:val="en-AU"/>
              </w:rPr>
              <w:t>Marks</w:t>
            </w:r>
          </w:p>
        </w:tc>
        <w:tc>
          <w:tcPr>
            <w:tcW w:w="691" w:type="dxa"/>
          </w:tcPr>
          <w:p w14:paraId="43167E2C" w14:textId="77777777" w:rsidR="003724FE" w:rsidRPr="00BA00B7" w:rsidRDefault="003724FE" w:rsidP="00D923D6">
            <w:pPr>
              <w:pStyle w:val="Tablecondensedheading"/>
              <w:rPr>
                <w:lang w:val="en-AU"/>
              </w:rPr>
            </w:pPr>
            <w:r w:rsidRPr="00BA00B7">
              <w:rPr>
                <w:lang w:val="en-AU"/>
              </w:rPr>
              <w:t>0</w:t>
            </w:r>
          </w:p>
        </w:tc>
        <w:tc>
          <w:tcPr>
            <w:tcW w:w="567" w:type="dxa"/>
          </w:tcPr>
          <w:p w14:paraId="50F333B4" w14:textId="77777777" w:rsidR="003724FE" w:rsidRPr="00BA00B7" w:rsidRDefault="003724FE" w:rsidP="00D923D6">
            <w:pPr>
              <w:pStyle w:val="Tablecondensedheading"/>
              <w:rPr>
                <w:lang w:val="en-AU"/>
              </w:rPr>
            </w:pPr>
            <w:r w:rsidRPr="00BA00B7">
              <w:rPr>
                <w:lang w:val="en-AU"/>
              </w:rPr>
              <w:t>1</w:t>
            </w:r>
          </w:p>
        </w:tc>
        <w:tc>
          <w:tcPr>
            <w:tcW w:w="708" w:type="dxa"/>
          </w:tcPr>
          <w:p w14:paraId="1D135271" w14:textId="77777777" w:rsidR="003724FE" w:rsidRPr="00BA00B7" w:rsidRDefault="003724FE" w:rsidP="00D923D6">
            <w:pPr>
              <w:pStyle w:val="Tablecondensedheading"/>
              <w:rPr>
                <w:lang w:val="en-AU"/>
              </w:rPr>
            </w:pPr>
            <w:r>
              <w:rPr>
                <w:lang w:val="en-AU"/>
              </w:rPr>
              <w:t>2</w:t>
            </w:r>
          </w:p>
        </w:tc>
        <w:tc>
          <w:tcPr>
            <w:tcW w:w="864" w:type="dxa"/>
          </w:tcPr>
          <w:p w14:paraId="51AC81AA" w14:textId="77777777" w:rsidR="003724FE" w:rsidRPr="00BA00B7" w:rsidRDefault="003724FE" w:rsidP="00D923D6">
            <w:pPr>
              <w:pStyle w:val="Tablecondensedheading"/>
              <w:rPr>
                <w:lang w:val="en-AU"/>
              </w:rPr>
            </w:pPr>
            <w:r w:rsidRPr="00BA00B7">
              <w:rPr>
                <w:lang w:val="en-AU"/>
              </w:rPr>
              <w:t>Average</w:t>
            </w:r>
          </w:p>
        </w:tc>
      </w:tr>
      <w:tr w:rsidR="003724FE" w:rsidRPr="008D7B0E" w14:paraId="4917E1FE" w14:textId="77777777" w:rsidTr="007A45BC">
        <w:trPr>
          <w:trHeight w:hRule="exact" w:val="397"/>
        </w:trPr>
        <w:tc>
          <w:tcPr>
            <w:tcW w:w="864" w:type="dxa"/>
          </w:tcPr>
          <w:p w14:paraId="6418A35B" w14:textId="77777777" w:rsidR="003724FE" w:rsidRPr="008D7B0E" w:rsidRDefault="003724FE" w:rsidP="00D923D6">
            <w:pPr>
              <w:pStyle w:val="Tablecondensed"/>
            </w:pPr>
            <w:r w:rsidRPr="008D7B0E">
              <w:t>%</w:t>
            </w:r>
          </w:p>
        </w:tc>
        <w:tc>
          <w:tcPr>
            <w:tcW w:w="691" w:type="dxa"/>
            <w:vAlign w:val="bottom"/>
          </w:tcPr>
          <w:p w14:paraId="203FB7F2" w14:textId="771DBC48" w:rsidR="003724FE" w:rsidRPr="008D7B0E" w:rsidRDefault="003724FE" w:rsidP="00D923D6">
            <w:pPr>
              <w:pStyle w:val="Tablecondensed"/>
            </w:pPr>
            <w:r>
              <w:t>0.4</w:t>
            </w:r>
          </w:p>
        </w:tc>
        <w:tc>
          <w:tcPr>
            <w:tcW w:w="567" w:type="dxa"/>
            <w:vAlign w:val="bottom"/>
          </w:tcPr>
          <w:p w14:paraId="4780893E" w14:textId="5DF2FBFF" w:rsidR="003724FE" w:rsidRPr="008D7B0E" w:rsidRDefault="003724FE" w:rsidP="00D923D6">
            <w:pPr>
              <w:pStyle w:val="Tablecondensed"/>
            </w:pPr>
            <w:r>
              <w:t>4</w:t>
            </w:r>
          </w:p>
        </w:tc>
        <w:tc>
          <w:tcPr>
            <w:tcW w:w="708" w:type="dxa"/>
            <w:vAlign w:val="bottom"/>
          </w:tcPr>
          <w:p w14:paraId="291DF08F" w14:textId="7A528508" w:rsidR="003724FE" w:rsidRPr="008D7B0E" w:rsidRDefault="003724FE" w:rsidP="00D923D6">
            <w:pPr>
              <w:pStyle w:val="Tablecondensed"/>
            </w:pPr>
            <w:r>
              <w:t>96</w:t>
            </w:r>
          </w:p>
        </w:tc>
        <w:tc>
          <w:tcPr>
            <w:tcW w:w="864" w:type="dxa"/>
          </w:tcPr>
          <w:p w14:paraId="725885F4" w14:textId="19ADA8DA" w:rsidR="003724FE" w:rsidRPr="008D7B0E" w:rsidRDefault="003724FE" w:rsidP="00D923D6">
            <w:pPr>
              <w:pStyle w:val="Tablecondensed"/>
            </w:pPr>
            <w:r>
              <w:t>2</w:t>
            </w:r>
          </w:p>
        </w:tc>
      </w:tr>
    </w:tbl>
    <w:p w14:paraId="7F16FBD7" w14:textId="76893A7F" w:rsidR="00F66D53" w:rsidRDefault="00F66D53" w:rsidP="006D6D07">
      <w:pPr>
        <w:pStyle w:val="BodyText"/>
      </w:pPr>
      <w:r>
        <w:t>Question 2a. required students to identify two groups in the image that were present at the Ballarat goldfields. Possible answers include</w:t>
      </w:r>
      <w:r w:rsidR="0042056A">
        <w:t>d</w:t>
      </w:r>
      <w:r>
        <w:t>:</w:t>
      </w:r>
    </w:p>
    <w:p w14:paraId="0DBF286C" w14:textId="3463F4CD" w:rsidR="00F66D53" w:rsidRPr="006D6D07" w:rsidRDefault="00F66D53" w:rsidP="0063768C">
      <w:pPr>
        <w:pStyle w:val="Bullet"/>
      </w:pPr>
      <w:r w:rsidRPr="006D6D07">
        <w:t xml:space="preserve">Chinese </w:t>
      </w:r>
      <w:r w:rsidR="00722A14">
        <w:t>–</w:t>
      </w:r>
      <w:r w:rsidRPr="006D6D07">
        <w:t xml:space="preserve"> the restaurant was owned by John Alloo, a Chinese man</w:t>
      </w:r>
    </w:p>
    <w:p w14:paraId="797E6337" w14:textId="3A133C5E" w:rsidR="00F66D53" w:rsidRPr="006D6D07" w:rsidRDefault="00F66D53" w:rsidP="0063768C">
      <w:pPr>
        <w:pStyle w:val="Bullet"/>
      </w:pPr>
      <w:r w:rsidRPr="006D6D07">
        <w:t>Europeans/white men</w:t>
      </w:r>
    </w:p>
    <w:p w14:paraId="2B3BEC9F" w14:textId="77777777" w:rsidR="00F66D53" w:rsidRPr="006D6D07" w:rsidRDefault="00F66D53" w:rsidP="0063768C">
      <w:pPr>
        <w:pStyle w:val="Bullet"/>
      </w:pPr>
      <w:r w:rsidRPr="006D6D07">
        <w:t>Englishmen – there is a sign advertising passage between London and Australia on the Marco Polo</w:t>
      </w:r>
    </w:p>
    <w:p w14:paraId="2B00F42D" w14:textId="62696D47" w:rsidR="002E59DF" w:rsidRPr="006D6D07" w:rsidRDefault="006E7FBA" w:rsidP="0063768C">
      <w:pPr>
        <w:pStyle w:val="Bullet"/>
      </w:pPr>
      <w:r>
        <w:t>w</w:t>
      </w:r>
      <w:r w:rsidR="002E59DF" w:rsidRPr="006D6D07">
        <w:t xml:space="preserve">omen </w:t>
      </w:r>
      <w:r w:rsidR="00722A14">
        <w:t>–</w:t>
      </w:r>
      <w:r w:rsidR="002E59DF" w:rsidRPr="006D6D07">
        <w:t xml:space="preserve"> there appears to be two women in the back room (although this response was rarely used by students, as responses preferred to use the first three </w:t>
      </w:r>
      <w:r w:rsidR="00552D62">
        <w:t>groups</w:t>
      </w:r>
      <w:r w:rsidR="002E59DF" w:rsidRPr="006D6D07">
        <w:t xml:space="preserve"> listed above)</w:t>
      </w:r>
      <w:r>
        <w:t>.</w:t>
      </w:r>
    </w:p>
    <w:p w14:paraId="0453B9AC" w14:textId="77777777" w:rsidR="00E22285" w:rsidRDefault="00E22285" w:rsidP="00722A14">
      <w:pPr>
        <w:pStyle w:val="Heading3"/>
        <w:keepNext/>
      </w:pPr>
      <w:r w:rsidRPr="00BA00B7">
        <w:lastRenderedPageBreak/>
        <w:t xml:space="preserve">Question </w:t>
      </w:r>
      <w:r>
        <w:t>2</w:t>
      </w:r>
      <w:r w:rsidRPr="00BA00B7">
        <w:t>b.</w:t>
      </w:r>
    </w:p>
    <w:tbl>
      <w:tblPr>
        <w:tblStyle w:val="VCAATableClosed"/>
        <w:tblW w:w="0" w:type="auto"/>
        <w:tblLook w:val="01E0" w:firstRow="1" w:lastRow="1" w:firstColumn="1" w:lastColumn="1" w:noHBand="0" w:noVBand="0"/>
      </w:tblPr>
      <w:tblGrid>
        <w:gridCol w:w="864"/>
        <w:gridCol w:w="691"/>
        <w:gridCol w:w="567"/>
        <w:gridCol w:w="708"/>
        <w:gridCol w:w="567"/>
        <w:gridCol w:w="709"/>
        <w:gridCol w:w="709"/>
        <w:gridCol w:w="709"/>
        <w:gridCol w:w="709"/>
        <w:gridCol w:w="709"/>
        <w:gridCol w:w="709"/>
        <w:gridCol w:w="709"/>
        <w:gridCol w:w="864"/>
      </w:tblGrid>
      <w:tr w:rsidR="003724FE" w:rsidRPr="00BA00B7" w14:paraId="3AF8662B"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43C7ADA" w14:textId="77777777" w:rsidR="003724FE" w:rsidRPr="00BA00B7" w:rsidRDefault="003724FE" w:rsidP="00722A14">
            <w:pPr>
              <w:pStyle w:val="Tablecondensedheading"/>
              <w:keepNext/>
              <w:rPr>
                <w:lang w:val="en-AU"/>
              </w:rPr>
            </w:pPr>
            <w:r w:rsidRPr="00BA00B7">
              <w:rPr>
                <w:lang w:val="en-AU"/>
              </w:rPr>
              <w:t>Marks</w:t>
            </w:r>
          </w:p>
        </w:tc>
        <w:tc>
          <w:tcPr>
            <w:tcW w:w="691" w:type="dxa"/>
          </w:tcPr>
          <w:p w14:paraId="1F41C009" w14:textId="77777777" w:rsidR="003724FE" w:rsidRPr="00BA00B7" w:rsidRDefault="003724FE" w:rsidP="00722A14">
            <w:pPr>
              <w:pStyle w:val="Tablecondensedheading"/>
              <w:keepNext/>
              <w:rPr>
                <w:lang w:val="en-AU"/>
              </w:rPr>
            </w:pPr>
            <w:r w:rsidRPr="00BA00B7">
              <w:rPr>
                <w:lang w:val="en-AU"/>
              </w:rPr>
              <w:t>0</w:t>
            </w:r>
          </w:p>
        </w:tc>
        <w:tc>
          <w:tcPr>
            <w:tcW w:w="567" w:type="dxa"/>
          </w:tcPr>
          <w:p w14:paraId="3870CDA5" w14:textId="77777777" w:rsidR="003724FE" w:rsidRPr="00BA00B7" w:rsidRDefault="003724FE" w:rsidP="00722A14">
            <w:pPr>
              <w:pStyle w:val="Tablecondensedheading"/>
              <w:keepNext/>
              <w:rPr>
                <w:lang w:val="en-AU"/>
              </w:rPr>
            </w:pPr>
            <w:r w:rsidRPr="00BA00B7">
              <w:rPr>
                <w:lang w:val="en-AU"/>
              </w:rPr>
              <w:t>1</w:t>
            </w:r>
          </w:p>
        </w:tc>
        <w:tc>
          <w:tcPr>
            <w:tcW w:w="708" w:type="dxa"/>
          </w:tcPr>
          <w:p w14:paraId="5A8E0B81" w14:textId="77777777" w:rsidR="003724FE" w:rsidRPr="00BA00B7" w:rsidRDefault="003724FE" w:rsidP="00722A14">
            <w:pPr>
              <w:pStyle w:val="Tablecondensedheading"/>
              <w:keepNext/>
              <w:rPr>
                <w:lang w:val="en-AU"/>
              </w:rPr>
            </w:pPr>
            <w:r>
              <w:rPr>
                <w:lang w:val="en-AU"/>
              </w:rPr>
              <w:t>2</w:t>
            </w:r>
          </w:p>
        </w:tc>
        <w:tc>
          <w:tcPr>
            <w:tcW w:w="567" w:type="dxa"/>
          </w:tcPr>
          <w:p w14:paraId="165C4888" w14:textId="77777777" w:rsidR="003724FE" w:rsidRPr="00BA00B7" w:rsidRDefault="003724FE" w:rsidP="00722A14">
            <w:pPr>
              <w:pStyle w:val="Tablecondensedheading"/>
              <w:keepNext/>
              <w:rPr>
                <w:lang w:val="en-AU"/>
              </w:rPr>
            </w:pPr>
            <w:r>
              <w:rPr>
                <w:lang w:val="en-AU"/>
              </w:rPr>
              <w:t>3</w:t>
            </w:r>
          </w:p>
        </w:tc>
        <w:tc>
          <w:tcPr>
            <w:tcW w:w="709" w:type="dxa"/>
          </w:tcPr>
          <w:p w14:paraId="6D5735C3" w14:textId="77777777" w:rsidR="003724FE" w:rsidRPr="00BA00B7" w:rsidRDefault="003724FE" w:rsidP="00722A14">
            <w:pPr>
              <w:pStyle w:val="Tablecondensedheading"/>
              <w:keepNext/>
              <w:rPr>
                <w:lang w:val="en-AU"/>
              </w:rPr>
            </w:pPr>
            <w:r>
              <w:rPr>
                <w:lang w:val="en-AU"/>
              </w:rPr>
              <w:t>4</w:t>
            </w:r>
          </w:p>
        </w:tc>
        <w:tc>
          <w:tcPr>
            <w:tcW w:w="709" w:type="dxa"/>
          </w:tcPr>
          <w:p w14:paraId="45B6680F" w14:textId="77777777" w:rsidR="003724FE" w:rsidRPr="00BA00B7" w:rsidRDefault="003724FE" w:rsidP="00722A14">
            <w:pPr>
              <w:pStyle w:val="Tablecondensedheading"/>
              <w:keepNext/>
              <w:rPr>
                <w:lang w:val="en-AU"/>
              </w:rPr>
            </w:pPr>
            <w:r>
              <w:rPr>
                <w:lang w:val="en-AU"/>
              </w:rPr>
              <w:t>5</w:t>
            </w:r>
          </w:p>
        </w:tc>
        <w:tc>
          <w:tcPr>
            <w:tcW w:w="709" w:type="dxa"/>
          </w:tcPr>
          <w:p w14:paraId="01C2E8C9" w14:textId="77777777" w:rsidR="003724FE" w:rsidRDefault="003724FE" w:rsidP="00722A14">
            <w:pPr>
              <w:pStyle w:val="Tablecondensedheading"/>
              <w:keepNext/>
              <w:rPr>
                <w:lang w:val="en-AU"/>
              </w:rPr>
            </w:pPr>
            <w:r>
              <w:rPr>
                <w:lang w:val="en-AU"/>
              </w:rPr>
              <w:t>6</w:t>
            </w:r>
          </w:p>
        </w:tc>
        <w:tc>
          <w:tcPr>
            <w:tcW w:w="709" w:type="dxa"/>
          </w:tcPr>
          <w:p w14:paraId="2D6918A0" w14:textId="77777777" w:rsidR="003724FE" w:rsidRDefault="003724FE" w:rsidP="00722A14">
            <w:pPr>
              <w:pStyle w:val="Tablecondensedheading"/>
              <w:keepNext/>
              <w:rPr>
                <w:lang w:val="en-AU"/>
              </w:rPr>
            </w:pPr>
            <w:r>
              <w:rPr>
                <w:lang w:val="en-AU"/>
              </w:rPr>
              <w:t>7</w:t>
            </w:r>
          </w:p>
        </w:tc>
        <w:tc>
          <w:tcPr>
            <w:tcW w:w="709" w:type="dxa"/>
          </w:tcPr>
          <w:p w14:paraId="33E26F0C" w14:textId="77777777" w:rsidR="003724FE" w:rsidRDefault="003724FE" w:rsidP="00722A14">
            <w:pPr>
              <w:pStyle w:val="Tablecondensedheading"/>
              <w:keepNext/>
              <w:rPr>
                <w:lang w:val="en-AU"/>
              </w:rPr>
            </w:pPr>
            <w:r>
              <w:rPr>
                <w:lang w:val="en-AU"/>
              </w:rPr>
              <w:t>8</w:t>
            </w:r>
          </w:p>
        </w:tc>
        <w:tc>
          <w:tcPr>
            <w:tcW w:w="709" w:type="dxa"/>
          </w:tcPr>
          <w:p w14:paraId="10CADD54" w14:textId="77777777" w:rsidR="003724FE" w:rsidRDefault="003724FE" w:rsidP="00722A14">
            <w:pPr>
              <w:pStyle w:val="Tablecondensedheading"/>
              <w:keepNext/>
              <w:rPr>
                <w:lang w:val="en-AU"/>
              </w:rPr>
            </w:pPr>
            <w:r>
              <w:rPr>
                <w:lang w:val="en-AU"/>
              </w:rPr>
              <w:t>9</w:t>
            </w:r>
          </w:p>
        </w:tc>
        <w:tc>
          <w:tcPr>
            <w:tcW w:w="709" w:type="dxa"/>
          </w:tcPr>
          <w:p w14:paraId="51999B4F" w14:textId="77777777" w:rsidR="003724FE" w:rsidRPr="00BA00B7" w:rsidRDefault="003724FE" w:rsidP="00722A14">
            <w:pPr>
              <w:pStyle w:val="Tablecondensedheading"/>
              <w:keepNext/>
              <w:rPr>
                <w:lang w:val="en-AU"/>
              </w:rPr>
            </w:pPr>
            <w:r>
              <w:rPr>
                <w:lang w:val="en-AU"/>
              </w:rPr>
              <w:t>10</w:t>
            </w:r>
          </w:p>
        </w:tc>
        <w:tc>
          <w:tcPr>
            <w:tcW w:w="864" w:type="dxa"/>
          </w:tcPr>
          <w:p w14:paraId="0CE7FD98" w14:textId="77777777" w:rsidR="003724FE" w:rsidRPr="00BA00B7" w:rsidRDefault="003724FE" w:rsidP="00722A14">
            <w:pPr>
              <w:pStyle w:val="Tablecondensedheading"/>
              <w:keepNext/>
              <w:rPr>
                <w:lang w:val="en-AU"/>
              </w:rPr>
            </w:pPr>
            <w:r w:rsidRPr="00BA00B7">
              <w:rPr>
                <w:lang w:val="en-AU"/>
              </w:rPr>
              <w:t>Average</w:t>
            </w:r>
          </w:p>
        </w:tc>
      </w:tr>
      <w:tr w:rsidR="003724FE" w:rsidRPr="00D923D6" w14:paraId="4C1CCB9D" w14:textId="77777777" w:rsidTr="009A6B0A">
        <w:trPr>
          <w:trHeight w:hRule="exact" w:val="397"/>
        </w:trPr>
        <w:tc>
          <w:tcPr>
            <w:tcW w:w="864" w:type="dxa"/>
          </w:tcPr>
          <w:p w14:paraId="66745111" w14:textId="77777777" w:rsidR="003724FE" w:rsidRPr="00D923D6" w:rsidRDefault="003724FE" w:rsidP="00722A14">
            <w:pPr>
              <w:pStyle w:val="Tablecondensed"/>
              <w:keepNext/>
            </w:pPr>
            <w:r w:rsidRPr="00D923D6">
              <w:t>%</w:t>
            </w:r>
          </w:p>
        </w:tc>
        <w:tc>
          <w:tcPr>
            <w:tcW w:w="691" w:type="dxa"/>
            <w:vAlign w:val="bottom"/>
          </w:tcPr>
          <w:p w14:paraId="1756E407" w14:textId="7FC815C1" w:rsidR="003724FE" w:rsidRPr="00D923D6" w:rsidRDefault="003724FE" w:rsidP="00722A14">
            <w:pPr>
              <w:pStyle w:val="Tablecondensed"/>
              <w:keepNext/>
            </w:pPr>
            <w:r w:rsidRPr="00D923D6">
              <w:t>3</w:t>
            </w:r>
          </w:p>
        </w:tc>
        <w:tc>
          <w:tcPr>
            <w:tcW w:w="567" w:type="dxa"/>
            <w:vAlign w:val="bottom"/>
          </w:tcPr>
          <w:p w14:paraId="7B7694C4" w14:textId="18F863AF" w:rsidR="003724FE" w:rsidRPr="00D923D6" w:rsidRDefault="003724FE" w:rsidP="00722A14">
            <w:pPr>
              <w:pStyle w:val="Tablecondensed"/>
              <w:keepNext/>
            </w:pPr>
            <w:r w:rsidRPr="00D923D6">
              <w:t>7</w:t>
            </w:r>
          </w:p>
        </w:tc>
        <w:tc>
          <w:tcPr>
            <w:tcW w:w="708" w:type="dxa"/>
            <w:vAlign w:val="bottom"/>
          </w:tcPr>
          <w:p w14:paraId="0F361433" w14:textId="3B66BEC0" w:rsidR="003724FE" w:rsidRPr="00D923D6" w:rsidRDefault="003724FE" w:rsidP="00722A14">
            <w:pPr>
              <w:pStyle w:val="Tablecondensed"/>
              <w:keepNext/>
            </w:pPr>
            <w:r w:rsidRPr="00D923D6">
              <w:t>9</w:t>
            </w:r>
          </w:p>
        </w:tc>
        <w:tc>
          <w:tcPr>
            <w:tcW w:w="567" w:type="dxa"/>
            <w:vAlign w:val="bottom"/>
          </w:tcPr>
          <w:p w14:paraId="28B198B5" w14:textId="2E1229C4" w:rsidR="003724FE" w:rsidRPr="00D923D6" w:rsidRDefault="003724FE" w:rsidP="00722A14">
            <w:pPr>
              <w:pStyle w:val="Tablecondensed"/>
              <w:keepNext/>
            </w:pPr>
            <w:r w:rsidRPr="00D923D6">
              <w:t>12</w:t>
            </w:r>
          </w:p>
        </w:tc>
        <w:tc>
          <w:tcPr>
            <w:tcW w:w="709" w:type="dxa"/>
            <w:vAlign w:val="bottom"/>
          </w:tcPr>
          <w:p w14:paraId="403C29BA" w14:textId="6FCD41EF" w:rsidR="003724FE" w:rsidRPr="00D923D6" w:rsidRDefault="003724FE" w:rsidP="00722A14">
            <w:pPr>
              <w:pStyle w:val="Tablecondensed"/>
              <w:keepNext/>
            </w:pPr>
            <w:r w:rsidRPr="00D923D6">
              <w:t>17</w:t>
            </w:r>
          </w:p>
        </w:tc>
        <w:tc>
          <w:tcPr>
            <w:tcW w:w="709" w:type="dxa"/>
            <w:vAlign w:val="bottom"/>
          </w:tcPr>
          <w:p w14:paraId="5F199378" w14:textId="6382127E" w:rsidR="003724FE" w:rsidRPr="00D923D6" w:rsidRDefault="003724FE" w:rsidP="00722A14">
            <w:pPr>
              <w:pStyle w:val="Tablecondensed"/>
              <w:keepNext/>
            </w:pPr>
            <w:r w:rsidRPr="00D923D6">
              <w:t>17</w:t>
            </w:r>
          </w:p>
        </w:tc>
        <w:tc>
          <w:tcPr>
            <w:tcW w:w="709" w:type="dxa"/>
            <w:vAlign w:val="bottom"/>
          </w:tcPr>
          <w:p w14:paraId="733B46B2" w14:textId="4FDB26FB" w:rsidR="003724FE" w:rsidRPr="00D923D6" w:rsidRDefault="003724FE" w:rsidP="00722A14">
            <w:pPr>
              <w:pStyle w:val="Tablecondensed"/>
              <w:keepNext/>
            </w:pPr>
            <w:r w:rsidRPr="00D923D6">
              <w:t>12</w:t>
            </w:r>
          </w:p>
        </w:tc>
        <w:tc>
          <w:tcPr>
            <w:tcW w:w="709" w:type="dxa"/>
            <w:vAlign w:val="bottom"/>
          </w:tcPr>
          <w:p w14:paraId="44140E47" w14:textId="0BD61792" w:rsidR="003724FE" w:rsidRPr="00D923D6" w:rsidRDefault="003724FE" w:rsidP="00722A14">
            <w:pPr>
              <w:pStyle w:val="Tablecondensed"/>
              <w:keepNext/>
            </w:pPr>
            <w:r w:rsidRPr="00D923D6">
              <w:t>11</w:t>
            </w:r>
          </w:p>
        </w:tc>
        <w:tc>
          <w:tcPr>
            <w:tcW w:w="709" w:type="dxa"/>
            <w:vAlign w:val="bottom"/>
          </w:tcPr>
          <w:p w14:paraId="50749E1F" w14:textId="087A314F" w:rsidR="003724FE" w:rsidRPr="00D923D6" w:rsidRDefault="003724FE" w:rsidP="00722A14">
            <w:pPr>
              <w:pStyle w:val="Tablecondensed"/>
              <w:keepNext/>
            </w:pPr>
            <w:r w:rsidRPr="00D923D6">
              <w:t>6</w:t>
            </w:r>
          </w:p>
        </w:tc>
        <w:tc>
          <w:tcPr>
            <w:tcW w:w="709" w:type="dxa"/>
            <w:vAlign w:val="bottom"/>
          </w:tcPr>
          <w:p w14:paraId="24E2ED6B" w14:textId="34735425" w:rsidR="003724FE" w:rsidRPr="00D923D6" w:rsidRDefault="003724FE" w:rsidP="00722A14">
            <w:pPr>
              <w:pStyle w:val="Tablecondensed"/>
              <w:keepNext/>
            </w:pPr>
            <w:r w:rsidRPr="00D923D6">
              <w:t>4</w:t>
            </w:r>
          </w:p>
        </w:tc>
        <w:tc>
          <w:tcPr>
            <w:tcW w:w="709" w:type="dxa"/>
            <w:vAlign w:val="bottom"/>
          </w:tcPr>
          <w:p w14:paraId="30BAF9C3" w14:textId="32804D09" w:rsidR="003724FE" w:rsidRPr="00D923D6" w:rsidRDefault="003724FE" w:rsidP="00722A14">
            <w:pPr>
              <w:pStyle w:val="Tablecondensed"/>
              <w:keepNext/>
            </w:pPr>
            <w:r w:rsidRPr="00D923D6">
              <w:t>1</w:t>
            </w:r>
          </w:p>
        </w:tc>
        <w:tc>
          <w:tcPr>
            <w:tcW w:w="864" w:type="dxa"/>
            <w:vAlign w:val="bottom"/>
          </w:tcPr>
          <w:p w14:paraId="100C8A28" w14:textId="48663F01" w:rsidR="003724FE" w:rsidRPr="00D923D6" w:rsidRDefault="003724FE" w:rsidP="00722A14">
            <w:pPr>
              <w:pStyle w:val="Tablecondensed"/>
              <w:keepNext/>
            </w:pPr>
            <w:r w:rsidRPr="00D923D6">
              <w:t>4.6</w:t>
            </w:r>
          </w:p>
        </w:tc>
      </w:tr>
    </w:tbl>
    <w:p w14:paraId="33638D11" w14:textId="42B1E21D" w:rsidR="00E80B40" w:rsidRPr="006D6D07" w:rsidRDefault="00E80B40" w:rsidP="006D6D07">
      <w:pPr>
        <w:pStyle w:val="BodyText"/>
      </w:pPr>
      <w:r>
        <w:t xml:space="preserve">Question </w:t>
      </w:r>
      <w:r w:rsidR="00A84CA2">
        <w:t>2</w:t>
      </w:r>
      <w:r>
        <w:t xml:space="preserve">b. required students to evaluate the </w:t>
      </w:r>
      <w:r w:rsidR="00A84CA2">
        <w:t>impact of the White Australia policies on Australian population patterns between 1901 and 1913</w:t>
      </w:r>
      <w:r>
        <w:t xml:space="preserve">, using Source </w:t>
      </w:r>
      <w:r w:rsidR="00A84CA2">
        <w:t>6</w:t>
      </w:r>
      <w:r>
        <w:t xml:space="preserve"> and other evidence to support their answer.</w:t>
      </w:r>
      <w:r w:rsidR="006D6D07">
        <w:t xml:space="preserve"> </w:t>
      </w:r>
      <w:r w:rsidR="00EA4A38">
        <w:t>Higher</w:t>
      </w:r>
      <w:r w:rsidR="001C10E9">
        <w:t>-</w:t>
      </w:r>
      <w:r w:rsidR="00EA4A38">
        <w:t xml:space="preserve">scoring responses were able to identify the changes and continuities that occurred as a result of the White Australia policies </w:t>
      </w:r>
      <w:r w:rsidR="001C10E9">
        <w:t xml:space="preserve">and their impact </w:t>
      </w:r>
      <w:r w:rsidR="00EA4A38">
        <w:t>on Australian population patterns.</w:t>
      </w:r>
      <w:r w:rsidR="006D6D07">
        <w:t xml:space="preserve"> </w:t>
      </w:r>
      <w:r w:rsidR="00EA4A38">
        <w:t xml:space="preserve">Many </w:t>
      </w:r>
      <w:r w:rsidR="00822CB6">
        <w:t>responses i</w:t>
      </w:r>
      <w:r w:rsidR="00EA4A38">
        <w:t xml:space="preserve">dentified that Australians during the period continued to see the country as a place for white British Australians, </w:t>
      </w:r>
      <w:r w:rsidR="00C22353">
        <w:t xml:space="preserve">and this was symbolised by the </w:t>
      </w:r>
      <w:r w:rsidR="00C22353" w:rsidRPr="0017038D">
        <w:rPr>
          <w:rStyle w:val="Emphasis"/>
        </w:rPr>
        <w:t>Immigration Restriction Act 1901</w:t>
      </w:r>
      <w:r w:rsidR="00C22353">
        <w:t>, which placed restrictions on the migration of non-white people.</w:t>
      </w:r>
      <w:r w:rsidR="006D6D07">
        <w:t xml:space="preserve"> </w:t>
      </w:r>
      <w:r w:rsidR="00C22353">
        <w:t xml:space="preserve">Furthermore, other laws such as the </w:t>
      </w:r>
      <w:r w:rsidR="00C22353" w:rsidRPr="0017038D">
        <w:rPr>
          <w:rStyle w:val="Emphasis"/>
        </w:rPr>
        <w:t>Sugar Bount</w:t>
      </w:r>
      <w:r w:rsidR="001C10E9" w:rsidRPr="0017038D">
        <w:rPr>
          <w:rStyle w:val="Emphasis"/>
        </w:rPr>
        <w:t>y</w:t>
      </w:r>
      <w:r w:rsidR="00C22353" w:rsidRPr="0017038D">
        <w:rPr>
          <w:rStyle w:val="Emphasis"/>
        </w:rPr>
        <w:t xml:space="preserve"> Act 1905</w:t>
      </w:r>
      <w:r w:rsidR="00C22353">
        <w:t xml:space="preserve"> </w:t>
      </w:r>
      <w:r w:rsidR="002B410E">
        <w:t>incentivised</w:t>
      </w:r>
      <w:r w:rsidR="00C22353">
        <w:t xml:space="preserve"> the use of white labour.</w:t>
      </w:r>
      <w:r w:rsidR="006D6D07">
        <w:t xml:space="preserve"> </w:t>
      </w:r>
      <w:r w:rsidR="00C22353">
        <w:t>Higher</w:t>
      </w:r>
      <w:r w:rsidR="001C10E9">
        <w:t>-</w:t>
      </w:r>
      <w:r w:rsidR="00C22353">
        <w:t xml:space="preserve">scoring responses also noted changes that occurred, such as the deportation of Pacific Islander </w:t>
      </w:r>
      <w:r w:rsidR="00722A14">
        <w:t>l</w:t>
      </w:r>
      <w:r w:rsidR="00C22353">
        <w:t xml:space="preserve">abourers under the </w:t>
      </w:r>
      <w:r w:rsidR="00C22353" w:rsidRPr="0017038D">
        <w:rPr>
          <w:rStyle w:val="Emphasis"/>
        </w:rPr>
        <w:t>Pacific Island Labourers Act 1901</w:t>
      </w:r>
      <w:r w:rsidR="00C22353">
        <w:t>, which further contributed to a nation that was almost complete</w:t>
      </w:r>
      <w:r w:rsidR="542E86A9">
        <w:t>ly</w:t>
      </w:r>
      <w:r w:rsidR="00C22353">
        <w:t xml:space="preserve"> white and British in character by 1913.</w:t>
      </w:r>
      <w:r w:rsidR="006D6D07">
        <w:t xml:space="preserve"> </w:t>
      </w:r>
      <w:r w:rsidR="000829A1">
        <w:t xml:space="preserve">Some responses also noted the role of the </w:t>
      </w:r>
      <w:r w:rsidR="000829A1" w:rsidRPr="0017038D">
        <w:rPr>
          <w:rStyle w:val="Emphasis"/>
        </w:rPr>
        <w:t>Maternity Allowance Act</w:t>
      </w:r>
      <w:r w:rsidR="001C10E9" w:rsidRPr="0017038D">
        <w:rPr>
          <w:rStyle w:val="Emphasis"/>
        </w:rPr>
        <w:t xml:space="preserve"> 1912</w:t>
      </w:r>
      <w:r w:rsidR="000829A1">
        <w:t xml:space="preserve"> in further encouraging the birth of white children to grow Australia’s population.</w:t>
      </w:r>
      <w:r w:rsidR="006D6D07">
        <w:t xml:space="preserve"> </w:t>
      </w:r>
    </w:p>
    <w:p w14:paraId="08C3C7C6" w14:textId="77777777" w:rsidR="00740773" w:rsidRPr="006D6D07" w:rsidRDefault="00822CB6" w:rsidP="006D6D07">
      <w:pPr>
        <w:pStyle w:val="BodyText"/>
        <w:rPr>
          <w:highlight w:val="lightGray"/>
        </w:rPr>
      </w:pPr>
      <w:bookmarkStart w:id="0" w:name="_Hlk216857193"/>
      <w:r w:rsidRPr="006D6D07">
        <w:t>The following is an example of a high-scoring response:</w:t>
      </w:r>
      <w:bookmarkEnd w:id="0"/>
    </w:p>
    <w:p w14:paraId="18D47A87" w14:textId="3A5EFDF8" w:rsidR="00AA472D" w:rsidRPr="00CA5021" w:rsidRDefault="00AA472D" w:rsidP="00CA5021">
      <w:pPr>
        <w:pStyle w:val="Studentsamples"/>
      </w:pPr>
      <w:r w:rsidRPr="00CA5021">
        <w:t>White Australia policies had a profound impact on population patterns between 1901 and 1913 as they aimed to filter out unwanted migrants.</w:t>
      </w:r>
      <w:r w:rsidR="006D6D07" w:rsidRPr="00CA5021">
        <w:t xml:space="preserve"> </w:t>
      </w:r>
      <w:r w:rsidRPr="00CA5021">
        <w:t>The White Australia policy, enacted in 1901, was underpinned by ideas of white superiority and fears of racial contamination.</w:t>
      </w:r>
      <w:r w:rsidR="006D6D07" w:rsidRPr="00CA5021">
        <w:t xml:space="preserve"> </w:t>
      </w:r>
      <w:r w:rsidRPr="00CA5021">
        <w:t xml:space="preserve">Legislation such as the Immigrations Restriction Act </w:t>
      </w:r>
      <w:r w:rsidR="00D66441" w:rsidRPr="00CA5021">
        <w:t xml:space="preserve">[sic] </w:t>
      </w:r>
      <w:r w:rsidRPr="00CA5021">
        <w:t xml:space="preserve">and the Pacific Islanders Labourers Act </w:t>
      </w:r>
      <w:r w:rsidR="00D66441" w:rsidRPr="00CA5021">
        <w:t xml:space="preserve">[sic] </w:t>
      </w:r>
      <w:r w:rsidRPr="00CA5021">
        <w:t xml:space="preserve">in 1901 aimed to maintain Australia as a white </w:t>
      </w:r>
      <w:r w:rsidR="00454955" w:rsidRPr="00CA5021">
        <w:t xml:space="preserve">Source 6 depicts how racist beliefs shaped immigration policies and its intended results: </w:t>
      </w:r>
      <w:r w:rsidR="000B5B15" w:rsidRPr="00CA5021">
        <w:t>‘</w:t>
      </w:r>
      <w:r w:rsidR="00454955" w:rsidRPr="00CA5021">
        <w:t>they intended to hold the continent for British Australians against the world.</w:t>
      </w:r>
      <w:r w:rsidR="000B5B15" w:rsidRPr="00CA5021">
        <w:t>’</w:t>
      </w:r>
      <w:r w:rsidR="006D6D07" w:rsidRPr="00CA5021">
        <w:t xml:space="preserve"> </w:t>
      </w:r>
      <w:r w:rsidR="00454955" w:rsidRPr="00CA5021">
        <w:t>This demonstrates the ultimate desire to create a British white nation, as they believed it would not be compatible with a functioning democracy.</w:t>
      </w:r>
      <w:r w:rsidR="006D6D07" w:rsidRPr="00CA5021">
        <w:t xml:space="preserve"> </w:t>
      </w:r>
      <w:r w:rsidR="00454955" w:rsidRPr="00CA5021">
        <w:t>This shows that racist perceptions on uncivilised societies dictated migration patterns, maintaining a white, British nation.</w:t>
      </w:r>
      <w:r w:rsidR="006D6D07" w:rsidRPr="00CA5021">
        <w:t xml:space="preserve"> </w:t>
      </w:r>
    </w:p>
    <w:p w14:paraId="23A707DF" w14:textId="1AC4CAD9" w:rsidR="00F7619A" w:rsidRPr="00CA5021" w:rsidRDefault="00F7619A" w:rsidP="00CA5021">
      <w:pPr>
        <w:pStyle w:val="Studentsamples"/>
      </w:pPr>
      <w:r w:rsidRPr="00CA5021">
        <w:t>The dictation test was used to restrict Chinese migrants whilst allowing desirable European migrants to maintain a white Australia.</w:t>
      </w:r>
      <w:r w:rsidR="006D6D07" w:rsidRPr="00CA5021">
        <w:t xml:space="preserve"> </w:t>
      </w:r>
      <w:r w:rsidRPr="00CA5021">
        <w:t xml:space="preserve">In addition, the Pacific Islands Labourers Act </w:t>
      </w:r>
      <w:r w:rsidR="00D66441" w:rsidRPr="00CA5021">
        <w:t xml:space="preserve">[sic] </w:t>
      </w:r>
      <w:r w:rsidRPr="00CA5021">
        <w:t>deported 7500 Islanders who were often forcibly taken from their homelands, dispossessing a large number of people on the basis of racial identity.</w:t>
      </w:r>
      <w:r w:rsidR="006D6D07" w:rsidRPr="00CA5021">
        <w:t xml:space="preserve"> </w:t>
      </w:r>
      <w:r w:rsidRPr="00CA5021">
        <w:t>Thus, these policies restricted non-white immigration.</w:t>
      </w:r>
      <w:r w:rsidR="006D6D07" w:rsidRPr="00CA5021">
        <w:t xml:space="preserve"> </w:t>
      </w:r>
      <w:r w:rsidRPr="00CA5021">
        <w:t xml:space="preserve">This is endorsed by the </w:t>
      </w:r>
      <w:r w:rsidR="00F87509" w:rsidRPr="00CA5021">
        <w:t>decrease of Chinese migration, which had seen an influx during the gold rush, and maintaining a ‘pure’ white Australia.</w:t>
      </w:r>
      <w:r w:rsidR="006D6D07" w:rsidRPr="00CA5021">
        <w:t xml:space="preserve"> </w:t>
      </w:r>
      <w:r w:rsidR="00F87509" w:rsidRPr="00CA5021">
        <w:t>The white Australia policy achieved its aims as by 1911, 98% of the Australian population was white.</w:t>
      </w:r>
      <w:r w:rsidR="006D6D07" w:rsidRPr="00CA5021">
        <w:t xml:space="preserve"> </w:t>
      </w:r>
      <w:r w:rsidR="00F87509" w:rsidRPr="00CA5021">
        <w:t>Thus, the white Australia policies were critical in controlling patter</w:t>
      </w:r>
      <w:r w:rsidR="00D66441" w:rsidRPr="00CA5021">
        <w:t>n</w:t>
      </w:r>
      <w:r w:rsidR="00F87509" w:rsidRPr="00CA5021">
        <w:t>s of migration and maintaining a white Australia.</w:t>
      </w:r>
      <w:r w:rsidR="006D6D07" w:rsidRPr="00CA5021">
        <w:t xml:space="preserve"> </w:t>
      </w:r>
    </w:p>
    <w:p w14:paraId="6810E3B1" w14:textId="77777777" w:rsidR="00E22285" w:rsidRDefault="00E22285" w:rsidP="006D6D07">
      <w:pPr>
        <w:pStyle w:val="Heading3"/>
      </w:pPr>
      <w:r w:rsidRPr="00BA00B7">
        <w:t xml:space="preserve">Question </w:t>
      </w:r>
      <w:r>
        <w:t>2</w:t>
      </w:r>
      <w:r w:rsidRPr="00BA00B7">
        <w:t>c.</w:t>
      </w:r>
    </w:p>
    <w:tbl>
      <w:tblPr>
        <w:tblStyle w:val="VCAATableClosed"/>
        <w:tblW w:w="0" w:type="auto"/>
        <w:tblLook w:val="01E0" w:firstRow="1" w:lastRow="1" w:firstColumn="1" w:lastColumn="1" w:noHBand="0" w:noVBand="0"/>
      </w:tblPr>
      <w:tblGrid>
        <w:gridCol w:w="864"/>
        <w:gridCol w:w="691"/>
        <w:gridCol w:w="567"/>
        <w:gridCol w:w="708"/>
        <w:gridCol w:w="864"/>
        <w:gridCol w:w="864"/>
      </w:tblGrid>
      <w:tr w:rsidR="003724FE" w:rsidRPr="00BA00B7" w14:paraId="1A902C96" w14:textId="77777777" w:rsidTr="00D40596">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D7836E6" w14:textId="77777777" w:rsidR="003724FE" w:rsidRPr="00BA00B7" w:rsidRDefault="003724FE" w:rsidP="00D923D6">
            <w:pPr>
              <w:pStyle w:val="Tablecondensedheading"/>
              <w:rPr>
                <w:lang w:val="en-AU"/>
              </w:rPr>
            </w:pPr>
            <w:r w:rsidRPr="00BA00B7">
              <w:rPr>
                <w:lang w:val="en-AU"/>
              </w:rPr>
              <w:t>Marks</w:t>
            </w:r>
          </w:p>
        </w:tc>
        <w:tc>
          <w:tcPr>
            <w:tcW w:w="691" w:type="dxa"/>
          </w:tcPr>
          <w:p w14:paraId="57DECDF9" w14:textId="77777777" w:rsidR="003724FE" w:rsidRPr="00BA00B7" w:rsidRDefault="003724FE" w:rsidP="00D923D6">
            <w:pPr>
              <w:pStyle w:val="Tablecondensedheading"/>
              <w:rPr>
                <w:lang w:val="en-AU"/>
              </w:rPr>
            </w:pPr>
            <w:r w:rsidRPr="00BA00B7">
              <w:rPr>
                <w:lang w:val="en-AU"/>
              </w:rPr>
              <w:t>0</w:t>
            </w:r>
          </w:p>
        </w:tc>
        <w:tc>
          <w:tcPr>
            <w:tcW w:w="567" w:type="dxa"/>
          </w:tcPr>
          <w:p w14:paraId="1990C10C" w14:textId="77777777" w:rsidR="003724FE" w:rsidRPr="00BA00B7" w:rsidRDefault="003724FE" w:rsidP="00D923D6">
            <w:pPr>
              <w:pStyle w:val="Tablecondensedheading"/>
              <w:rPr>
                <w:lang w:val="en-AU"/>
              </w:rPr>
            </w:pPr>
            <w:r w:rsidRPr="00BA00B7">
              <w:rPr>
                <w:lang w:val="en-AU"/>
              </w:rPr>
              <w:t>1</w:t>
            </w:r>
          </w:p>
        </w:tc>
        <w:tc>
          <w:tcPr>
            <w:tcW w:w="708" w:type="dxa"/>
          </w:tcPr>
          <w:p w14:paraId="614A98F0" w14:textId="77777777" w:rsidR="003724FE" w:rsidRPr="00BA00B7" w:rsidRDefault="003724FE" w:rsidP="00D923D6">
            <w:pPr>
              <w:pStyle w:val="Tablecondensedheading"/>
              <w:rPr>
                <w:lang w:val="en-AU"/>
              </w:rPr>
            </w:pPr>
            <w:r>
              <w:rPr>
                <w:lang w:val="en-AU"/>
              </w:rPr>
              <w:t>2</w:t>
            </w:r>
          </w:p>
        </w:tc>
        <w:tc>
          <w:tcPr>
            <w:tcW w:w="864" w:type="dxa"/>
          </w:tcPr>
          <w:p w14:paraId="447F26D9" w14:textId="728CBC7C" w:rsidR="003724FE" w:rsidRPr="00BA00B7" w:rsidRDefault="003724FE" w:rsidP="00D923D6">
            <w:pPr>
              <w:pStyle w:val="Tablecondensedheading"/>
              <w:rPr>
                <w:lang w:val="en-AU"/>
              </w:rPr>
            </w:pPr>
            <w:r>
              <w:rPr>
                <w:lang w:val="en-AU"/>
              </w:rPr>
              <w:t>3</w:t>
            </w:r>
          </w:p>
        </w:tc>
        <w:tc>
          <w:tcPr>
            <w:tcW w:w="864" w:type="dxa"/>
          </w:tcPr>
          <w:p w14:paraId="05DA1625" w14:textId="7BA00224" w:rsidR="003724FE" w:rsidRPr="00BA00B7" w:rsidRDefault="003724FE" w:rsidP="00D923D6">
            <w:pPr>
              <w:pStyle w:val="Tablecondensedheading"/>
              <w:rPr>
                <w:lang w:val="en-AU"/>
              </w:rPr>
            </w:pPr>
            <w:r w:rsidRPr="00BA00B7">
              <w:rPr>
                <w:lang w:val="en-AU"/>
              </w:rPr>
              <w:t>Average</w:t>
            </w:r>
          </w:p>
        </w:tc>
      </w:tr>
      <w:tr w:rsidR="003724FE" w:rsidRPr="00D923D6" w14:paraId="0FD62966" w14:textId="77777777" w:rsidTr="00C76E6F">
        <w:trPr>
          <w:trHeight w:hRule="exact" w:val="397"/>
        </w:trPr>
        <w:tc>
          <w:tcPr>
            <w:tcW w:w="864" w:type="dxa"/>
          </w:tcPr>
          <w:p w14:paraId="280B313D" w14:textId="77777777" w:rsidR="003724FE" w:rsidRPr="00D923D6" w:rsidRDefault="003724FE" w:rsidP="00D923D6">
            <w:pPr>
              <w:pStyle w:val="Tablecondensed"/>
            </w:pPr>
            <w:r w:rsidRPr="00D923D6">
              <w:t>%</w:t>
            </w:r>
          </w:p>
        </w:tc>
        <w:tc>
          <w:tcPr>
            <w:tcW w:w="691" w:type="dxa"/>
            <w:vAlign w:val="bottom"/>
          </w:tcPr>
          <w:p w14:paraId="506CB438" w14:textId="425F0733" w:rsidR="003724FE" w:rsidRPr="00D923D6" w:rsidRDefault="003724FE" w:rsidP="00D923D6">
            <w:pPr>
              <w:pStyle w:val="Tablecondensed"/>
            </w:pPr>
            <w:r w:rsidRPr="00D923D6">
              <w:t>1</w:t>
            </w:r>
          </w:p>
        </w:tc>
        <w:tc>
          <w:tcPr>
            <w:tcW w:w="567" w:type="dxa"/>
            <w:vAlign w:val="bottom"/>
          </w:tcPr>
          <w:p w14:paraId="754AB7FC" w14:textId="467B7DD7" w:rsidR="003724FE" w:rsidRPr="00D923D6" w:rsidRDefault="003724FE" w:rsidP="00D923D6">
            <w:pPr>
              <w:pStyle w:val="Tablecondensed"/>
            </w:pPr>
            <w:r w:rsidRPr="00D923D6">
              <w:t>10</w:t>
            </w:r>
          </w:p>
        </w:tc>
        <w:tc>
          <w:tcPr>
            <w:tcW w:w="708" w:type="dxa"/>
            <w:vAlign w:val="bottom"/>
          </w:tcPr>
          <w:p w14:paraId="4E81311D" w14:textId="5D7644B5" w:rsidR="003724FE" w:rsidRPr="00D923D6" w:rsidRDefault="003724FE" w:rsidP="00D923D6">
            <w:pPr>
              <w:pStyle w:val="Tablecondensed"/>
            </w:pPr>
            <w:r w:rsidRPr="00D923D6">
              <w:t>29</w:t>
            </w:r>
          </w:p>
        </w:tc>
        <w:tc>
          <w:tcPr>
            <w:tcW w:w="864" w:type="dxa"/>
            <w:vAlign w:val="bottom"/>
          </w:tcPr>
          <w:p w14:paraId="383C0B5D" w14:textId="31E310DC" w:rsidR="003724FE" w:rsidRPr="00D923D6" w:rsidRDefault="003724FE" w:rsidP="00D923D6">
            <w:pPr>
              <w:pStyle w:val="Tablecondensed"/>
            </w:pPr>
            <w:r w:rsidRPr="00D923D6">
              <w:t>60</w:t>
            </w:r>
          </w:p>
        </w:tc>
        <w:tc>
          <w:tcPr>
            <w:tcW w:w="864" w:type="dxa"/>
          </w:tcPr>
          <w:p w14:paraId="4D45F509" w14:textId="62F02D19" w:rsidR="003724FE" w:rsidRPr="00D923D6" w:rsidRDefault="003724FE" w:rsidP="00D923D6">
            <w:pPr>
              <w:pStyle w:val="Tablecondensed"/>
            </w:pPr>
            <w:r w:rsidRPr="00D923D6">
              <w:t>2.5</w:t>
            </w:r>
          </w:p>
        </w:tc>
      </w:tr>
    </w:tbl>
    <w:p w14:paraId="32724AF0" w14:textId="241CE5D4" w:rsidR="00A84CA2" w:rsidRPr="006D6D07" w:rsidRDefault="00A84CA2" w:rsidP="006D6D07">
      <w:pPr>
        <w:pStyle w:val="BodyText"/>
      </w:pPr>
      <w:r w:rsidRPr="006D6D07">
        <w:t xml:space="preserve">Question 2c. required students to outline three reasons </w:t>
      </w:r>
      <w:r w:rsidR="00A56989" w:rsidRPr="006D6D07">
        <w:t xml:space="preserve">that were </w:t>
      </w:r>
      <w:r w:rsidR="00617618">
        <w:t>provided</w:t>
      </w:r>
      <w:r w:rsidR="00A56989" w:rsidRPr="006D6D07">
        <w:t xml:space="preserve"> in Source 7</w:t>
      </w:r>
      <w:r w:rsidR="00A56989">
        <w:t xml:space="preserve"> </w:t>
      </w:r>
      <w:r w:rsidR="0049500D" w:rsidRPr="006D6D07">
        <w:t>for the creation of the 1948 Universal Declaration of Human Rights</w:t>
      </w:r>
      <w:r w:rsidRPr="006D6D07">
        <w:t>.</w:t>
      </w:r>
    </w:p>
    <w:p w14:paraId="65B19A00" w14:textId="7D6B5308" w:rsidR="00A84CA2" w:rsidRPr="006D6D07" w:rsidRDefault="00A84CA2" w:rsidP="006D6D07">
      <w:pPr>
        <w:pStyle w:val="BodyText"/>
      </w:pPr>
      <w:r w:rsidRPr="006D6D07">
        <w:t>Fully formed sentences were required to provide the main features of the argument in the source, and included examples such as:</w:t>
      </w:r>
    </w:p>
    <w:p w14:paraId="604DD87F" w14:textId="77777777" w:rsidR="00A84CA2" w:rsidRPr="00A84CA2" w:rsidRDefault="00A84CA2" w:rsidP="0063768C">
      <w:pPr>
        <w:pStyle w:val="Bullet"/>
      </w:pPr>
      <w:r w:rsidRPr="00A84CA2">
        <w:t>The idea of the need to establish a body of international law to protect the human rights of individuals.</w:t>
      </w:r>
    </w:p>
    <w:p w14:paraId="1FC53CF5" w14:textId="2F3A07E6" w:rsidR="00A84CA2" w:rsidRPr="00A84CA2" w:rsidRDefault="00A84CA2" w:rsidP="0063768C">
      <w:pPr>
        <w:pStyle w:val="Bullet"/>
      </w:pPr>
      <w:r w:rsidRPr="00A84CA2">
        <w:t>The recognition that humans facing fear, intimidation or threats to their life are in dire need of help and protection.</w:t>
      </w:r>
    </w:p>
    <w:p w14:paraId="6CC0435D" w14:textId="07B2657A" w:rsidR="00A84CA2" w:rsidRPr="00A84CA2" w:rsidRDefault="00A84CA2" w:rsidP="0063768C">
      <w:pPr>
        <w:pStyle w:val="Bullet"/>
      </w:pPr>
      <w:r w:rsidRPr="00A84CA2">
        <w:t>Th</w:t>
      </w:r>
      <w:r w:rsidR="0049500D">
        <w:t>at the</w:t>
      </w:r>
      <w:r w:rsidRPr="00A84CA2">
        <w:t xml:space="preserve"> victims of human rights violation</w:t>
      </w:r>
      <w:r w:rsidR="00D66441">
        <w:t>s</w:t>
      </w:r>
      <w:r w:rsidRPr="00A84CA2">
        <w:t xml:space="preserve"> </w:t>
      </w:r>
      <w:r w:rsidR="00D66441">
        <w:t>are</w:t>
      </w:r>
      <w:r w:rsidR="00D66441" w:rsidRPr="00A84CA2">
        <w:t xml:space="preserve"> </w:t>
      </w:r>
      <w:r w:rsidRPr="00A84CA2">
        <w:t>the proper concern of government and the international community acting together.</w:t>
      </w:r>
    </w:p>
    <w:p w14:paraId="55995773" w14:textId="77777777" w:rsidR="00740773" w:rsidRPr="006D6D07" w:rsidRDefault="00740773" w:rsidP="006D6D07">
      <w:pPr>
        <w:pStyle w:val="BodyText"/>
        <w:rPr>
          <w:highlight w:val="lightGray"/>
        </w:rPr>
      </w:pPr>
      <w:r w:rsidRPr="006D6D07">
        <w:lastRenderedPageBreak/>
        <w:t>The following is an example of a high-scoring response:</w:t>
      </w:r>
    </w:p>
    <w:p w14:paraId="6A15A567" w14:textId="7BC9550C" w:rsidR="00E22285" w:rsidRPr="00CA5021" w:rsidRDefault="004B09A4" w:rsidP="00CA5021">
      <w:pPr>
        <w:pStyle w:val="Studentsamples"/>
        <w:rPr>
          <w:highlight w:val="lightGray"/>
        </w:rPr>
      </w:pPr>
      <w:r w:rsidRPr="00CA5021">
        <w:t xml:space="preserve">Universal Declaration of Human Rights was created due to a desire to </w:t>
      </w:r>
      <w:r w:rsidR="000B5B15" w:rsidRPr="00CA5021">
        <w:t>‘</w:t>
      </w:r>
      <w:r w:rsidRPr="00CA5021">
        <w:t>allocated human rights a prominent place on the international agenda</w:t>
      </w:r>
      <w:r w:rsidR="000B5B15" w:rsidRPr="00CA5021">
        <w:t>’</w:t>
      </w:r>
      <w:r w:rsidRPr="00CA5021">
        <w:t xml:space="preserve"> (source 7).</w:t>
      </w:r>
      <w:r w:rsidR="006D6D07" w:rsidRPr="00CA5021">
        <w:t xml:space="preserve"> </w:t>
      </w:r>
      <w:r w:rsidRPr="00CA5021">
        <w:t xml:space="preserve">It was also created due to the need for both the establishment of a </w:t>
      </w:r>
      <w:r w:rsidR="000B5B15" w:rsidRPr="00CA5021">
        <w:t>‘</w:t>
      </w:r>
      <w:r w:rsidRPr="00CA5021">
        <w:t>body of international law to protect the human rights of individuals</w:t>
      </w:r>
      <w:r w:rsidR="000B5B15" w:rsidRPr="00CA5021">
        <w:t>’</w:t>
      </w:r>
      <w:r w:rsidRPr="00CA5021">
        <w:t xml:space="preserve"> as well as the fact that </w:t>
      </w:r>
      <w:r w:rsidR="000B5B15" w:rsidRPr="00CA5021">
        <w:t>‘</w:t>
      </w:r>
      <w:r w:rsidRPr="00CA5021">
        <w:t>victims of human rights violations were the proper concern of all governments and the international community</w:t>
      </w:r>
      <w:r w:rsidR="000B5B15" w:rsidRPr="00CA5021">
        <w:t>’</w:t>
      </w:r>
      <w:r w:rsidRPr="00CA5021">
        <w:t xml:space="preserve"> and thus were </w:t>
      </w:r>
      <w:r w:rsidR="000B5B15" w:rsidRPr="00CA5021">
        <w:t>‘</w:t>
      </w:r>
      <w:r w:rsidRPr="00CA5021">
        <w:t>in dire need of help and protection</w:t>
      </w:r>
      <w:r w:rsidR="000B5B15" w:rsidRPr="00CA5021">
        <w:t>’</w:t>
      </w:r>
      <w:r w:rsidRPr="00CA5021">
        <w:t xml:space="preserve"> (source 7)</w:t>
      </w:r>
      <w:r w:rsidR="00D66441" w:rsidRPr="00CA5021">
        <w:t>.</w:t>
      </w:r>
    </w:p>
    <w:p w14:paraId="7B76FF2E" w14:textId="77777777" w:rsidR="00E22285" w:rsidRDefault="00E22285" w:rsidP="006D6D07">
      <w:pPr>
        <w:pStyle w:val="Heading3"/>
      </w:pPr>
      <w:r w:rsidRPr="00BA00B7">
        <w:t xml:space="preserve">Question </w:t>
      </w:r>
      <w:r>
        <w:t>2</w:t>
      </w:r>
      <w:r w:rsidRPr="00BA00B7">
        <w:t>d.</w:t>
      </w:r>
    </w:p>
    <w:tbl>
      <w:tblPr>
        <w:tblStyle w:val="VCAATableClosed"/>
        <w:tblW w:w="0" w:type="auto"/>
        <w:tblLook w:val="01E0" w:firstRow="1" w:lastRow="1" w:firstColumn="1" w:lastColumn="1" w:noHBand="0" w:noVBand="0"/>
      </w:tblPr>
      <w:tblGrid>
        <w:gridCol w:w="864"/>
        <w:gridCol w:w="691"/>
        <w:gridCol w:w="567"/>
        <w:gridCol w:w="708"/>
        <w:gridCol w:w="864"/>
        <w:gridCol w:w="864"/>
        <w:gridCol w:w="864"/>
      </w:tblGrid>
      <w:tr w:rsidR="003724FE" w:rsidRPr="00D923D6" w14:paraId="1B324615" w14:textId="77777777" w:rsidTr="004F738D">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5E11BFD" w14:textId="77777777" w:rsidR="003724FE" w:rsidRPr="00D923D6" w:rsidRDefault="003724FE" w:rsidP="00D923D6">
            <w:pPr>
              <w:pStyle w:val="Tablecondensedheading"/>
            </w:pPr>
            <w:r w:rsidRPr="00D923D6">
              <w:t>Marks</w:t>
            </w:r>
          </w:p>
        </w:tc>
        <w:tc>
          <w:tcPr>
            <w:tcW w:w="691" w:type="dxa"/>
          </w:tcPr>
          <w:p w14:paraId="27FB6711" w14:textId="77777777" w:rsidR="003724FE" w:rsidRPr="00D923D6" w:rsidRDefault="003724FE" w:rsidP="00D923D6">
            <w:pPr>
              <w:pStyle w:val="Tablecondensedheading"/>
            </w:pPr>
            <w:r w:rsidRPr="00D923D6">
              <w:t>0</w:t>
            </w:r>
          </w:p>
        </w:tc>
        <w:tc>
          <w:tcPr>
            <w:tcW w:w="567" w:type="dxa"/>
          </w:tcPr>
          <w:p w14:paraId="72ADCCD1" w14:textId="77777777" w:rsidR="003724FE" w:rsidRPr="00D923D6" w:rsidRDefault="003724FE" w:rsidP="00D923D6">
            <w:pPr>
              <w:pStyle w:val="Tablecondensedheading"/>
            </w:pPr>
            <w:r w:rsidRPr="00D923D6">
              <w:t>1</w:t>
            </w:r>
          </w:p>
        </w:tc>
        <w:tc>
          <w:tcPr>
            <w:tcW w:w="708" w:type="dxa"/>
          </w:tcPr>
          <w:p w14:paraId="10975F5F" w14:textId="77777777" w:rsidR="003724FE" w:rsidRPr="00D923D6" w:rsidRDefault="003724FE" w:rsidP="00D923D6">
            <w:pPr>
              <w:pStyle w:val="Tablecondensedheading"/>
            </w:pPr>
            <w:r w:rsidRPr="00D923D6">
              <w:t>2</w:t>
            </w:r>
          </w:p>
        </w:tc>
        <w:tc>
          <w:tcPr>
            <w:tcW w:w="864" w:type="dxa"/>
          </w:tcPr>
          <w:p w14:paraId="1A32734A" w14:textId="77777777" w:rsidR="003724FE" w:rsidRPr="00D923D6" w:rsidRDefault="003724FE" w:rsidP="00D923D6">
            <w:pPr>
              <w:pStyle w:val="Tablecondensedheading"/>
            </w:pPr>
            <w:r w:rsidRPr="00D923D6">
              <w:t>3</w:t>
            </w:r>
          </w:p>
        </w:tc>
        <w:tc>
          <w:tcPr>
            <w:tcW w:w="864" w:type="dxa"/>
          </w:tcPr>
          <w:p w14:paraId="1AF09F0B" w14:textId="252C7A8D" w:rsidR="003724FE" w:rsidRPr="00D923D6" w:rsidRDefault="003724FE" w:rsidP="00D923D6">
            <w:pPr>
              <w:pStyle w:val="Tablecondensedheading"/>
            </w:pPr>
            <w:r w:rsidRPr="00D923D6">
              <w:t>4</w:t>
            </w:r>
          </w:p>
        </w:tc>
        <w:tc>
          <w:tcPr>
            <w:tcW w:w="864" w:type="dxa"/>
          </w:tcPr>
          <w:p w14:paraId="1C7DA511" w14:textId="4365295D" w:rsidR="003724FE" w:rsidRPr="00D923D6" w:rsidRDefault="003724FE" w:rsidP="00D923D6">
            <w:pPr>
              <w:pStyle w:val="Tablecondensedheading"/>
            </w:pPr>
            <w:r w:rsidRPr="00D923D6">
              <w:t>Average</w:t>
            </w:r>
          </w:p>
        </w:tc>
      </w:tr>
      <w:tr w:rsidR="003724FE" w:rsidRPr="00D923D6" w14:paraId="25F28982" w14:textId="77777777" w:rsidTr="00C0271B">
        <w:trPr>
          <w:trHeight w:hRule="exact" w:val="397"/>
        </w:trPr>
        <w:tc>
          <w:tcPr>
            <w:tcW w:w="864" w:type="dxa"/>
          </w:tcPr>
          <w:p w14:paraId="72B7635A" w14:textId="77777777" w:rsidR="003724FE" w:rsidRPr="00D923D6" w:rsidRDefault="003724FE" w:rsidP="00D923D6">
            <w:pPr>
              <w:pStyle w:val="Tablecondensed"/>
            </w:pPr>
            <w:r w:rsidRPr="00D923D6">
              <w:t>%</w:t>
            </w:r>
          </w:p>
        </w:tc>
        <w:tc>
          <w:tcPr>
            <w:tcW w:w="691" w:type="dxa"/>
            <w:vAlign w:val="bottom"/>
          </w:tcPr>
          <w:p w14:paraId="006B57BB" w14:textId="088BAE2D" w:rsidR="003724FE" w:rsidRPr="00D923D6" w:rsidRDefault="003724FE" w:rsidP="00D923D6">
            <w:pPr>
              <w:pStyle w:val="Tablecondensed"/>
            </w:pPr>
            <w:r w:rsidRPr="00D923D6">
              <w:t>19</w:t>
            </w:r>
          </w:p>
        </w:tc>
        <w:tc>
          <w:tcPr>
            <w:tcW w:w="567" w:type="dxa"/>
            <w:vAlign w:val="bottom"/>
          </w:tcPr>
          <w:p w14:paraId="311140EE" w14:textId="293A2FF2" w:rsidR="003724FE" w:rsidRPr="00D923D6" w:rsidRDefault="003724FE" w:rsidP="00D923D6">
            <w:pPr>
              <w:pStyle w:val="Tablecondensed"/>
            </w:pPr>
            <w:r w:rsidRPr="00D923D6">
              <w:t>19</w:t>
            </w:r>
          </w:p>
        </w:tc>
        <w:tc>
          <w:tcPr>
            <w:tcW w:w="708" w:type="dxa"/>
            <w:vAlign w:val="bottom"/>
          </w:tcPr>
          <w:p w14:paraId="7DF4B370" w14:textId="0C2475C0" w:rsidR="003724FE" w:rsidRPr="00D923D6" w:rsidRDefault="003724FE" w:rsidP="00D923D6">
            <w:pPr>
              <w:pStyle w:val="Tablecondensed"/>
            </w:pPr>
            <w:r w:rsidRPr="00D923D6">
              <w:t>27</w:t>
            </w:r>
          </w:p>
        </w:tc>
        <w:tc>
          <w:tcPr>
            <w:tcW w:w="864" w:type="dxa"/>
            <w:vAlign w:val="bottom"/>
          </w:tcPr>
          <w:p w14:paraId="2F94D83F" w14:textId="6DFFB276" w:rsidR="003724FE" w:rsidRPr="00D923D6" w:rsidRDefault="003724FE" w:rsidP="00D923D6">
            <w:pPr>
              <w:pStyle w:val="Tablecondensed"/>
            </w:pPr>
            <w:r w:rsidRPr="00D923D6">
              <w:t>21</w:t>
            </w:r>
          </w:p>
        </w:tc>
        <w:tc>
          <w:tcPr>
            <w:tcW w:w="864" w:type="dxa"/>
            <w:vAlign w:val="bottom"/>
          </w:tcPr>
          <w:p w14:paraId="7DE3BF3D" w14:textId="3382D745" w:rsidR="003724FE" w:rsidRPr="00D923D6" w:rsidRDefault="003724FE" w:rsidP="00D923D6">
            <w:pPr>
              <w:pStyle w:val="Tablecondensed"/>
            </w:pPr>
            <w:r w:rsidRPr="00D923D6">
              <w:t>14</w:t>
            </w:r>
          </w:p>
        </w:tc>
        <w:tc>
          <w:tcPr>
            <w:tcW w:w="864" w:type="dxa"/>
          </w:tcPr>
          <w:p w14:paraId="7C38B130" w14:textId="3619ACEE" w:rsidR="003724FE" w:rsidRPr="00D923D6" w:rsidRDefault="003724FE" w:rsidP="00D923D6">
            <w:pPr>
              <w:pStyle w:val="Tablecondensed"/>
            </w:pPr>
            <w:r w:rsidRPr="00D923D6">
              <w:t>1.9</w:t>
            </w:r>
          </w:p>
        </w:tc>
      </w:tr>
    </w:tbl>
    <w:p w14:paraId="1AE7286C" w14:textId="7AB8369E" w:rsidR="004A14C2" w:rsidRPr="006D6D07" w:rsidRDefault="004A14C2" w:rsidP="006D6D07">
      <w:pPr>
        <w:pStyle w:val="BodyText"/>
      </w:pPr>
      <w:r>
        <w:t xml:space="preserve">Question </w:t>
      </w:r>
      <w:r w:rsidR="00426425">
        <w:t>2</w:t>
      </w:r>
      <w:r>
        <w:t xml:space="preserve">d. required students to </w:t>
      </w:r>
      <w:r w:rsidR="00426425">
        <w:t>describe how the 1997 Bringing Them Home report contributed to debates about reconciliation in Australia</w:t>
      </w:r>
      <w:r w:rsidR="00496DF0">
        <w:t>,</w:t>
      </w:r>
      <w:r w:rsidR="00426425">
        <w:t xml:space="preserve"> using their own knowledge.</w:t>
      </w:r>
      <w:r w:rsidR="006D6D07">
        <w:t xml:space="preserve"> </w:t>
      </w:r>
      <w:r w:rsidR="002B410E">
        <w:t>Most responses</w:t>
      </w:r>
      <w:r w:rsidR="00876C34">
        <w:t xml:space="preserve"> described the substance of the report</w:t>
      </w:r>
      <w:r w:rsidR="00496DF0">
        <w:t>,</w:t>
      </w:r>
      <w:r w:rsidR="00876C34">
        <w:t xml:space="preserve"> which detail</w:t>
      </w:r>
      <w:r w:rsidR="00496DF0">
        <w:t>s</w:t>
      </w:r>
      <w:r w:rsidR="00876C34">
        <w:t xml:space="preserve"> the experiences of the Stolen Generation</w:t>
      </w:r>
      <w:r w:rsidR="00D7598A">
        <w:t>s</w:t>
      </w:r>
      <w:r w:rsidR="00876C34">
        <w:t>.</w:t>
      </w:r>
      <w:r w:rsidR="006D6D07">
        <w:t xml:space="preserve"> </w:t>
      </w:r>
      <w:r w:rsidR="00876C34">
        <w:t>Many responses</w:t>
      </w:r>
      <w:r w:rsidR="002B410E">
        <w:t xml:space="preserve"> focused on the debate regarding the recommendation for an apology, describing the stance of John Howard</w:t>
      </w:r>
      <w:r w:rsidR="6BAF5761">
        <w:t xml:space="preserve"> and</w:t>
      </w:r>
      <w:r w:rsidR="002B410E">
        <w:t xml:space="preserve"> the Liberal </w:t>
      </w:r>
      <w:r w:rsidR="00496DF0">
        <w:t>g</w:t>
      </w:r>
      <w:r w:rsidR="002B410E">
        <w:t xml:space="preserve">overnment as </w:t>
      </w:r>
      <w:r w:rsidR="00876C34">
        <w:t>seeking practical reconciliation without a formal apology, which was contrasted by Kevin Rudd’s formal apology to the Stolen Generation</w:t>
      </w:r>
      <w:r w:rsidR="00D24011">
        <w:t>s</w:t>
      </w:r>
      <w:r w:rsidR="00876C34">
        <w:t xml:space="preserve"> in 2008.</w:t>
      </w:r>
    </w:p>
    <w:p w14:paraId="61EF5784" w14:textId="4A273E4C" w:rsidR="00FC35C7" w:rsidRPr="006D6D07" w:rsidRDefault="00876C34" w:rsidP="006D6D07">
      <w:pPr>
        <w:pStyle w:val="BodyText"/>
        <w:rPr>
          <w:rStyle w:val="EmphasisBold"/>
          <w:b w:val="0"/>
        </w:rPr>
      </w:pPr>
      <w:r w:rsidRPr="006D6D07">
        <w:t>The following is an example of a high-scoring response:</w:t>
      </w:r>
    </w:p>
    <w:p w14:paraId="529B80AE" w14:textId="74836FEF" w:rsidR="00FC35C7" w:rsidRPr="00CA5021" w:rsidRDefault="00434B9A" w:rsidP="00CA5021">
      <w:pPr>
        <w:pStyle w:val="Studentsamples"/>
        <w:rPr>
          <w:highlight w:val="lightGray"/>
        </w:rPr>
      </w:pPr>
      <w:r w:rsidRPr="00CA5021">
        <w:t>The 1997 Bringing Them Home Report was a cornerstone of the reconciliation journey in Australia, contributing significantly to debate on the issue.</w:t>
      </w:r>
      <w:r w:rsidR="006D6D07" w:rsidRPr="00CA5021">
        <w:t xml:space="preserve"> </w:t>
      </w:r>
      <w:r w:rsidRPr="00CA5021">
        <w:t>The report included 54 recommendations to help with the healing and reconciliation journey of victims of the Stolen Generations, of which one of these recommendations was for an official apology.</w:t>
      </w:r>
      <w:r w:rsidR="006D6D07" w:rsidRPr="00CA5021">
        <w:t xml:space="preserve"> </w:t>
      </w:r>
      <w:r w:rsidRPr="00CA5021">
        <w:t>The idea created particularly fierce reconciliation debates in Australia with then Australian Prime Minister in 1997 John Howard refusing to apologise due to feeling it was not the job of today’s Australians to apologise for past injustices.</w:t>
      </w:r>
      <w:r w:rsidR="006D6D07" w:rsidRPr="00CA5021">
        <w:t xml:space="preserve"> </w:t>
      </w:r>
      <w:r w:rsidRPr="00CA5021">
        <w:t xml:space="preserve">However, when the Rudd Labor Government was elected in 2008, immediately an </w:t>
      </w:r>
      <w:r w:rsidR="00007548" w:rsidRPr="00CA5021">
        <w:t xml:space="preserve">official </w:t>
      </w:r>
      <w:r w:rsidRPr="00CA5021">
        <w:t>apology was</w:t>
      </w:r>
      <w:r w:rsidR="00007548" w:rsidRPr="00CA5021">
        <w:t xml:space="preserve"> made which acknowledged the </w:t>
      </w:r>
      <w:r w:rsidR="000B5B15" w:rsidRPr="00CA5021">
        <w:t>‘</w:t>
      </w:r>
      <w:r w:rsidR="00007548" w:rsidRPr="00CA5021">
        <w:t>profound grief</w:t>
      </w:r>
      <w:r w:rsidR="000B5B15" w:rsidRPr="00CA5021">
        <w:t>’</w:t>
      </w:r>
      <w:r w:rsidR="00007548" w:rsidRPr="00CA5021">
        <w:t xml:space="preserve"> (Rudd) inflicted on Indigenous people due to the Stolen Generations.</w:t>
      </w:r>
    </w:p>
    <w:p w14:paraId="53A34111" w14:textId="77777777" w:rsidR="00E22285" w:rsidRDefault="00E22285" w:rsidP="006D6D07">
      <w:pPr>
        <w:pStyle w:val="Heading3"/>
      </w:pPr>
      <w:r w:rsidRPr="00BA00B7">
        <w:t xml:space="preserve">Question </w:t>
      </w:r>
      <w:r>
        <w:t>2e</w:t>
      </w:r>
      <w:r w:rsidRPr="00BA00B7">
        <w:t>.</w:t>
      </w:r>
    </w:p>
    <w:tbl>
      <w:tblPr>
        <w:tblStyle w:val="VCAATableClosed"/>
        <w:tblW w:w="0" w:type="auto"/>
        <w:tblLook w:val="01E0" w:firstRow="1" w:lastRow="1" w:firstColumn="1" w:lastColumn="1" w:noHBand="0" w:noVBand="0"/>
      </w:tblPr>
      <w:tblGrid>
        <w:gridCol w:w="864"/>
        <w:gridCol w:w="691"/>
        <w:gridCol w:w="567"/>
        <w:gridCol w:w="708"/>
        <w:gridCol w:w="567"/>
        <w:gridCol w:w="709"/>
        <w:gridCol w:w="709"/>
        <w:gridCol w:w="709"/>
        <w:gridCol w:w="864"/>
      </w:tblGrid>
      <w:tr w:rsidR="003724FE" w:rsidRPr="00BA00B7" w14:paraId="41351D32"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9C18E39" w14:textId="77777777" w:rsidR="003724FE" w:rsidRPr="00BA00B7" w:rsidRDefault="003724FE" w:rsidP="00D923D6">
            <w:pPr>
              <w:pStyle w:val="Tablecondensedheading"/>
              <w:rPr>
                <w:lang w:val="en-AU"/>
              </w:rPr>
            </w:pPr>
            <w:r w:rsidRPr="00BA00B7">
              <w:rPr>
                <w:lang w:val="en-AU"/>
              </w:rPr>
              <w:t>Marks</w:t>
            </w:r>
          </w:p>
        </w:tc>
        <w:tc>
          <w:tcPr>
            <w:tcW w:w="691" w:type="dxa"/>
          </w:tcPr>
          <w:p w14:paraId="2179F42E" w14:textId="77777777" w:rsidR="003724FE" w:rsidRPr="00BA00B7" w:rsidRDefault="003724FE" w:rsidP="00D923D6">
            <w:pPr>
              <w:pStyle w:val="Tablecondensedheading"/>
              <w:rPr>
                <w:lang w:val="en-AU"/>
              </w:rPr>
            </w:pPr>
            <w:r w:rsidRPr="00BA00B7">
              <w:rPr>
                <w:lang w:val="en-AU"/>
              </w:rPr>
              <w:t>0</w:t>
            </w:r>
          </w:p>
        </w:tc>
        <w:tc>
          <w:tcPr>
            <w:tcW w:w="567" w:type="dxa"/>
          </w:tcPr>
          <w:p w14:paraId="5E994986" w14:textId="77777777" w:rsidR="003724FE" w:rsidRPr="00BA00B7" w:rsidRDefault="003724FE" w:rsidP="00D923D6">
            <w:pPr>
              <w:pStyle w:val="Tablecondensedheading"/>
              <w:rPr>
                <w:lang w:val="en-AU"/>
              </w:rPr>
            </w:pPr>
            <w:r w:rsidRPr="00BA00B7">
              <w:rPr>
                <w:lang w:val="en-AU"/>
              </w:rPr>
              <w:t>1</w:t>
            </w:r>
          </w:p>
        </w:tc>
        <w:tc>
          <w:tcPr>
            <w:tcW w:w="708" w:type="dxa"/>
          </w:tcPr>
          <w:p w14:paraId="39A67817" w14:textId="77777777" w:rsidR="003724FE" w:rsidRPr="00BA00B7" w:rsidRDefault="003724FE" w:rsidP="00D923D6">
            <w:pPr>
              <w:pStyle w:val="Tablecondensedheading"/>
              <w:rPr>
                <w:lang w:val="en-AU"/>
              </w:rPr>
            </w:pPr>
            <w:r>
              <w:rPr>
                <w:lang w:val="en-AU"/>
              </w:rPr>
              <w:t>2</w:t>
            </w:r>
          </w:p>
        </w:tc>
        <w:tc>
          <w:tcPr>
            <w:tcW w:w="567" w:type="dxa"/>
          </w:tcPr>
          <w:p w14:paraId="4259DF19" w14:textId="77777777" w:rsidR="003724FE" w:rsidRPr="00BA00B7" w:rsidRDefault="003724FE" w:rsidP="00D923D6">
            <w:pPr>
              <w:pStyle w:val="Tablecondensedheading"/>
              <w:rPr>
                <w:lang w:val="en-AU"/>
              </w:rPr>
            </w:pPr>
            <w:r>
              <w:rPr>
                <w:lang w:val="en-AU"/>
              </w:rPr>
              <w:t>3</w:t>
            </w:r>
          </w:p>
        </w:tc>
        <w:tc>
          <w:tcPr>
            <w:tcW w:w="709" w:type="dxa"/>
          </w:tcPr>
          <w:p w14:paraId="0CD0ACA2" w14:textId="77777777" w:rsidR="003724FE" w:rsidRPr="00BA00B7" w:rsidRDefault="003724FE" w:rsidP="00D923D6">
            <w:pPr>
              <w:pStyle w:val="Tablecondensedheading"/>
              <w:rPr>
                <w:lang w:val="en-AU"/>
              </w:rPr>
            </w:pPr>
            <w:r>
              <w:rPr>
                <w:lang w:val="en-AU"/>
              </w:rPr>
              <w:t>4</w:t>
            </w:r>
          </w:p>
        </w:tc>
        <w:tc>
          <w:tcPr>
            <w:tcW w:w="709" w:type="dxa"/>
          </w:tcPr>
          <w:p w14:paraId="3C7B8191" w14:textId="77777777" w:rsidR="003724FE" w:rsidRPr="00BA00B7" w:rsidRDefault="003724FE" w:rsidP="00D923D6">
            <w:pPr>
              <w:pStyle w:val="Tablecondensedheading"/>
              <w:rPr>
                <w:lang w:val="en-AU"/>
              </w:rPr>
            </w:pPr>
            <w:r>
              <w:rPr>
                <w:lang w:val="en-AU"/>
              </w:rPr>
              <w:t>5</w:t>
            </w:r>
          </w:p>
        </w:tc>
        <w:tc>
          <w:tcPr>
            <w:tcW w:w="709" w:type="dxa"/>
          </w:tcPr>
          <w:p w14:paraId="692672C9" w14:textId="77777777" w:rsidR="003724FE" w:rsidRDefault="003724FE" w:rsidP="00D923D6">
            <w:pPr>
              <w:pStyle w:val="Tablecondensedheading"/>
              <w:rPr>
                <w:lang w:val="en-AU"/>
              </w:rPr>
            </w:pPr>
            <w:r>
              <w:rPr>
                <w:lang w:val="en-AU"/>
              </w:rPr>
              <w:t>6</w:t>
            </w:r>
          </w:p>
        </w:tc>
        <w:tc>
          <w:tcPr>
            <w:tcW w:w="864" w:type="dxa"/>
          </w:tcPr>
          <w:p w14:paraId="6F44E5E9" w14:textId="77777777" w:rsidR="003724FE" w:rsidRPr="00BA00B7" w:rsidRDefault="003724FE" w:rsidP="00D923D6">
            <w:pPr>
              <w:pStyle w:val="Tablecondensedheading"/>
              <w:rPr>
                <w:lang w:val="en-AU"/>
              </w:rPr>
            </w:pPr>
            <w:r w:rsidRPr="00BA00B7">
              <w:rPr>
                <w:lang w:val="en-AU"/>
              </w:rPr>
              <w:t>Average</w:t>
            </w:r>
          </w:p>
        </w:tc>
      </w:tr>
      <w:tr w:rsidR="003724FE" w:rsidRPr="00D923D6" w14:paraId="14B4AEF7" w14:textId="77777777" w:rsidTr="007A45BC">
        <w:trPr>
          <w:trHeight w:hRule="exact" w:val="397"/>
        </w:trPr>
        <w:tc>
          <w:tcPr>
            <w:tcW w:w="864" w:type="dxa"/>
          </w:tcPr>
          <w:p w14:paraId="2DADE341" w14:textId="77777777" w:rsidR="003724FE" w:rsidRPr="00D923D6" w:rsidRDefault="003724FE" w:rsidP="00D923D6">
            <w:pPr>
              <w:pStyle w:val="Tablecondensed"/>
            </w:pPr>
            <w:r w:rsidRPr="00D923D6">
              <w:t>%</w:t>
            </w:r>
          </w:p>
        </w:tc>
        <w:tc>
          <w:tcPr>
            <w:tcW w:w="691" w:type="dxa"/>
            <w:vAlign w:val="bottom"/>
          </w:tcPr>
          <w:p w14:paraId="02F3F129" w14:textId="0BDA6E48" w:rsidR="003724FE" w:rsidRPr="00D923D6" w:rsidRDefault="003724FE" w:rsidP="00D923D6">
            <w:pPr>
              <w:pStyle w:val="Tablecondensed"/>
            </w:pPr>
            <w:r w:rsidRPr="00D923D6">
              <w:t>4</w:t>
            </w:r>
          </w:p>
        </w:tc>
        <w:tc>
          <w:tcPr>
            <w:tcW w:w="567" w:type="dxa"/>
            <w:vAlign w:val="bottom"/>
          </w:tcPr>
          <w:p w14:paraId="63775C61" w14:textId="242204DB" w:rsidR="003724FE" w:rsidRPr="00D923D6" w:rsidRDefault="003724FE" w:rsidP="00D923D6">
            <w:pPr>
              <w:pStyle w:val="Tablecondensed"/>
            </w:pPr>
            <w:r w:rsidRPr="00D923D6">
              <w:t>11</w:t>
            </w:r>
          </w:p>
        </w:tc>
        <w:tc>
          <w:tcPr>
            <w:tcW w:w="708" w:type="dxa"/>
            <w:vAlign w:val="bottom"/>
          </w:tcPr>
          <w:p w14:paraId="751FCEB4" w14:textId="55379DE5" w:rsidR="003724FE" w:rsidRPr="00D923D6" w:rsidRDefault="003724FE" w:rsidP="00D923D6">
            <w:pPr>
              <w:pStyle w:val="Tablecondensed"/>
            </w:pPr>
            <w:r w:rsidRPr="00D923D6">
              <w:t>27</w:t>
            </w:r>
          </w:p>
        </w:tc>
        <w:tc>
          <w:tcPr>
            <w:tcW w:w="567" w:type="dxa"/>
            <w:vAlign w:val="bottom"/>
          </w:tcPr>
          <w:p w14:paraId="6049BB96" w14:textId="7823E98A" w:rsidR="003724FE" w:rsidRPr="00D923D6" w:rsidRDefault="003724FE" w:rsidP="00D923D6">
            <w:pPr>
              <w:pStyle w:val="Tablecondensed"/>
            </w:pPr>
            <w:r w:rsidRPr="00D923D6">
              <w:t>22</w:t>
            </w:r>
          </w:p>
        </w:tc>
        <w:tc>
          <w:tcPr>
            <w:tcW w:w="709" w:type="dxa"/>
            <w:vAlign w:val="bottom"/>
          </w:tcPr>
          <w:p w14:paraId="07AE4E6D" w14:textId="21262D02" w:rsidR="003724FE" w:rsidRPr="00D923D6" w:rsidRDefault="003724FE" w:rsidP="00D923D6">
            <w:pPr>
              <w:pStyle w:val="Tablecondensed"/>
            </w:pPr>
            <w:r w:rsidRPr="00D923D6">
              <w:t>19</w:t>
            </w:r>
          </w:p>
        </w:tc>
        <w:tc>
          <w:tcPr>
            <w:tcW w:w="709" w:type="dxa"/>
            <w:vAlign w:val="bottom"/>
          </w:tcPr>
          <w:p w14:paraId="45035269" w14:textId="429602BC" w:rsidR="003724FE" w:rsidRPr="00D923D6" w:rsidRDefault="003724FE" w:rsidP="00D923D6">
            <w:pPr>
              <w:pStyle w:val="Tablecondensed"/>
            </w:pPr>
            <w:r w:rsidRPr="00D923D6">
              <w:t>11</w:t>
            </w:r>
          </w:p>
        </w:tc>
        <w:tc>
          <w:tcPr>
            <w:tcW w:w="709" w:type="dxa"/>
            <w:vAlign w:val="bottom"/>
          </w:tcPr>
          <w:p w14:paraId="2B7D636F" w14:textId="36073C88" w:rsidR="003724FE" w:rsidRPr="00D923D6" w:rsidRDefault="003724FE" w:rsidP="00D923D6">
            <w:pPr>
              <w:pStyle w:val="Tablecondensed"/>
            </w:pPr>
            <w:r w:rsidRPr="00D923D6">
              <w:t>7</w:t>
            </w:r>
          </w:p>
        </w:tc>
        <w:tc>
          <w:tcPr>
            <w:tcW w:w="864" w:type="dxa"/>
            <w:vAlign w:val="bottom"/>
          </w:tcPr>
          <w:p w14:paraId="6E92E6FF" w14:textId="4EA9F7BC" w:rsidR="003724FE" w:rsidRPr="00D923D6" w:rsidRDefault="003724FE" w:rsidP="00D923D6">
            <w:pPr>
              <w:pStyle w:val="Tablecondensed"/>
            </w:pPr>
            <w:r w:rsidRPr="00D923D6">
              <w:t>3</w:t>
            </w:r>
          </w:p>
        </w:tc>
      </w:tr>
    </w:tbl>
    <w:p w14:paraId="757435A7" w14:textId="195D425C" w:rsidR="002F4435" w:rsidRPr="006D6D07" w:rsidRDefault="002F4435" w:rsidP="006D6D07">
      <w:pPr>
        <w:pStyle w:val="BodyText"/>
      </w:pPr>
      <w:r>
        <w:t xml:space="preserve">Question </w:t>
      </w:r>
      <w:r w:rsidR="00426425">
        <w:t>2</w:t>
      </w:r>
      <w:r>
        <w:t xml:space="preserve">e. required students to </w:t>
      </w:r>
      <w:r w:rsidR="00426425">
        <w:t>explain the competing perspectives on immigration policy and border security between 1992 and 2008, using Source 8 and their own knowledge.</w:t>
      </w:r>
      <w:r w:rsidR="006D6D07">
        <w:t xml:space="preserve"> </w:t>
      </w:r>
      <w:r w:rsidR="006758BC">
        <w:t xml:space="preserve">Many responses compared the differing stance on border security of the Labor </w:t>
      </w:r>
      <w:r w:rsidR="00BF11C4">
        <w:t xml:space="preserve">and Liberal </w:t>
      </w:r>
      <w:r w:rsidR="00496DF0">
        <w:t>g</w:t>
      </w:r>
      <w:r w:rsidR="00BF11C4">
        <w:t>overnments during th</w:t>
      </w:r>
      <w:r w:rsidR="00496DF0">
        <w:t>is</w:t>
      </w:r>
      <w:r w:rsidR="00BF11C4">
        <w:t xml:space="preserve"> period.</w:t>
      </w:r>
      <w:r w:rsidR="006D6D07">
        <w:t xml:space="preserve"> </w:t>
      </w:r>
      <w:r w:rsidR="00BF11C4">
        <w:t xml:space="preserve">The Keating Labor </w:t>
      </w:r>
      <w:r w:rsidR="00496DF0">
        <w:t>g</w:t>
      </w:r>
      <w:r w:rsidR="00BF11C4">
        <w:t>overnment</w:t>
      </w:r>
      <w:r w:rsidR="006758BC">
        <w:t xml:space="preserve"> introduced mandatory detention for asylum seekers in 1992</w:t>
      </w:r>
      <w:r w:rsidR="00BF11C4">
        <w:t>,</w:t>
      </w:r>
      <w:r w:rsidR="006758BC">
        <w:t xml:space="preserve"> w</w:t>
      </w:r>
      <w:r w:rsidR="00BF11C4">
        <w:t>hile</w:t>
      </w:r>
      <w:r w:rsidR="006758BC">
        <w:t xml:space="preserve"> the Howard</w:t>
      </w:r>
      <w:r w:rsidR="1E853EDD">
        <w:t xml:space="preserve"> Liberal</w:t>
      </w:r>
      <w:r w:rsidR="006758BC">
        <w:t xml:space="preserve"> </w:t>
      </w:r>
      <w:r w:rsidR="00496DF0">
        <w:t>g</w:t>
      </w:r>
      <w:r w:rsidR="006758BC">
        <w:t xml:space="preserve">overnment introduced the </w:t>
      </w:r>
      <w:r w:rsidR="00BF11C4">
        <w:t xml:space="preserve">Pacific Solution to detain asylum seekers abroad while their claims were processed, </w:t>
      </w:r>
      <w:r w:rsidR="0027504A">
        <w:t>but this was ended when</w:t>
      </w:r>
      <w:r w:rsidR="00BF11C4">
        <w:t xml:space="preserve"> the Rudd Labor </w:t>
      </w:r>
      <w:r w:rsidR="00496DF0">
        <w:t>g</w:t>
      </w:r>
      <w:r w:rsidR="0027504A">
        <w:t>overnment won power.</w:t>
      </w:r>
      <w:r w:rsidR="006D6D07">
        <w:t xml:space="preserve"> </w:t>
      </w:r>
      <w:r w:rsidR="0027504A">
        <w:t xml:space="preserve">Responses commonly used the source effectively to describe </w:t>
      </w:r>
      <w:r w:rsidR="00496DF0">
        <w:t>the</w:t>
      </w:r>
      <w:r w:rsidR="0027504A">
        <w:t xml:space="preserve"> growing sense of humanitarian concern </w:t>
      </w:r>
      <w:r w:rsidR="00095263">
        <w:t>following the Tampa incident</w:t>
      </w:r>
      <w:r w:rsidR="00496DF0">
        <w:t>,</w:t>
      </w:r>
      <w:r w:rsidR="00095263">
        <w:t xml:space="preserve"> in addition to quotes from John Howard during the 2001 election campaign.</w:t>
      </w:r>
      <w:r w:rsidR="006D6D07">
        <w:t xml:space="preserve"> </w:t>
      </w:r>
      <w:r w:rsidR="00095263">
        <w:t>To add further perspectives reg</w:t>
      </w:r>
      <w:r w:rsidR="00496DF0">
        <w:t>a</w:t>
      </w:r>
      <w:r w:rsidR="00095263">
        <w:t xml:space="preserve">rding immigration policy, many responses also included quotes from Pauline Hanson’s maiden speech to parliament expressing concern about </w:t>
      </w:r>
      <w:r w:rsidR="00496DF0">
        <w:t xml:space="preserve">the </w:t>
      </w:r>
      <w:r w:rsidR="00095263">
        <w:t>rates of Asian migration.</w:t>
      </w:r>
    </w:p>
    <w:p w14:paraId="00F369EB" w14:textId="29DC6CE3" w:rsidR="00FC35C7" w:rsidRPr="006D6D07" w:rsidRDefault="00095263" w:rsidP="006D6D07">
      <w:pPr>
        <w:pStyle w:val="BodyText"/>
        <w:rPr>
          <w:rStyle w:val="EmphasisBold"/>
          <w:b w:val="0"/>
        </w:rPr>
      </w:pPr>
      <w:r w:rsidRPr="006D6D07">
        <w:t>The following is an example of a high-scoring response:</w:t>
      </w:r>
    </w:p>
    <w:p w14:paraId="036E0814" w14:textId="25D2435E" w:rsidR="00007548" w:rsidRPr="00CA5021" w:rsidRDefault="00007548" w:rsidP="00CA5021">
      <w:pPr>
        <w:pStyle w:val="Studentsamples"/>
        <w:rPr>
          <w:highlight w:val="lightGray"/>
        </w:rPr>
      </w:pPr>
      <w:r w:rsidRPr="00CA5021">
        <w:t>Between 1992 and 2008, competing perspectives regarding immigration policy and border security became a focal point of Australian society.</w:t>
      </w:r>
      <w:r w:rsidR="006D6D07" w:rsidRPr="00CA5021">
        <w:t xml:space="preserve"> </w:t>
      </w:r>
      <w:r w:rsidRPr="00CA5021">
        <w:t>By 1992 multiculturalism had both been institutionalised and widely accepted as a strength of Australian society.</w:t>
      </w:r>
      <w:r w:rsidR="006D6D07" w:rsidRPr="00CA5021">
        <w:t xml:space="preserve"> </w:t>
      </w:r>
      <w:r w:rsidRPr="00CA5021">
        <w:t xml:space="preserve">However, the re-emergence of security concerns regarding refugees and asylum seekers amplified perspectives </w:t>
      </w:r>
      <w:r w:rsidR="00101210" w:rsidRPr="00CA5021">
        <w:t>of</w:t>
      </w:r>
      <w:r w:rsidRPr="00CA5021">
        <w:t xml:space="preserve"> conservative figures who opposed</w:t>
      </w:r>
      <w:r w:rsidR="00101210" w:rsidRPr="00CA5021">
        <w:t xml:space="preserve"> immigration, such as John Howard who declared </w:t>
      </w:r>
      <w:r w:rsidR="000B5B15" w:rsidRPr="00CA5021">
        <w:t>‘</w:t>
      </w:r>
      <w:r w:rsidR="00101210" w:rsidRPr="00CA5021">
        <w:t xml:space="preserve">we will decide who comes into this country and the </w:t>
      </w:r>
      <w:r w:rsidR="00101210" w:rsidRPr="00CA5021">
        <w:lastRenderedPageBreak/>
        <w:t>circumstances in which they come</w:t>
      </w:r>
      <w:r w:rsidR="00496DF0" w:rsidRPr="00CA5021">
        <w:t>’</w:t>
      </w:r>
      <w:r w:rsidR="00101210" w:rsidRPr="00CA5021">
        <w:t>.</w:t>
      </w:r>
      <w:r w:rsidR="006D6D07" w:rsidRPr="00CA5021">
        <w:t xml:space="preserve"> </w:t>
      </w:r>
      <w:r w:rsidR="00101210" w:rsidRPr="00CA5021">
        <w:t xml:space="preserve">As well, Pauline Hanson’s claim in her 1996 maiden speech to parliament that </w:t>
      </w:r>
      <w:r w:rsidR="000B5B15" w:rsidRPr="00CA5021">
        <w:t>‘</w:t>
      </w:r>
      <w:r w:rsidR="00101210" w:rsidRPr="00CA5021">
        <w:t>Australia was being swamped by Asians</w:t>
      </w:r>
      <w:r w:rsidR="000B5B15" w:rsidRPr="00CA5021">
        <w:t>’</w:t>
      </w:r>
      <w:r w:rsidR="00101210" w:rsidRPr="00CA5021">
        <w:t xml:space="preserve"> exemplified the impact security concerns had on desires for more restrictive immigration policy.</w:t>
      </w:r>
      <w:r w:rsidR="006D6D07" w:rsidRPr="00CA5021">
        <w:t xml:space="preserve"> </w:t>
      </w:r>
      <w:r w:rsidR="002D7FD6" w:rsidRPr="00CA5021">
        <w:t>These fearful and opposing perspectives led to the subsequent implementation of restrictive legislation such as the 2001 Pacific Solution, a direct result of the 2001 Tampa Affair.</w:t>
      </w:r>
      <w:r w:rsidR="006D6D07" w:rsidRPr="00CA5021">
        <w:t xml:space="preserve"> </w:t>
      </w:r>
      <w:r w:rsidR="002D7FD6" w:rsidRPr="00CA5021">
        <w:t>Although opposing perspectives rooted in security concerns prevailed between 1992 and 2008, so too did progressive perspectives which believed Australia should adopt a more humanitarian approach to border security.</w:t>
      </w:r>
      <w:r w:rsidR="006D6D07" w:rsidRPr="00CA5021">
        <w:t xml:space="preserve"> </w:t>
      </w:r>
      <w:r w:rsidR="002D7FD6" w:rsidRPr="00CA5021">
        <w:t xml:space="preserve">The emergence of </w:t>
      </w:r>
      <w:r w:rsidR="000B5B15" w:rsidRPr="00CA5021">
        <w:t>‘</w:t>
      </w:r>
      <w:r w:rsidR="002D7FD6" w:rsidRPr="00CA5021">
        <w:t>disturbing facts</w:t>
      </w:r>
      <w:r w:rsidR="000B5B15" w:rsidRPr="00CA5021">
        <w:t>’</w:t>
      </w:r>
      <w:r w:rsidR="002D7FD6" w:rsidRPr="00CA5021">
        <w:t xml:space="preserve"> (source 8) regarding the </w:t>
      </w:r>
      <w:r w:rsidR="000B5B15" w:rsidRPr="00CA5021">
        <w:t>‘</w:t>
      </w:r>
      <w:r w:rsidR="002D7FD6" w:rsidRPr="00CA5021">
        <w:t>treatment of boat people and asylum seekers</w:t>
      </w:r>
      <w:r w:rsidR="000B5B15" w:rsidRPr="00CA5021">
        <w:t>’</w:t>
      </w:r>
      <w:r w:rsidR="002D7FD6" w:rsidRPr="00CA5021">
        <w:t xml:space="preserve"> (source 8)</w:t>
      </w:r>
      <w:r w:rsidR="00553A05" w:rsidRPr="00CA5021">
        <w:t xml:space="preserve"> le</w:t>
      </w:r>
      <w:r w:rsidR="00496DF0" w:rsidRPr="00CA5021">
        <w:t>d</w:t>
      </w:r>
      <w:r w:rsidR="00553A05" w:rsidRPr="00CA5021">
        <w:t xml:space="preserve"> to many Australians becoming </w:t>
      </w:r>
      <w:r w:rsidR="000B5B15" w:rsidRPr="00CA5021">
        <w:t>‘</w:t>
      </w:r>
      <w:r w:rsidR="00553A05" w:rsidRPr="00CA5021">
        <w:t>increasingly concerned with the government’s policy regarding asylum seekers</w:t>
      </w:r>
      <w:r w:rsidR="000B5B15" w:rsidRPr="00CA5021">
        <w:t>’</w:t>
      </w:r>
      <w:r w:rsidR="00553A05" w:rsidRPr="00CA5021">
        <w:t xml:space="preserve"> (source 8).</w:t>
      </w:r>
      <w:r w:rsidR="006D6D07" w:rsidRPr="00CA5021">
        <w:t xml:space="preserve"> </w:t>
      </w:r>
    </w:p>
    <w:p w14:paraId="58DD351F" w14:textId="59D3BAD0" w:rsidR="00E22285" w:rsidRDefault="00E22285" w:rsidP="006D6D07">
      <w:pPr>
        <w:pStyle w:val="Heading3"/>
      </w:pPr>
      <w:r w:rsidRPr="00BA00B7">
        <w:t xml:space="preserve">Question </w:t>
      </w:r>
      <w:r>
        <w:t>3</w:t>
      </w:r>
      <w:r w:rsidRPr="00BA00B7">
        <w:t>a.</w:t>
      </w:r>
    </w:p>
    <w:tbl>
      <w:tblPr>
        <w:tblStyle w:val="VCAATableClosed"/>
        <w:tblW w:w="0" w:type="auto"/>
        <w:tblLook w:val="01E0" w:firstRow="1" w:lastRow="1" w:firstColumn="1" w:lastColumn="1" w:noHBand="0" w:noVBand="0"/>
      </w:tblPr>
      <w:tblGrid>
        <w:gridCol w:w="864"/>
        <w:gridCol w:w="691"/>
        <w:gridCol w:w="567"/>
        <w:gridCol w:w="708"/>
        <w:gridCol w:w="864"/>
      </w:tblGrid>
      <w:tr w:rsidR="003724FE" w:rsidRPr="00BA00B7" w14:paraId="63A101DD"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FE5A801" w14:textId="77777777" w:rsidR="003724FE" w:rsidRPr="00BA00B7" w:rsidRDefault="003724FE" w:rsidP="00D923D6">
            <w:pPr>
              <w:pStyle w:val="Tablecondensedheading"/>
              <w:rPr>
                <w:lang w:val="en-AU"/>
              </w:rPr>
            </w:pPr>
            <w:r w:rsidRPr="00BA00B7">
              <w:rPr>
                <w:lang w:val="en-AU"/>
              </w:rPr>
              <w:t>Marks</w:t>
            </w:r>
          </w:p>
        </w:tc>
        <w:tc>
          <w:tcPr>
            <w:tcW w:w="691" w:type="dxa"/>
          </w:tcPr>
          <w:p w14:paraId="286B238E" w14:textId="77777777" w:rsidR="003724FE" w:rsidRPr="00BA00B7" w:rsidRDefault="003724FE" w:rsidP="00D923D6">
            <w:pPr>
              <w:pStyle w:val="Tablecondensedheading"/>
              <w:rPr>
                <w:lang w:val="en-AU"/>
              </w:rPr>
            </w:pPr>
            <w:r w:rsidRPr="00BA00B7">
              <w:rPr>
                <w:lang w:val="en-AU"/>
              </w:rPr>
              <w:t>0</w:t>
            </w:r>
          </w:p>
        </w:tc>
        <w:tc>
          <w:tcPr>
            <w:tcW w:w="567" w:type="dxa"/>
          </w:tcPr>
          <w:p w14:paraId="313FB55C" w14:textId="77777777" w:rsidR="003724FE" w:rsidRPr="00BA00B7" w:rsidRDefault="003724FE" w:rsidP="00D923D6">
            <w:pPr>
              <w:pStyle w:val="Tablecondensedheading"/>
              <w:rPr>
                <w:lang w:val="en-AU"/>
              </w:rPr>
            </w:pPr>
            <w:r w:rsidRPr="00BA00B7">
              <w:rPr>
                <w:lang w:val="en-AU"/>
              </w:rPr>
              <w:t>1</w:t>
            </w:r>
          </w:p>
        </w:tc>
        <w:tc>
          <w:tcPr>
            <w:tcW w:w="708" w:type="dxa"/>
          </w:tcPr>
          <w:p w14:paraId="741D5BCB" w14:textId="77777777" w:rsidR="003724FE" w:rsidRPr="00BA00B7" w:rsidRDefault="003724FE" w:rsidP="00D923D6">
            <w:pPr>
              <w:pStyle w:val="Tablecondensedheading"/>
              <w:rPr>
                <w:lang w:val="en-AU"/>
              </w:rPr>
            </w:pPr>
            <w:r>
              <w:rPr>
                <w:lang w:val="en-AU"/>
              </w:rPr>
              <w:t>2</w:t>
            </w:r>
          </w:p>
        </w:tc>
        <w:tc>
          <w:tcPr>
            <w:tcW w:w="864" w:type="dxa"/>
          </w:tcPr>
          <w:p w14:paraId="23D5FEE9" w14:textId="77777777" w:rsidR="003724FE" w:rsidRPr="00BA00B7" w:rsidRDefault="003724FE" w:rsidP="00D923D6">
            <w:pPr>
              <w:pStyle w:val="Tablecondensedheading"/>
              <w:rPr>
                <w:lang w:val="en-AU"/>
              </w:rPr>
            </w:pPr>
            <w:r w:rsidRPr="00BA00B7">
              <w:rPr>
                <w:lang w:val="en-AU"/>
              </w:rPr>
              <w:t>Average</w:t>
            </w:r>
          </w:p>
        </w:tc>
      </w:tr>
      <w:tr w:rsidR="003724FE" w:rsidRPr="00D923D6" w14:paraId="1A5A7F5E" w14:textId="77777777" w:rsidTr="007A45BC">
        <w:trPr>
          <w:trHeight w:hRule="exact" w:val="397"/>
        </w:trPr>
        <w:tc>
          <w:tcPr>
            <w:tcW w:w="864" w:type="dxa"/>
          </w:tcPr>
          <w:p w14:paraId="32D17798" w14:textId="77777777" w:rsidR="003724FE" w:rsidRPr="00D923D6" w:rsidRDefault="003724FE" w:rsidP="00D923D6">
            <w:pPr>
              <w:pStyle w:val="Tablecondensed"/>
            </w:pPr>
            <w:r w:rsidRPr="00D923D6">
              <w:t>%</w:t>
            </w:r>
          </w:p>
        </w:tc>
        <w:tc>
          <w:tcPr>
            <w:tcW w:w="691" w:type="dxa"/>
            <w:vAlign w:val="bottom"/>
          </w:tcPr>
          <w:p w14:paraId="28E5C2CF" w14:textId="31F1102C" w:rsidR="003724FE" w:rsidRPr="00D923D6" w:rsidRDefault="003724FE" w:rsidP="00D923D6">
            <w:pPr>
              <w:pStyle w:val="Tablecondensed"/>
            </w:pPr>
            <w:r w:rsidRPr="00D923D6">
              <w:t>2</w:t>
            </w:r>
          </w:p>
        </w:tc>
        <w:tc>
          <w:tcPr>
            <w:tcW w:w="567" w:type="dxa"/>
            <w:vAlign w:val="bottom"/>
          </w:tcPr>
          <w:p w14:paraId="116F48B5" w14:textId="7972AED7" w:rsidR="003724FE" w:rsidRPr="00D923D6" w:rsidRDefault="003724FE" w:rsidP="00D923D6">
            <w:pPr>
              <w:pStyle w:val="Tablecondensed"/>
            </w:pPr>
            <w:r w:rsidRPr="00D923D6">
              <w:t>29</w:t>
            </w:r>
          </w:p>
        </w:tc>
        <w:tc>
          <w:tcPr>
            <w:tcW w:w="708" w:type="dxa"/>
            <w:vAlign w:val="bottom"/>
          </w:tcPr>
          <w:p w14:paraId="7545027F" w14:textId="56DC95D1" w:rsidR="003724FE" w:rsidRPr="00D923D6" w:rsidRDefault="003724FE" w:rsidP="00D923D6">
            <w:pPr>
              <w:pStyle w:val="Tablecondensed"/>
            </w:pPr>
            <w:r w:rsidRPr="00D923D6">
              <w:t>69</w:t>
            </w:r>
          </w:p>
        </w:tc>
        <w:tc>
          <w:tcPr>
            <w:tcW w:w="864" w:type="dxa"/>
          </w:tcPr>
          <w:p w14:paraId="372B7CAB" w14:textId="7184926A" w:rsidR="003724FE" w:rsidRPr="00D923D6" w:rsidRDefault="003724FE" w:rsidP="00D923D6">
            <w:pPr>
              <w:pStyle w:val="Tablecondensed"/>
            </w:pPr>
            <w:r w:rsidRPr="00D923D6">
              <w:t>1.7</w:t>
            </w:r>
          </w:p>
        </w:tc>
      </w:tr>
    </w:tbl>
    <w:p w14:paraId="090ED163" w14:textId="5F579D13" w:rsidR="00F66D53" w:rsidRDefault="00F66D53" w:rsidP="006D6D07">
      <w:pPr>
        <w:pStyle w:val="BodyText"/>
      </w:pPr>
      <w:r>
        <w:t>Question 3a. required students to identify two features from the image that suggested that Western Australians would benefit by voting ‘yes’ to federation. Possible answers include</w:t>
      </w:r>
      <w:r w:rsidR="00050EC0">
        <w:t>d</w:t>
      </w:r>
      <w:r w:rsidR="00E61660">
        <w:t xml:space="preserve"> that</w:t>
      </w:r>
      <w:r>
        <w:t>:</w:t>
      </w:r>
    </w:p>
    <w:p w14:paraId="3E3E0CAE" w14:textId="5FE20F56" w:rsidR="00F66D53" w:rsidRPr="006D6D07" w:rsidRDefault="00F66D53" w:rsidP="0063768C">
      <w:pPr>
        <w:pStyle w:val="Bullet"/>
      </w:pPr>
      <w:r w:rsidRPr="006D6D07">
        <w:t xml:space="preserve">Western Australians would benefit from a sense of unity and national identity, revealed by the slogan </w:t>
      </w:r>
      <w:r w:rsidR="000B5B15">
        <w:t>‘</w:t>
      </w:r>
      <w:r w:rsidRPr="006D6D07">
        <w:t>one people one flag one destiny</w:t>
      </w:r>
      <w:r w:rsidR="000B5B15">
        <w:t>’</w:t>
      </w:r>
    </w:p>
    <w:p w14:paraId="6D795004" w14:textId="268F35AB" w:rsidR="00F66D53" w:rsidRPr="006D6D07" w:rsidRDefault="00F66D53" w:rsidP="0063768C">
      <w:pPr>
        <w:pStyle w:val="Bullet"/>
      </w:pPr>
      <w:r w:rsidRPr="006D6D07">
        <w:t>a lower customs tax could be charged in Western Australia</w:t>
      </w:r>
    </w:p>
    <w:p w14:paraId="61FF9D5E" w14:textId="37745AE8" w:rsidR="00F66D53" w:rsidRPr="006D6D07" w:rsidRDefault="00F66D53" w:rsidP="0063768C">
      <w:pPr>
        <w:pStyle w:val="Bullet"/>
      </w:pPr>
      <w:r w:rsidRPr="006D6D07">
        <w:t xml:space="preserve">Western Australia could be more </w:t>
      </w:r>
      <w:r w:rsidR="000B5B15">
        <w:t>‘</w:t>
      </w:r>
      <w:r w:rsidRPr="006D6D07">
        <w:t>prosperous</w:t>
      </w:r>
      <w:r w:rsidR="000B5B15">
        <w:t>’</w:t>
      </w:r>
      <w:r w:rsidRPr="006D6D07">
        <w:t xml:space="preserve"> and avoid becoming </w:t>
      </w:r>
      <w:r w:rsidR="000B5B15">
        <w:t>‘</w:t>
      </w:r>
      <w:r w:rsidRPr="006D6D07">
        <w:t>bankrupt</w:t>
      </w:r>
      <w:r w:rsidR="000B5B15">
        <w:t>’</w:t>
      </w:r>
      <w:r w:rsidRPr="006D6D07">
        <w:t xml:space="preserve"> by joining federated Australia, as Newfoundland is said to have done when Canada federated</w:t>
      </w:r>
    </w:p>
    <w:p w14:paraId="2644F8FD" w14:textId="05D03BE5" w:rsidR="00F66D53" w:rsidRPr="006D6D07" w:rsidRDefault="00496DF0" w:rsidP="0063768C">
      <w:pPr>
        <w:pStyle w:val="Bullet"/>
      </w:pPr>
      <w:r>
        <w:t xml:space="preserve">the </w:t>
      </w:r>
      <w:r w:rsidR="00F66D53" w:rsidRPr="006D6D07">
        <w:t xml:space="preserve">transport of mail and goods would be easier as the </w:t>
      </w:r>
      <w:r w:rsidR="000B5B15">
        <w:t>‘</w:t>
      </w:r>
      <w:r w:rsidR="00F66D53" w:rsidRPr="006D6D07">
        <w:t>trans-continental railway</w:t>
      </w:r>
      <w:r w:rsidR="000B5B15">
        <w:t>’</w:t>
      </w:r>
      <w:r w:rsidR="00F66D53" w:rsidRPr="006D6D07">
        <w:t xml:space="preserve"> passed through capital cities and Western Australia, with Fremantle the </w:t>
      </w:r>
      <w:r w:rsidR="000B5B15">
        <w:t>‘</w:t>
      </w:r>
      <w:r w:rsidR="00F66D53" w:rsidRPr="006D6D07">
        <w:t>first and last port of call</w:t>
      </w:r>
      <w:r w:rsidR="000B5B15">
        <w:t>’</w:t>
      </w:r>
      <w:r>
        <w:t>.</w:t>
      </w:r>
    </w:p>
    <w:p w14:paraId="680A39F9" w14:textId="77777777" w:rsidR="00E22285" w:rsidRDefault="00E22285" w:rsidP="006D6D07">
      <w:pPr>
        <w:pStyle w:val="Heading3"/>
      </w:pPr>
      <w:r w:rsidRPr="00BA00B7">
        <w:t xml:space="preserve">Question </w:t>
      </w:r>
      <w:r>
        <w:t>3</w:t>
      </w:r>
      <w:r w:rsidRPr="00BA00B7">
        <w:t>b.</w:t>
      </w:r>
    </w:p>
    <w:tbl>
      <w:tblPr>
        <w:tblStyle w:val="VCAATableClosed"/>
        <w:tblW w:w="0" w:type="auto"/>
        <w:tblLook w:val="01E0" w:firstRow="1" w:lastRow="1" w:firstColumn="1" w:lastColumn="1" w:noHBand="0" w:noVBand="0"/>
      </w:tblPr>
      <w:tblGrid>
        <w:gridCol w:w="864"/>
        <w:gridCol w:w="691"/>
        <w:gridCol w:w="567"/>
        <w:gridCol w:w="708"/>
        <w:gridCol w:w="567"/>
        <w:gridCol w:w="709"/>
        <w:gridCol w:w="709"/>
        <w:gridCol w:w="709"/>
        <w:gridCol w:w="709"/>
        <w:gridCol w:w="709"/>
        <w:gridCol w:w="709"/>
        <w:gridCol w:w="709"/>
        <w:gridCol w:w="864"/>
      </w:tblGrid>
      <w:tr w:rsidR="003724FE" w:rsidRPr="00D923D6" w14:paraId="68CF3D3A"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C30A1D2" w14:textId="77777777" w:rsidR="003724FE" w:rsidRPr="00D923D6" w:rsidRDefault="003724FE" w:rsidP="00D923D6">
            <w:pPr>
              <w:pStyle w:val="Tablecondensedheading"/>
            </w:pPr>
            <w:r w:rsidRPr="00D923D6">
              <w:t>Marks</w:t>
            </w:r>
          </w:p>
        </w:tc>
        <w:tc>
          <w:tcPr>
            <w:tcW w:w="691" w:type="dxa"/>
          </w:tcPr>
          <w:p w14:paraId="00BCD98C" w14:textId="77777777" w:rsidR="003724FE" w:rsidRPr="00D923D6" w:rsidRDefault="003724FE" w:rsidP="00D923D6">
            <w:pPr>
              <w:pStyle w:val="Tablecondensedheading"/>
            </w:pPr>
            <w:r w:rsidRPr="00D923D6">
              <w:t>0</w:t>
            </w:r>
          </w:p>
        </w:tc>
        <w:tc>
          <w:tcPr>
            <w:tcW w:w="567" w:type="dxa"/>
          </w:tcPr>
          <w:p w14:paraId="67F284AF" w14:textId="77777777" w:rsidR="003724FE" w:rsidRPr="00D923D6" w:rsidRDefault="003724FE" w:rsidP="00D923D6">
            <w:pPr>
              <w:pStyle w:val="Tablecondensedheading"/>
            </w:pPr>
            <w:r w:rsidRPr="00D923D6">
              <w:t>1</w:t>
            </w:r>
          </w:p>
        </w:tc>
        <w:tc>
          <w:tcPr>
            <w:tcW w:w="708" w:type="dxa"/>
          </w:tcPr>
          <w:p w14:paraId="5DD90996" w14:textId="77777777" w:rsidR="003724FE" w:rsidRPr="00D923D6" w:rsidRDefault="003724FE" w:rsidP="00D923D6">
            <w:pPr>
              <w:pStyle w:val="Tablecondensedheading"/>
            </w:pPr>
            <w:r w:rsidRPr="00D923D6">
              <w:t>2</w:t>
            </w:r>
          </w:p>
        </w:tc>
        <w:tc>
          <w:tcPr>
            <w:tcW w:w="567" w:type="dxa"/>
          </w:tcPr>
          <w:p w14:paraId="6A51A6E4" w14:textId="77777777" w:rsidR="003724FE" w:rsidRPr="00D923D6" w:rsidRDefault="003724FE" w:rsidP="00D923D6">
            <w:pPr>
              <w:pStyle w:val="Tablecondensedheading"/>
            </w:pPr>
            <w:r w:rsidRPr="00D923D6">
              <w:t>3</w:t>
            </w:r>
          </w:p>
        </w:tc>
        <w:tc>
          <w:tcPr>
            <w:tcW w:w="709" w:type="dxa"/>
          </w:tcPr>
          <w:p w14:paraId="597C6C24" w14:textId="77777777" w:rsidR="003724FE" w:rsidRPr="00D923D6" w:rsidRDefault="003724FE" w:rsidP="00D923D6">
            <w:pPr>
              <w:pStyle w:val="Tablecondensedheading"/>
            </w:pPr>
            <w:r w:rsidRPr="00D923D6">
              <w:t>4</w:t>
            </w:r>
          </w:p>
        </w:tc>
        <w:tc>
          <w:tcPr>
            <w:tcW w:w="709" w:type="dxa"/>
          </w:tcPr>
          <w:p w14:paraId="154D8FD3" w14:textId="77777777" w:rsidR="003724FE" w:rsidRPr="00D923D6" w:rsidRDefault="003724FE" w:rsidP="00D923D6">
            <w:pPr>
              <w:pStyle w:val="Tablecondensedheading"/>
            </w:pPr>
            <w:r w:rsidRPr="00D923D6">
              <w:t>5</w:t>
            </w:r>
          </w:p>
        </w:tc>
        <w:tc>
          <w:tcPr>
            <w:tcW w:w="709" w:type="dxa"/>
          </w:tcPr>
          <w:p w14:paraId="5B9356F6" w14:textId="77777777" w:rsidR="003724FE" w:rsidRPr="00D923D6" w:rsidRDefault="003724FE" w:rsidP="00D923D6">
            <w:pPr>
              <w:pStyle w:val="Tablecondensedheading"/>
            </w:pPr>
            <w:r w:rsidRPr="00D923D6">
              <w:t>6</w:t>
            </w:r>
          </w:p>
        </w:tc>
        <w:tc>
          <w:tcPr>
            <w:tcW w:w="709" w:type="dxa"/>
          </w:tcPr>
          <w:p w14:paraId="3E7BF5E2" w14:textId="77777777" w:rsidR="003724FE" w:rsidRPr="00D923D6" w:rsidRDefault="003724FE" w:rsidP="00D923D6">
            <w:pPr>
              <w:pStyle w:val="Tablecondensedheading"/>
            </w:pPr>
            <w:r w:rsidRPr="00D923D6">
              <w:t>7</w:t>
            </w:r>
          </w:p>
        </w:tc>
        <w:tc>
          <w:tcPr>
            <w:tcW w:w="709" w:type="dxa"/>
          </w:tcPr>
          <w:p w14:paraId="3494A2C3" w14:textId="77777777" w:rsidR="003724FE" w:rsidRPr="00D923D6" w:rsidRDefault="003724FE" w:rsidP="00D923D6">
            <w:pPr>
              <w:pStyle w:val="Tablecondensedheading"/>
            </w:pPr>
            <w:r w:rsidRPr="00D923D6">
              <w:t>8</w:t>
            </w:r>
          </w:p>
        </w:tc>
        <w:tc>
          <w:tcPr>
            <w:tcW w:w="709" w:type="dxa"/>
          </w:tcPr>
          <w:p w14:paraId="4534ED81" w14:textId="77777777" w:rsidR="003724FE" w:rsidRPr="00D923D6" w:rsidRDefault="003724FE" w:rsidP="00D923D6">
            <w:pPr>
              <w:pStyle w:val="Tablecondensedheading"/>
            </w:pPr>
            <w:r w:rsidRPr="00D923D6">
              <w:t>9</w:t>
            </w:r>
          </w:p>
        </w:tc>
        <w:tc>
          <w:tcPr>
            <w:tcW w:w="709" w:type="dxa"/>
          </w:tcPr>
          <w:p w14:paraId="1A883F76" w14:textId="77777777" w:rsidR="003724FE" w:rsidRPr="00D923D6" w:rsidRDefault="003724FE" w:rsidP="00D923D6">
            <w:pPr>
              <w:pStyle w:val="Tablecondensedheading"/>
            </w:pPr>
            <w:r w:rsidRPr="00D923D6">
              <w:t>10</w:t>
            </w:r>
          </w:p>
        </w:tc>
        <w:tc>
          <w:tcPr>
            <w:tcW w:w="864" w:type="dxa"/>
          </w:tcPr>
          <w:p w14:paraId="77F76449" w14:textId="77777777" w:rsidR="003724FE" w:rsidRPr="00D923D6" w:rsidRDefault="003724FE" w:rsidP="00D923D6">
            <w:pPr>
              <w:pStyle w:val="Tablecondensedheading"/>
            </w:pPr>
            <w:r w:rsidRPr="00D923D6">
              <w:t>Average</w:t>
            </w:r>
          </w:p>
        </w:tc>
      </w:tr>
      <w:tr w:rsidR="003D59F6" w:rsidRPr="00D923D6" w14:paraId="191F6BF3" w14:textId="77777777" w:rsidTr="007A45BC">
        <w:trPr>
          <w:trHeight w:hRule="exact" w:val="397"/>
        </w:trPr>
        <w:tc>
          <w:tcPr>
            <w:tcW w:w="864" w:type="dxa"/>
          </w:tcPr>
          <w:p w14:paraId="716CCBE2" w14:textId="77777777" w:rsidR="003D59F6" w:rsidRPr="00D923D6" w:rsidRDefault="003D59F6" w:rsidP="00D923D6">
            <w:pPr>
              <w:pStyle w:val="Tablecondensed"/>
            </w:pPr>
            <w:r w:rsidRPr="00D923D6">
              <w:t>%</w:t>
            </w:r>
          </w:p>
        </w:tc>
        <w:tc>
          <w:tcPr>
            <w:tcW w:w="691" w:type="dxa"/>
            <w:vAlign w:val="bottom"/>
          </w:tcPr>
          <w:p w14:paraId="75D699EE" w14:textId="426A799A" w:rsidR="003D59F6" w:rsidRPr="00D923D6" w:rsidRDefault="003D59F6" w:rsidP="00D923D6">
            <w:pPr>
              <w:pStyle w:val="Tablecondensed"/>
            </w:pPr>
            <w:r w:rsidRPr="00D923D6">
              <w:t>2</w:t>
            </w:r>
          </w:p>
        </w:tc>
        <w:tc>
          <w:tcPr>
            <w:tcW w:w="567" w:type="dxa"/>
            <w:vAlign w:val="bottom"/>
          </w:tcPr>
          <w:p w14:paraId="44DC30FA" w14:textId="565F3327" w:rsidR="003D59F6" w:rsidRPr="00D923D6" w:rsidRDefault="003D59F6" w:rsidP="00D923D6">
            <w:pPr>
              <w:pStyle w:val="Tablecondensed"/>
            </w:pPr>
            <w:r w:rsidRPr="00D923D6">
              <w:t>5</w:t>
            </w:r>
          </w:p>
        </w:tc>
        <w:tc>
          <w:tcPr>
            <w:tcW w:w="708" w:type="dxa"/>
            <w:vAlign w:val="bottom"/>
          </w:tcPr>
          <w:p w14:paraId="4E4FC7DA" w14:textId="602DB66E" w:rsidR="003D59F6" w:rsidRPr="00D923D6" w:rsidRDefault="003D59F6" w:rsidP="00D923D6">
            <w:pPr>
              <w:pStyle w:val="Tablecondensed"/>
            </w:pPr>
            <w:r w:rsidRPr="00D923D6">
              <w:t>5</w:t>
            </w:r>
          </w:p>
        </w:tc>
        <w:tc>
          <w:tcPr>
            <w:tcW w:w="567" w:type="dxa"/>
            <w:vAlign w:val="bottom"/>
          </w:tcPr>
          <w:p w14:paraId="65B2D8A6" w14:textId="07C919FD" w:rsidR="003D59F6" w:rsidRPr="00D923D6" w:rsidRDefault="003D59F6" w:rsidP="00D923D6">
            <w:pPr>
              <w:pStyle w:val="Tablecondensed"/>
            </w:pPr>
            <w:r w:rsidRPr="00D923D6">
              <w:t>10</w:t>
            </w:r>
          </w:p>
        </w:tc>
        <w:tc>
          <w:tcPr>
            <w:tcW w:w="709" w:type="dxa"/>
            <w:vAlign w:val="bottom"/>
          </w:tcPr>
          <w:p w14:paraId="192E4C12" w14:textId="3805C759" w:rsidR="003D59F6" w:rsidRPr="00D923D6" w:rsidRDefault="003D59F6" w:rsidP="00D923D6">
            <w:pPr>
              <w:pStyle w:val="Tablecondensed"/>
            </w:pPr>
            <w:r w:rsidRPr="00D923D6">
              <w:t>14</w:t>
            </w:r>
          </w:p>
        </w:tc>
        <w:tc>
          <w:tcPr>
            <w:tcW w:w="709" w:type="dxa"/>
            <w:vAlign w:val="bottom"/>
          </w:tcPr>
          <w:p w14:paraId="20291A5E" w14:textId="7AF32AAF" w:rsidR="003D59F6" w:rsidRPr="00D923D6" w:rsidRDefault="003D59F6" w:rsidP="00D923D6">
            <w:pPr>
              <w:pStyle w:val="Tablecondensed"/>
            </w:pPr>
            <w:r w:rsidRPr="00D923D6">
              <w:t>18</w:t>
            </w:r>
          </w:p>
        </w:tc>
        <w:tc>
          <w:tcPr>
            <w:tcW w:w="709" w:type="dxa"/>
            <w:vAlign w:val="bottom"/>
          </w:tcPr>
          <w:p w14:paraId="63E55B18" w14:textId="6AE77606" w:rsidR="003D59F6" w:rsidRPr="00D923D6" w:rsidRDefault="003D59F6" w:rsidP="00D923D6">
            <w:pPr>
              <w:pStyle w:val="Tablecondensed"/>
            </w:pPr>
            <w:r w:rsidRPr="00D923D6">
              <w:t>12</w:t>
            </w:r>
          </w:p>
        </w:tc>
        <w:tc>
          <w:tcPr>
            <w:tcW w:w="709" w:type="dxa"/>
            <w:vAlign w:val="bottom"/>
          </w:tcPr>
          <w:p w14:paraId="70E4847A" w14:textId="1259185E" w:rsidR="003D59F6" w:rsidRPr="00D923D6" w:rsidRDefault="003D59F6" w:rsidP="00D923D6">
            <w:pPr>
              <w:pStyle w:val="Tablecondensed"/>
            </w:pPr>
            <w:r w:rsidRPr="00D923D6">
              <w:t>15</w:t>
            </w:r>
          </w:p>
        </w:tc>
        <w:tc>
          <w:tcPr>
            <w:tcW w:w="709" w:type="dxa"/>
            <w:vAlign w:val="bottom"/>
          </w:tcPr>
          <w:p w14:paraId="09BB3795" w14:textId="349B0035" w:rsidR="003D59F6" w:rsidRPr="00D923D6" w:rsidRDefault="003D59F6" w:rsidP="00D923D6">
            <w:pPr>
              <w:pStyle w:val="Tablecondensed"/>
            </w:pPr>
            <w:r w:rsidRPr="00D923D6">
              <w:t>12</w:t>
            </w:r>
          </w:p>
        </w:tc>
        <w:tc>
          <w:tcPr>
            <w:tcW w:w="709" w:type="dxa"/>
            <w:vAlign w:val="bottom"/>
          </w:tcPr>
          <w:p w14:paraId="6E4FFAF6" w14:textId="17390D58" w:rsidR="003D59F6" w:rsidRPr="00D923D6" w:rsidRDefault="003D59F6" w:rsidP="00D923D6">
            <w:pPr>
              <w:pStyle w:val="Tablecondensed"/>
            </w:pPr>
            <w:r w:rsidRPr="00D923D6">
              <w:t>5</w:t>
            </w:r>
          </w:p>
        </w:tc>
        <w:tc>
          <w:tcPr>
            <w:tcW w:w="709" w:type="dxa"/>
            <w:vAlign w:val="bottom"/>
          </w:tcPr>
          <w:p w14:paraId="0D5B932D" w14:textId="475D5F20" w:rsidR="003D59F6" w:rsidRPr="00D923D6" w:rsidRDefault="003D59F6" w:rsidP="00D923D6">
            <w:pPr>
              <w:pStyle w:val="Tablecondensed"/>
            </w:pPr>
            <w:r w:rsidRPr="00D923D6">
              <w:t>3</w:t>
            </w:r>
          </w:p>
        </w:tc>
        <w:tc>
          <w:tcPr>
            <w:tcW w:w="864" w:type="dxa"/>
            <w:vAlign w:val="bottom"/>
          </w:tcPr>
          <w:p w14:paraId="0D29D6BB" w14:textId="52C00C55" w:rsidR="003D59F6" w:rsidRPr="00D923D6" w:rsidRDefault="003D59F6" w:rsidP="00D923D6">
            <w:pPr>
              <w:pStyle w:val="Tablecondensed"/>
            </w:pPr>
            <w:r w:rsidRPr="00D923D6">
              <w:t>5.3</w:t>
            </w:r>
          </w:p>
        </w:tc>
      </w:tr>
    </w:tbl>
    <w:p w14:paraId="7088C8DE" w14:textId="209669DB" w:rsidR="00E22285" w:rsidRPr="006D6D07" w:rsidRDefault="00E80B40" w:rsidP="006D6D07">
      <w:pPr>
        <w:pStyle w:val="BodyText"/>
      </w:pPr>
      <w:r w:rsidRPr="006D6D07">
        <w:t xml:space="preserve">Question </w:t>
      </w:r>
      <w:r w:rsidR="00165901" w:rsidRPr="006D6D07">
        <w:t>3</w:t>
      </w:r>
      <w:r w:rsidRPr="006D6D07">
        <w:t xml:space="preserve">b. required students to evaluate </w:t>
      </w:r>
      <w:r w:rsidR="00165901" w:rsidRPr="006D6D07">
        <w:t>the extent to which the experience of Australian workers improved between 1890 and 1913, using Source 10 and other evidence to support their answer.</w:t>
      </w:r>
      <w:r w:rsidR="006D6D07" w:rsidRPr="006D6D07">
        <w:t xml:space="preserve"> </w:t>
      </w:r>
      <w:r w:rsidR="007B4F54" w:rsidRPr="006D6D07">
        <w:t>Higher</w:t>
      </w:r>
      <w:r w:rsidR="00C84605">
        <w:t>-</w:t>
      </w:r>
      <w:r w:rsidR="007B4F54" w:rsidRPr="006D6D07">
        <w:t>scoring responses tended to use the source effectively for both lines of argument, noting that the Harvester Judgement created a male basic wage that was sufficient to support the needs of a family,</w:t>
      </w:r>
      <w:r w:rsidR="009D3B4B" w:rsidRPr="006D6D07">
        <w:t xml:space="preserve"> but also that this wage was for a male breadwinner and such a rate was not extended to women</w:t>
      </w:r>
      <w:r w:rsidR="00C84605">
        <w:t>,</w:t>
      </w:r>
      <w:r w:rsidR="009D3B4B" w:rsidRPr="006D6D07">
        <w:t xml:space="preserve"> who continued to fight the </w:t>
      </w:r>
      <w:r w:rsidR="000B5B15">
        <w:t>‘</w:t>
      </w:r>
      <w:r w:rsidR="009D3B4B" w:rsidRPr="006D6D07">
        <w:t>dual standard</w:t>
      </w:r>
      <w:r w:rsidR="000B5B15">
        <w:t>’</w:t>
      </w:r>
      <w:r w:rsidR="009D3B4B" w:rsidRPr="006D6D07">
        <w:t xml:space="preserve"> </w:t>
      </w:r>
      <w:r w:rsidR="00C84605">
        <w:t>over</w:t>
      </w:r>
      <w:r w:rsidR="00C84605" w:rsidRPr="006D6D07">
        <w:t xml:space="preserve"> </w:t>
      </w:r>
      <w:r w:rsidR="009D3B4B" w:rsidRPr="006D6D07">
        <w:t>the next 60 years.</w:t>
      </w:r>
      <w:r w:rsidR="006D6D07" w:rsidRPr="006D6D07">
        <w:t xml:space="preserve"> </w:t>
      </w:r>
      <w:r w:rsidR="009D3B4B" w:rsidRPr="006D6D07">
        <w:t>In addition to these lines of argument, high</w:t>
      </w:r>
      <w:r w:rsidR="00C84605">
        <w:t>-</w:t>
      </w:r>
      <w:r w:rsidR="009D3B4B" w:rsidRPr="006D6D07">
        <w:t>scoring responses noted other improvements such as the creation of the Conciliation and Arbitration Court, and the formation and early success of Labor parties in the colonies (later states) and federally.</w:t>
      </w:r>
      <w:r w:rsidR="006D6D07" w:rsidRPr="006D6D07">
        <w:t xml:space="preserve"> </w:t>
      </w:r>
      <w:r w:rsidR="009D3B4B" w:rsidRPr="006D6D07">
        <w:t xml:space="preserve">By contrast, many responses noted that </w:t>
      </w:r>
      <w:r w:rsidR="00FF4CA4" w:rsidRPr="006D6D07">
        <w:t xml:space="preserve">the experiences of women workers did not improve by the same degree </w:t>
      </w:r>
      <w:r w:rsidR="0076732C" w:rsidRPr="006D6D07">
        <w:t xml:space="preserve">(although there was some economic progress for some groups) </w:t>
      </w:r>
      <w:r w:rsidR="00FF4CA4" w:rsidRPr="006D6D07">
        <w:t xml:space="preserve">and Aboriginal workers often experienced continuities of working conditions or even </w:t>
      </w:r>
      <w:r w:rsidR="00C84605">
        <w:t xml:space="preserve">a </w:t>
      </w:r>
      <w:r w:rsidR="00FF4CA4" w:rsidRPr="006D6D07">
        <w:t>decline in conditions following Federation.</w:t>
      </w:r>
      <w:r w:rsidR="006D6D07" w:rsidRPr="006D6D07">
        <w:t xml:space="preserve"> </w:t>
      </w:r>
      <w:r w:rsidR="00FF4CA4" w:rsidRPr="006D6D07">
        <w:t>In order to score full marks, responses needed to include some knowledge of the period before and the period after Federation.</w:t>
      </w:r>
      <w:r w:rsidR="006D6D07" w:rsidRPr="006D6D07">
        <w:t xml:space="preserve"> </w:t>
      </w:r>
      <w:r w:rsidR="00FF4CA4" w:rsidRPr="006D6D07">
        <w:t>This commonly consisted of the failed strikes, economic depression and decline of union power in the 1890s or the formation and early success of Labor parties during this period.</w:t>
      </w:r>
      <w:r w:rsidR="006D6D07" w:rsidRPr="006D6D07">
        <w:t xml:space="preserve"> </w:t>
      </w:r>
    </w:p>
    <w:p w14:paraId="07667021" w14:textId="77EBA3FB" w:rsidR="00CB47F3" w:rsidRPr="006D6D07" w:rsidRDefault="00FF4CA4" w:rsidP="006D6D07">
      <w:pPr>
        <w:pStyle w:val="BodyText"/>
        <w:rPr>
          <w:highlight w:val="lightGray"/>
        </w:rPr>
      </w:pPr>
      <w:r w:rsidRPr="006D6D07">
        <w:t>The following is an example of a high-scoring response</w:t>
      </w:r>
      <w:r w:rsidR="009E59B1" w:rsidRPr="006D6D07">
        <w:t>:</w:t>
      </w:r>
    </w:p>
    <w:p w14:paraId="6B83C69B" w14:textId="29C77EFE" w:rsidR="00CB47F3" w:rsidRPr="00CA5021" w:rsidRDefault="00CB47F3" w:rsidP="00CA5021">
      <w:pPr>
        <w:pStyle w:val="Studentsamples"/>
        <w:rPr>
          <w:highlight w:val="lightGray"/>
        </w:rPr>
      </w:pPr>
      <w:r w:rsidRPr="00CA5021">
        <w:t>Whilst the experience of Australian male workers improved significantly between 1890 and 1913 due to union movements, these liberties were not extended to women.</w:t>
      </w:r>
      <w:r w:rsidR="006D6D07" w:rsidRPr="00CA5021">
        <w:t xml:space="preserve"> </w:t>
      </w:r>
      <w:r w:rsidRPr="00CA5021">
        <w:t>Political movements such as Chartism and unionism encouraged a fight to improve the experience of workers.</w:t>
      </w:r>
      <w:r w:rsidR="006D6D07" w:rsidRPr="00CA5021">
        <w:t xml:space="preserve"> </w:t>
      </w:r>
      <w:r w:rsidRPr="00CA5021">
        <w:t xml:space="preserve">According to W.G. Spence </w:t>
      </w:r>
      <w:r w:rsidR="000B5B15" w:rsidRPr="00CA5021">
        <w:t>‘</w:t>
      </w:r>
      <w:r w:rsidRPr="00CA5021">
        <w:t>unions came to the Australian bushman like a religion</w:t>
      </w:r>
      <w:r w:rsidR="000B5B15" w:rsidRPr="00CA5021">
        <w:t>’</w:t>
      </w:r>
      <w:r w:rsidRPr="00CA5021">
        <w:t>.</w:t>
      </w:r>
      <w:r w:rsidR="006D6D07" w:rsidRPr="00CA5021">
        <w:t xml:space="preserve"> </w:t>
      </w:r>
      <w:r w:rsidRPr="00CA5021">
        <w:t xml:space="preserve">This movement was crucial in urging constant rebellion against systems that worsened the livelihoods of Australian </w:t>
      </w:r>
      <w:r w:rsidR="00E668D5" w:rsidRPr="00CA5021">
        <w:t xml:space="preserve">workers, illustrated by the 1891 </w:t>
      </w:r>
      <w:r w:rsidR="00E668D5" w:rsidRPr="00CA5021">
        <w:lastRenderedPageBreak/>
        <w:t>Queensland Shearers strike.</w:t>
      </w:r>
      <w:r w:rsidR="006D6D07" w:rsidRPr="00CA5021">
        <w:t xml:space="preserve"> </w:t>
      </w:r>
      <w:r w:rsidR="00E668D5" w:rsidRPr="00CA5021">
        <w:t>This strike signified the ongoing struggle against employers, essential to improve experience.</w:t>
      </w:r>
      <w:r w:rsidR="006D6D07" w:rsidRPr="00CA5021">
        <w:t xml:space="preserve"> </w:t>
      </w:r>
      <w:r w:rsidR="00E668D5" w:rsidRPr="00CA5021">
        <w:t xml:space="preserve">Whilst the </w:t>
      </w:r>
      <w:proofErr w:type="gramStart"/>
      <w:r w:rsidR="00E668D5" w:rsidRPr="00CA5021">
        <w:t>8 hour</w:t>
      </w:r>
      <w:proofErr w:type="gramEnd"/>
      <w:r w:rsidR="00E668D5" w:rsidRPr="00CA5021">
        <w:t xml:space="preserve"> day had been achieved, the minimum wage was still not available for all workers.</w:t>
      </w:r>
      <w:r w:rsidR="006D6D07" w:rsidRPr="00CA5021">
        <w:t xml:space="preserve"> </w:t>
      </w:r>
      <w:r w:rsidR="00E668D5" w:rsidRPr="00CA5021">
        <w:t xml:space="preserve">The Harvester Judgement in 1907, where Henry Higgins </w:t>
      </w:r>
      <w:r w:rsidR="000B5B15" w:rsidRPr="00CA5021">
        <w:t>‘</w:t>
      </w:r>
      <w:r w:rsidR="00E668D5" w:rsidRPr="00CA5021">
        <w:t>determined that a [fair and reasonable] wage should be sufficient to maintain a man</w:t>
      </w:r>
      <w:r w:rsidR="000B5B15" w:rsidRPr="00CA5021">
        <w:t>’</w:t>
      </w:r>
      <w:r w:rsidR="00E668D5" w:rsidRPr="00CA5021">
        <w:t xml:space="preserve"> demonstrated how unions could battle struggles of capitalism which worsened their daily experience.</w:t>
      </w:r>
      <w:r w:rsidR="006D6D07" w:rsidRPr="00CA5021">
        <w:t xml:space="preserve"> </w:t>
      </w:r>
      <w:r w:rsidR="00E668D5" w:rsidRPr="00CA5021">
        <w:t xml:space="preserve">This minimum wage allowed male workers to provide for a family and cover </w:t>
      </w:r>
      <w:r w:rsidR="000B5B15" w:rsidRPr="00CA5021">
        <w:t>‘</w:t>
      </w:r>
      <w:r w:rsidR="00E668D5" w:rsidRPr="00CA5021">
        <w:t>cost[s] of having clothing, food, transport</w:t>
      </w:r>
      <w:r w:rsidR="000B5B15" w:rsidRPr="00CA5021">
        <w:t>’</w:t>
      </w:r>
      <w:r w:rsidR="00E668D5" w:rsidRPr="00CA5021">
        <w:t xml:space="preserve"> (source 10).</w:t>
      </w:r>
      <w:r w:rsidR="006D6D07" w:rsidRPr="00CA5021">
        <w:t xml:space="preserve"> </w:t>
      </w:r>
      <w:r w:rsidR="00E668D5" w:rsidRPr="00CA5021">
        <w:t>This</w:t>
      </w:r>
      <w:r w:rsidR="00AA764F" w:rsidRPr="00CA5021">
        <w:t xml:space="preserve"> achieved the struggles of Australian male workers and promoted the egalitarian </w:t>
      </w:r>
      <w:r w:rsidR="000B5B15" w:rsidRPr="00CA5021">
        <w:t>‘</w:t>
      </w:r>
      <w:r w:rsidR="00AA764F" w:rsidRPr="00CA5021">
        <w:t>working man’s paradise</w:t>
      </w:r>
      <w:r w:rsidR="000B5B15" w:rsidRPr="00CA5021">
        <w:t>’</w:t>
      </w:r>
      <w:r w:rsidR="00AA764F" w:rsidRPr="00CA5021">
        <w:t xml:space="preserve"> (Prat et al, 2022) where fair livelihoods were achieved.</w:t>
      </w:r>
      <w:r w:rsidR="006D6D07" w:rsidRPr="00CA5021">
        <w:t xml:space="preserve"> </w:t>
      </w:r>
      <w:r w:rsidR="00AA764F" w:rsidRPr="00CA5021">
        <w:t>However, the egalitarian society was not extended to women</w:t>
      </w:r>
      <w:r w:rsidR="00C84605" w:rsidRPr="00CA5021">
        <w:t>,</w:t>
      </w:r>
      <w:r w:rsidR="00AA764F" w:rsidRPr="00CA5021">
        <w:t xml:space="preserve"> who were excluded from the minimum wage as they were not considered breadwinners.</w:t>
      </w:r>
      <w:r w:rsidR="006D6D07" w:rsidRPr="00CA5021">
        <w:t xml:space="preserve"> </w:t>
      </w:r>
      <w:r w:rsidR="00AA764F" w:rsidRPr="00CA5021">
        <w:t>Source 10 states that women contested the dual standard for the next 60 years</w:t>
      </w:r>
      <w:r w:rsidR="000B5B15" w:rsidRPr="00CA5021">
        <w:t>’</w:t>
      </w:r>
      <w:r w:rsidR="00AA764F" w:rsidRPr="00CA5021">
        <w:t>, demonstrating the disadvantages of many women and how their experiences were worse off than male workers.</w:t>
      </w:r>
      <w:r w:rsidR="006D6D07" w:rsidRPr="00CA5021">
        <w:t xml:space="preserve"> </w:t>
      </w:r>
      <w:r w:rsidR="00AA764F" w:rsidRPr="00CA5021">
        <w:t>The Fruit Pickers judgement in 1912 only allowed women in same</w:t>
      </w:r>
      <w:r w:rsidR="00EA54FA" w:rsidRPr="00CA5021">
        <w:t xml:space="preserve"> industry as men to receive the same wage, otherwise they would only </w:t>
      </w:r>
      <w:proofErr w:type="gramStart"/>
      <w:r w:rsidR="00EA54FA" w:rsidRPr="00CA5021">
        <w:t>achieved</w:t>
      </w:r>
      <w:proofErr w:type="gramEnd"/>
      <w:r w:rsidR="00EA54FA" w:rsidRPr="00CA5021">
        <w:t xml:space="preserve"> 54% of their male counterpart</w:t>
      </w:r>
      <w:r w:rsidR="00C84605" w:rsidRPr="00CA5021">
        <w:t>’</w:t>
      </w:r>
      <w:r w:rsidR="00EA54FA" w:rsidRPr="00CA5021">
        <w:t>s wage.</w:t>
      </w:r>
      <w:r w:rsidR="006D6D07" w:rsidRPr="00CA5021">
        <w:t xml:space="preserve"> </w:t>
      </w:r>
      <w:r w:rsidR="00EA54FA" w:rsidRPr="00CA5021">
        <w:t>Thus, whilst experiences of male workers improved between 1890 and 1913, women’s experiences largely stayed the same.</w:t>
      </w:r>
      <w:r w:rsidR="006D6D07" w:rsidRPr="00CA5021">
        <w:t xml:space="preserve"> </w:t>
      </w:r>
    </w:p>
    <w:p w14:paraId="234C2218" w14:textId="77777777" w:rsidR="00E22285" w:rsidRDefault="00E22285" w:rsidP="003D59F6">
      <w:pPr>
        <w:pStyle w:val="Heading3"/>
        <w:keepNext/>
      </w:pPr>
      <w:r w:rsidRPr="00BA00B7">
        <w:t xml:space="preserve">Question </w:t>
      </w:r>
      <w:r>
        <w:t>3</w:t>
      </w:r>
      <w:r w:rsidRPr="00BA00B7">
        <w:t>c.</w:t>
      </w:r>
    </w:p>
    <w:tbl>
      <w:tblPr>
        <w:tblStyle w:val="VCAATableClosed"/>
        <w:tblW w:w="0" w:type="auto"/>
        <w:tblLook w:val="01E0" w:firstRow="1" w:lastRow="1" w:firstColumn="1" w:lastColumn="1" w:noHBand="0" w:noVBand="0"/>
      </w:tblPr>
      <w:tblGrid>
        <w:gridCol w:w="864"/>
        <w:gridCol w:w="691"/>
        <w:gridCol w:w="567"/>
        <w:gridCol w:w="708"/>
        <w:gridCol w:w="864"/>
        <w:gridCol w:w="864"/>
      </w:tblGrid>
      <w:tr w:rsidR="003D59F6" w:rsidRPr="00D923D6" w14:paraId="1859A7D6" w14:textId="77777777" w:rsidTr="00D24947">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E092CFA" w14:textId="77777777" w:rsidR="003D59F6" w:rsidRPr="00D923D6" w:rsidRDefault="003D59F6" w:rsidP="00D923D6">
            <w:pPr>
              <w:pStyle w:val="Tablecondensedheading"/>
            </w:pPr>
            <w:r w:rsidRPr="00D923D6">
              <w:t>Marks</w:t>
            </w:r>
          </w:p>
        </w:tc>
        <w:tc>
          <w:tcPr>
            <w:tcW w:w="691" w:type="dxa"/>
          </w:tcPr>
          <w:p w14:paraId="510F6203" w14:textId="77777777" w:rsidR="003D59F6" w:rsidRPr="00D923D6" w:rsidRDefault="003D59F6" w:rsidP="00D923D6">
            <w:pPr>
              <w:pStyle w:val="Tablecondensedheading"/>
            </w:pPr>
            <w:r w:rsidRPr="00D923D6">
              <w:t>0</w:t>
            </w:r>
          </w:p>
        </w:tc>
        <w:tc>
          <w:tcPr>
            <w:tcW w:w="567" w:type="dxa"/>
          </w:tcPr>
          <w:p w14:paraId="562FFC35" w14:textId="77777777" w:rsidR="003D59F6" w:rsidRPr="00D923D6" w:rsidRDefault="003D59F6" w:rsidP="00D923D6">
            <w:pPr>
              <w:pStyle w:val="Tablecondensedheading"/>
            </w:pPr>
            <w:r w:rsidRPr="00D923D6">
              <w:t>1</w:t>
            </w:r>
          </w:p>
        </w:tc>
        <w:tc>
          <w:tcPr>
            <w:tcW w:w="708" w:type="dxa"/>
          </w:tcPr>
          <w:p w14:paraId="09EB6568" w14:textId="77777777" w:rsidR="003D59F6" w:rsidRPr="00D923D6" w:rsidRDefault="003D59F6" w:rsidP="00D923D6">
            <w:pPr>
              <w:pStyle w:val="Tablecondensedheading"/>
            </w:pPr>
            <w:r w:rsidRPr="00D923D6">
              <w:t>2</w:t>
            </w:r>
          </w:p>
        </w:tc>
        <w:tc>
          <w:tcPr>
            <w:tcW w:w="864" w:type="dxa"/>
          </w:tcPr>
          <w:p w14:paraId="476EDB6C" w14:textId="5454B4E4" w:rsidR="003D59F6" w:rsidRPr="00D923D6" w:rsidRDefault="003D59F6" w:rsidP="00D923D6">
            <w:pPr>
              <w:pStyle w:val="Tablecondensedheading"/>
            </w:pPr>
            <w:r w:rsidRPr="00D923D6">
              <w:t>3</w:t>
            </w:r>
          </w:p>
        </w:tc>
        <w:tc>
          <w:tcPr>
            <w:tcW w:w="864" w:type="dxa"/>
          </w:tcPr>
          <w:p w14:paraId="269E0CB1" w14:textId="6DCF5EA5" w:rsidR="003D59F6" w:rsidRPr="00D923D6" w:rsidRDefault="003D59F6" w:rsidP="00D923D6">
            <w:pPr>
              <w:pStyle w:val="Tablecondensedheading"/>
            </w:pPr>
            <w:r w:rsidRPr="00D923D6">
              <w:t>Average</w:t>
            </w:r>
          </w:p>
        </w:tc>
      </w:tr>
      <w:tr w:rsidR="003D59F6" w:rsidRPr="00D923D6" w14:paraId="19303DE8" w14:textId="77777777" w:rsidTr="00611CB6">
        <w:trPr>
          <w:trHeight w:hRule="exact" w:val="397"/>
        </w:trPr>
        <w:tc>
          <w:tcPr>
            <w:tcW w:w="864" w:type="dxa"/>
          </w:tcPr>
          <w:p w14:paraId="428885CC" w14:textId="77777777" w:rsidR="003D59F6" w:rsidRPr="00D923D6" w:rsidRDefault="003D59F6" w:rsidP="00D923D6">
            <w:pPr>
              <w:pStyle w:val="Tablecondensed"/>
            </w:pPr>
            <w:r w:rsidRPr="00D923D6">
              <w:t>%</w:t>
            </w:r>
          </w:p>
        </w:tc>
        <w:tc>
          <w:tcPr>
            <w:tcW w:w="691" w:type="dxa"/>
            <w:vAlign w:val="bottom"/>
          </w:tcPr>
          <w:p w14:paraId="0A81C0C6" w14:textId="56B4DA17" w:rsidR="003D59F6" w:rsidRPr="00D923D6" w:rsidRDefault="003D59F6" w:rsidP="00D923D6">
            <w:pPr>
              <w:pStyle w:val="Tablecondensed"/>
            </w:pPr>
            <w:r w:rsidRPr="00D923D6">
              <w:t>1</w:t>
            </w:r>
          </w:p>
        </w:tc>
        <w:tc>
          <w:tcPr>
            <w:tcW w:w="567" w:type="dxa"/>
            <w:vAlign w:val="bottom"/>
          </w:tcPr>
          <w:p w14:paraId="2ECD215B" w14:textId="28AE5833" w:rsidR="003D59F6" w:rsidRPr="00D923D6" w:rsidRDefault="003D59F6" w:rsidP="00D923D6">
            <w:pPr>
              <w:pStyle w:val="Tablecondensed"/>
            </w:pPr>
            <w:r w:rsidRPr="00D923D6">
              <w:t>6</w:t>
            </w:r>
          </w:p>
        </w:tc>
        <w:tc>
          <w:tcPr>
            <w:tcW w:w="708" w:type="dxa"/>
            <w:vAlign w:val="bottom"/>
          </w:tcPr>
          <w:p w14:paraId="0E856718" w14:textId="6D594497" w:rsidR="003D59F6" w:rsidRPr="00D923D6" w:rsidRDefault="003D59F6" w:rsidP="00D923D6">
            <w:pPr>
              <w:pStyle w:val="Tablecondensed"/>
            </w:pPr>
            <w:r w:rsidRPr="00D923D6">
              <w:t>25</w:t>
            </w:r>
          </w:p>
        </w:tc>
        <w:tc>
          <w:tcPr>
            <w:tcW w:w="864" w:type="dxa"/>
            <w:vAlign w:val="bottom"/>
          </w:tcPr>
          <w:p w14:paraId="18A4CBD1" w14:textId="75B4C7DD" w:rsidR="003D59F6" w:rsidRPr="00D923D6" w:rsidRDefault="003D59F6" w:rsidP="00D923D6">
            <w:pPr>
              <w:pStyle w:val="Tablecondensed"/>
            </w:pPr>
            <w:r w:rsidRPr="00D923D6">
              <w:t>68</w:t>
            </w:r>
          </w:p>
        </w:tc>
        <w:tc>
          <w:tcPr>
            <w:tcW w:w="864" w:type="dxa"/>
          </w:tcPr>
          <w:p w14:paraId="2ED0BEB0" w14:textId="1FB7F52E" w:rsidR="003D59F6" w:rsidRPr="00D923D6" w:rsidRDefault="003D59F6" w:rsidP="00D923D6">
            <w:pPr>
              <w:pStyle w:val="Tablecondensed"/>
            </w:pPr>
            <w:r w:rsidRPr="00D923D6">
              <w:t>2.6</w:t>
            </w:r>
          </w:p>
        </w:tc>
      </w:tr>
    </w:tbl>
    <w:p w14:paraId="696DD068" w14:textId="5A7ECBD5" w:rsidR="00A84CA2" w:rsidRPr="006D6D07" w:rsidRDefault="00A84CA2" w:rsidP="006D6D07">
      <w:pPr>
        <w:pStyle w:val="BodyText"/>
      </w:pPr>
      <w:r>
        <w:t xml:space="preserve">Question </w:t>
      </w:r>
      <w:r w:rsidR="00426425">
        <w:t>3</w:t>
      </w:r>
      <w:r>
        <w:t xml:space="preserve">c. required students to outline three </w:t>
      </w:r>
      <w:r w:rsidR="00165901">
        <w:t>ways in which Aboriginal nationalism contributed to the campaign for land rights in the 1970</w:t>
      </w:r>
      <w:r w:rsidR="187BE339">
        <w:t>s</w:t>
      </w:r>
      <w:r w:rsidR="00165901">
        <w:t xml:space="preserve"> that were </w:t>
      </w:r>
      <w:r w:rsidR="00C84605">
        <w:t xml:space="preserve">provided </w:t>
      </w:r>
      <w:r w:rsidR="00165901">
        <w:t>in Source 11</w:t>
      </w:r>
      <w:r w:rsidR="00C84605">
        <w:t>.</w:t>
      </w:r>
      <w:r w:rsidR="00165901">
        <w:t xml:space="preserve"> </w:t>
      </w:r>
    </w:p>
    <w:p w14:paraId="34E120E4" w14:textId="655F9942" w:rsidR="00A84CA2" w:rsidRPr="006D6D07" w:rsidRDefault="00A84CA2" w:rsidP="006D6D07">
      <w:pPr>
        <w:pStyle w:val="BodyText"/>
      </w:pPr>
      <w:r w:rsidRPr="006D6D07">
        <w:t>Fully formed sentences were required to provide the main features of the argument in the source, and included examples such as:</w:t>
      </w:r>
    </w:p>
    <w:p w14:paraId="41DEF13A" w14:textId="04F09877" w:rsidR="00734F7E" w:rsidRPr="004A6FEF" w:rsidRDefault="00734F7E" w:rsidP="0063768C">
      <w:pPr>
        <w:pStyle w:val="Bullet"/>
      </w:pPr>
      <w:r w:rsidRPr="004A6FEF">
        <w:t xml:space="preserve">Aboriginal nationalism helped bring together different Aboriginal nation groups – it bound </w:t>
      </w:r>
      <w:r w:rsidR="000B5B15">
        <w:t>‘</w:t>
      </w:r>
      <w:r w:rsidRPr="004A6FEF">
        <w:t>disparate groups into a national movement</w:t>
      </w:r>
      <w:r w:rsidR="000B5B15">
        <w:t>’</w:t>
      </w:r>
      <w:r w:rsidR="00C84605">
        <w:t>.</w:t>
      </w:r>
    </w:p>
    <w:p w14:paraId="433ABA08" w14:textId="493414B3" w:rsidR="00734F7E" w:rsidRPr="004A6FEF" w:rsidRDefault="00734F7E" w:rsidP="0063768C">
      <w:pPr>
        <w:pStyle w:val="Bullet"/>
        <w:rPr>
          <w:u w:val="single"/>
        </w:rPr>
      </w:pPr>
      <w:r w:rsidRPr="004A6FEF">
        <w:t xml:space="preserve">The Aboriginal Flag was created as a symbol for land rights activists to come together under – </w:t>
      </w:r>
      <w:r w:rsidR="000B5B15">
        <w:t>‘</w:t>
      </w:r>
      <w:r w:rsidRPr="004A6FEF">
        <w:t>An Aboriginal flag</w:t>
      </w:r>
      <w:r w:rsidR="000945A5">
        <w:t xml:space="preserve"> </w:t>
      </w:r>
      <w:r w:rsidRPr="004A6FEF">
        <w:t>… was raised all over the country</w:t>
      </w:r>
      <w:r w:rsidR="000B5B15">
        <w:t>’</w:t>
      </w:r>
      <w:r w:rsidR="00C84605">
        <w:t>.</w:t>
      </w:r>
    </w:p>
    <w:p w14:paraId="3EFFA81D" w14:textId="4D5E9B25" w:rsidR="00734F7E" w:rsidRPr="004A6FEF" w:rsidRDefault="00734F7E" w:rsidP="0063768C">
      <w:pPr>
        <w:pStyle w:val="Bullet"/>
        <w:rPr>
          <w:u w:val="single"/>
        </w:rPr>
      </w:pPr>
      <w:r w:rsidRPr="004A6FEF">
        <w:t>Aboriginal nationalism helped people to organi</w:t>
      </w:r>
      <w:r w:rsidR="00C84605">
        <w:t>s</w:t>
      </w:r>
      <w:r w:rsidRPr="004A6FEF">
        <w:t xml:space="preserve">e protests for land rights – </w:t>
      </w:r>
      <w:r w:rsidR="000B5B15">
        <w:t>‘</w:t>
      </w:r>
      <w:r w:rsidRPr="004A6FEF">
        <w:t>people across the country marched, occupied sites, formed committees and petitioned parliaments</w:t>
      </w:r>
      <w:r w:rsidR="000B5B15">
        <w:t>’</w:t>
      </w:r>
      <w:r w:rsidRPr="004A6FEF">
        <w:t xml:space="preserve"> and appealed to the UN.</w:t>
      </w:r>
    </w:p>
    <w:p w14:paraId="70E126E4" w14:textId="39A6EE25" w:rsidR="00734F7E" w:rsidRPr="00572BAA" w:rsidRDefault="00734F7E" w:rsidP="0063768C">
      <w:pPr>
        <w:pStyle w:val="Bullet"/>
        <w:rPr>
          <w:u w:val="single"/>
        </w:rPr>
      </w:pPr>
      <w:r w:rsidRPr="004A6FEF">
        <w:t xml:space="preserve">Aboriginal nationalism also brought Aboriginal people together to raise awareness for land rights by connecting with international groups – </w:t>
      </w:r>
      <w:r w:rsidR="000B5B15">
        <w:t>‘</w:t>
      </w:r>
      <w:r w:rsidRPr="004A6FEF">
        <w:t>global networks emerged in the 1970s</w:t>
      </w:r>
      <w:r w:rsidR="000B5B15">
        <w:t>’</w:t>
      </w:r>
      <w:r w:rsidRPr="004A6FEF">
        <w:t xml:space="preserve"> and </w:t>
      </w:r>
      <w:r w:rsidR="000B5B15">
        <w:t>‘</w:t>
      </w:r>
      <w:r w:rsidRPr="004A6FEF">
        <w:t>links with groups overseas</w:t>
      </w:r>
      <w:r w:rsidR="00C84605">
        <w:t xml:space="preserve"> </w:t>
      </w:r>
      <w:r w:rsidRPr="004A6FEF">
        <w:t>… deepened their justifications for Indigenous rights</w:t>
      </w:r>
      <w:r w:rsidR="000B5B15">
        <w:t>’</w:t>
      </w:r>
      <w:r w:rsidR="00C84605">
        <w:t>.</w:t>
      </w:r>
    </w:p>
    <w:p w14:paraId="53E3C699" w14:textId="77777777" w:rsidR="00AC2D50" w:rsidRPr="006D6D07" w:rsidRDefault="00AC2D50" w:rsidP="006D6D07">
      <w:pPr>
        <w:pStyle w:val="BodyText"/>
        <w:rPr>
          <w:highlight w:val="lightGray"/>
        </w:rPr>
      </w:pPr>
      <w:r w:rsidRPr="006D6D07">
        <w:t>The following is an example of a high-scoring response:</w:t>
      </w:r>
    </w:p>
    <w:p w14:paraId="3CF19314" w14:textId="3BB16EBE" w:rsidR="00734F7E" w:rsidRPr="00CA5021" w:rsidRDefault="007730FD" w:rsidP="00CA5021">
      <w:pPr>
        <w:pStyle w:val="Studentsamples"/>
      </w:pPr>
      <w:r w:rsidRPr="00CA5021">
        <w:t xml:space="preserve">One way </w:t>
      </w:r>
      <w:r w:rsidR="00AC2D50" w:rsidRPr="00CA5021">
        <w:t xml:space="preserve">that Aboriginal nationalism contributed to the campaign for land rights </w:t>
      </w:r>
      <w:r w:rsidRPr="00CA5021">
        <w:t xml:space="preserve">was through the creation of </w:t>
      </w:r>
      <w:r w:rsidR="000B5B15" w:rsidRPr="00CA5021">
        <w:t>‘</w:t>
      </w:r>
      <w:r w:rsidRPr="00CA5021">
        <w:t>an Aboriginal flag</w:t>
      </w:r>
      <w:r w:rsidR="000B5B15" w:rsidRPr="00CA5021">
        <w:t>’</w:t>
      </w:r>
      <w:r w:rsidRPr="00CA5021">
        <w:t xml:space="preserve"> which </w:t>
      </w:r>
      <w:r w:rsidR="000B5B15" w:rsidRPr="00CA5021">
        <w:t>‘</w:t>
      </w:r>
      <w:r w:rsidRPr="00CA5021">
        <w:t>gave [Indigenous people] confidence through a shared sense of identi</w:t>
      </w:r>
      <w:r w:rsidR="000945A5" w:rsidRPr="00CA5021">
        <w:t>t</w:t>
      </w:r>
      <w:r w:rsidRPr="00CA5021">
        <w:t>y</w:t>
      </w:r>
      <w:r w:rsidR="000945A5" w:rsidRPr="00CA5021">
        <w:t>’</w:t>
      </w:r>
      <w:r w:rsidRPr="00CA5021">
        <w:t>.</w:t>
      </w:r>
      <w:r w:rsidR="006D6D07" w:rsidRPr="00CA5021">
        <w:t xml:space="preserve"> </w:t>
      </w:r>
      <w:r w:rsidRPr="00CA5021">
        <w:t xml:space="preserve">Another way is as </w:t>
      </w:r>
      <w:r w:rsidR="00263A76" w:rsidRPr="00CA5021">
        <w:t>Indigenous</w:t>
      </w:r>
      <w:r w:rsidRPr="00CA5021">
        <w:t xml:space="preserve"> people moved towards gaining</w:t>
      </w:r>
      <w:r w:rsidR="00263A76" w:rsidRPr="00CA5021">
        <w:t xml:space="preserve"> independence, they </w:t>
      </w:r>
      <w:r w:rsidR="000B5B15" w:rsidRPr="00CA5021">
        <w:t>‘</w:t>
      </w:r>
      <w:r w:rsidR="00263A76" w:rsidRPr="00CA5021">
        <w:t xml:space="preserve">marched, occupied sites, formed committees and petitioned </w:t>
      </w:r>
      <w:proofErr w:type="gramStart"/>
      <w:r w:rsidR="00263A76" w:rsidRPr="00CA5021">
        <w:t>parliaments</w:t>
      </w:r>
      <w:r w:rsidR="000945A5" w:rsidRPr="00CA5021">
        <w:t>’</w:t>
      </w:r>
      <w:proofErr w:type="gramEnd"/>
      <w:r w:rsidR="00263A76" w:rsidRPr="00CA5021">
        <w:t>.</w:t>
      </w:r>
      <w:r w:rsidR="006D6D07" w:rsidRPr="00CA5021">
        <w:t xml:space="preserve"> </w:t>
      </w:r>
      <w:r w:rsidR="00263A76" w:rsidRPr="00CA5021">
        <w:t xml:space="preserve">Another way was by forging </w:t>
      </w:r>
      <w:r w:rsidR="000B5B15" w:rsidRPr="00CA5021">
        <w:t>‘</w:t>
      </w:r>
      <w:r w:rsidR="00263A76" w:rsidRPr="00CA5021">
        <w:t>links with groups overseas</w:t>
      </w:r>
      <w:r w:rsidR="000B5B15" w:rsidRPr="00CA5021">
        <w:t>’</w:t>
      </w:r>
      <w:r w:rsidR="00263A76" w:rsidRPr="00CA5021">
        <w:t xml:space="preserve"> which deepened </w:t>
      </w:r>
      <w:r w:rsidR="000B5B15" w:rsidRPr="00CA5021">
        <w:t>‘</w:t>
      </w:r>
      <w:r w:rsidR="00263A76" w:rsidRPr="00CA5021">
        <w:t xml:space="preserve">their justification for Indigenous </w:t>
      </w:r>
      <w:proofErr w:type="gramStart"/>
      <w:r w:rsidR="00263A76" w:rsidRPr="00CA5021">
        <w:t>rights</w:t>
      </w:r>
      <w:r w:rsidR="000B5B15" w:rsidRPr="00CA5021">
        <w:t>’</w:t>
      </w:r>
      <w:proofErr w:type="gramEnd"/>
      <w:r w:rsidR="00263A76" w:rsidRPr="00CA5021">
        <w:t xml:space="preserve"> and the idea of Aboriginal sovereignty. </w:t>
      </w:r>
    </w:p>
    <w:p w14:paraId="51FE8157" w14:textId="77777777" w:rsidR="00E22285" w:rsidRDefault="00E22285" w:rsidP="006D6D07">
      <w:pPr>
        <w:pStyle w:val="Heading3"/>
      </w:pPr>
      <w:r w:rsidRPr="00BA00B7">
        <w:t xml:space="preserve">Question </w:t>
      </w:r>
      <w:r>
        <w:t>3</w:t>
      </w:r>
      <w:r w:rsidRPr="00BA00B7">
        <w:t>d.</w:t>
      </w:r>
    </w:p>
    <w:tbl>
      <w:tblPr>
        <w:tblStyle w:val="VCAATableClosed"/>
        <w:tblW w:w="0" w:type="auto"/>
        <w:tblLook w:val="01E0" w:firstRow="1" w:lastRow="1" w:firstColumn="1" w:lastColumn="1" w:noHBand="0" w:noVBand="0"/>
      </w:tblPr>
      <w:tblGrid>
        <w:gridCol w:w="864"/>
        <w:gridCol w:w="691"/>
        <w:gridCol w:w="567"/>
        <w:gridCol w:w="708"/>
        <w:gridCol w:w="864"/>
        <w:gridCol w:w="864"/>
        <w:gridCol w:w="864"/>
      </w:tblGrid>
      <w:tr w:rsidR="003D59F6" w:rsidRPr="00D923D6" w14:paraId="5EB4FC87" w14:textId="77777777" w:rsidTr="00AA5FDE">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1833661" w14:textId="77777777" w:rsidR="003D59F6" w:rsidRPr="00D923D6" w:rsidRDefault="003D59F6" w:rsidP="00D923D6">
            <w:pPr>
              <w:pStyle w:val="Tablecondensedheading"/>
            </w:pPr>
            <w:r w:rsidRPr="00D923D6">
              <w:t>Marks</w:t>
            </w:r>
          </w:p>
        </w:tc>
        <w:tc>
          <w:tcPr>
            <w:tcW w:w="691" w:type="dxa"/>
          </w:tcPr>
          <w:p w14:paraId="11C9EC40" w14:textId="77777777" w:rsidR="003D59F6" w:rsidRPr="00D923D6" w:rsidRDefault="003D59F6" w:rsidP="00D923D6">
            <w:pPr>
              <w:pStyle w:val="Tablecondensedheading"/>
            </w:pPr>
            <w:r w:rsidRPr="00D923D6">
              <w:t>0</w:t>
            </w:r>
          </w:p>
        </w:tc>
        <w:tc>
          <w:tcPr>
            <w:tcW w:w="567" w:type="dxa"/>
          </w:tcPr>
          <w:p w14:paraId="0A7911E5" w14:textId="77777777" w:rsidR="003D59F6" w:rsidRPr="00D923D6" w:rsidRDefault="003D59F6" w:rsidP="00D923D6">
            <w:pPr>
              <w:pStyle w:val="Tablecondensedheading"/>
            </w:pPr>
            <w:r w:rsidRPr="00D923D6">
              <w:t>1</w:t>
            </w:r>
          </w:p>
        </w:tc>
        <w:tc>
          <w:tcPr>
            <w:tcW w:w="708" w:type="dxa"/>
          </w:tcPr>
          <w:p w14:paraId="61B02BF9" w14:textId="77777777" w:rsidR="003D59F6" w:rsidRPr="00D923D6" w:rsidRDefault="003D59F6" w:rsidP="00D923D6">
            <w:pPr>
              <w:pStyle w:val="Tablecondensedheading"/>
            </w:pPr>
            <w:r w:rsidRPr="00D923D6">
              <w:t>2</w:t>
            </w:r>
          </w:p>
        </w:tc>
        <w:tc>
          <w:tcPr>
            <w:tcW w:w="864" w:type="dxa"/>
          </w:tcPr>
          <w:p w14:paraId="3E93C89F" w14:textId="77777777" w:rsidR="003D59F6" w:rsidRPr="00D923D6" w:rsidRDefault="003D59F6" w:rsidP="00D923D6">
            <w:pPr>
              <w:pStyle w:val="Tablecondensedheading"/>
            </w:pPr>
            <w:r w:rsidRPr="00D923D6">
              <w:t>3</w:t>
            </w:r>
          </w:p>
        </w:tc>
        <w:tc>
          <w:tcPr>
            <w:tcW w:w="864" w:type="dxa"/>
          </w:tcPr>
          <w:p w14:paraId="59EE83C8" w14:textId="71F96360" w:rsidR="003D59F6" w:rsidRPr="00D923D6" w:rsidRDefault="003D59F6" w:rsidP="00D923D6">
            <w:pPr>
              <w:pStyle w:val="Tablecondensedheading"/>
            </w:pPr>
            <w:r w:rsidRPr="00D923D6">
              <w:t>4</w:t>
            </w:r>
          </w:p>
        </w:tc>
        <w:tc>
          <w:tcPr>
            <w:tcW w:w="864" w:type="dxa"/>
          </w:tcPr>
          <w:p w14:paraId="46845B72" w14:textId="1C21DB80" w:rsidR="003D59F6" w:rsidRPr="00D923D6" w:rsidRDefault="003D59F6" w:rsidP="00D923D6">
            <w:pPr>
              <w:pStyle w:val="Tablecondensedheading"/>
            </w:pPr>
            <w:r w:rsidRPr="00D923D6">
              <w:t>Average</w:t>
            </w:r>
          </w:p>
        </w:tc>
      </w:tr>
      <w:tr w:rsidR="003D59F6" w:rsidRPr="00D923D6" w14:paraId="44568E82" w14:textId="77777777" w:rsidTr="00783A52">
        <w:trPr>
          <w:trHeight w:hRule="exact" w:val="397"/>
        </w:trPr>
        <w:tc>
          <w:tcPr>
            <w:tcW w:w="864" w:type="dxa"/>
          </w:tcPr>
          <w:p w14:paraId="6048B842" w14:textId="77777777" w:rsidR="003D59F6" w:rsidRPr="00D923D6" w:rsidRDefault="003D59F6" w:rsidP="00D923D6">
            <w:pPr>
              <w:pStyle w:val="Tablecondensed"/>
            </w:pPr>
            <w:r w:rsidRPr="00D923D6">
              <w:t>%</w:t>
            </w:r>
          </w:p>
        </w:tc>
        <w:tc>
          <w:tcPr>
            <w:tcW w:w="691" w:type="dxa"/>
            <w:vAlign w:val="bottom"/>
          </w:tcPr>
          <w:p w14:paraId="60D1A76C" w14:textId="248EC898" w:rsidR="003D59F6" w:rsidRPr="00D923D6" w:rsidRDefault="003D59F6" w:rsidP="00D923D6">
            <w:pPr>
              <w:pStyle w:val="Tablecondensed"/>
            </w:pPr>
            <w:r w:rsidRPr="00D923D6">
              <w:t>7</w:t>
            </w:r>
          </w:p>
        </w:tc>
        <w:tc>
          <w:tcPr>
            <w:tcW w:w="567" w:type="dxa"/>
            <w:vAlign w:val="bottom"/>
          </w:tcPr>
          <w:p w14:paraId="6610C634" w14:textId="1913EC6D" w:rsidR="003D59F6" w:rsidRPr="00D923D6" w:rsidRDefault="003D59F6" w:rsidP="00D923D6">
            <w:pPr>
              <w:pStyle w:val="Tablecondensed"/>
            </w:pPr>
            <w:r w:rsidRPr="00D923D6">
              <w:t>23</w:t>
            </w:r>
          </w:p>
        </w:tc>
        <w:tc>
          <w:tcPr>
            <w:tcW w:w="708" w:type="dxa"/>
            <w:vAlign w:val="bottom"/>
          </w:tcPr>
          <w:p w14:paraId="2C90AF47" w14:textId="565D083F" w:rsidR="003D59F6" w:rsidRPr="00D923D6" w:rsidRDefault="003D59F6" w:rsidP="00D923D6">
            <w:pPr>
              <w:pStyle w:val="Tablecondensed"/>
            </w:pPr>
            <w:r w:rsidRPr="00D923D6">
              <w:t>30</w:t>
            </w:r>
          </w:p>
        </w:tc>
        <w:tc>
          <w:tcPr>
            <w:tcW w:w="864" w:type="dxa"/>
            <w:vAlign w:val="bottom"/>
          </w:tcPr>
          <w:p w14:paraId="45A11055" w14:textId="6C338A50" w:rsidR="003D59F6" w:rsidRPr="00D923D6" w:rsidRDefault="003D59F6" w:rsidP="00D923D6">
            <w:pPr>
              <w:pStyle w:val="Tablecondensed"/>
            </w:pPr>
            <w:r w:rsidRPr="00D923D6">
              <w:t>24</w:t>
            </w:r>
          </w:p>
        </w:tc>
        <w:tc>
          <w:tcPr>
            <w:tcW w:w="864" w:type="dxa"/>
            <w:vAlign w:val="bottom"/>
          </w:tcPr>
          <w:p w14:paraId="4703A5B8" w14:textId="39AD4DCF" w:rsidR="003D59F6" w:rsidRPr="00D923D6" w:rsidRDefault="003D59F6" w:rsidP="00D923D6">
            <w:pPr>
              <w:pStyle w:val="Tablecondensed"/>
            </w:pPr>
            <w:r w:rsidRPr="00D923D6">
              <w:t>15</w:t>
            </w:r>
          </w:p>
        </w:tc>
        <w:tc>
          <w:tcPr>
            <w:tcW w:w="864" w:type="dxa"/>
          </w:tcPr>
          <w:p w14:paraId="4EFC690A" w14:textId="4FA7534F" w:rsidR="003D59F6" w:rsidRPr="00D923D6" w:rsidRDefault="003D59F6" w:rsidP="00D923D6">
            <w:pPr>
              <w:pStyle w:val="Tablecondensed"/>
            </w:pPr>
            <w:r w:rsidRPr="00D923D6">
              <w:t>2.2</w:t>
            </w:r>
          </w:p>
        </w:tc>
      </w:tr>
    </w:tbl>
    <w:p w14:paraId="31066684" w14:textId="1F8761A7" w:rsidR="004A14C2" w:rsidRPr="006D6D07" w:rsidRDefault="004A14C2" w:rsidP="006D6D07">
      <w:pPr>
        <w:pStyle w:val="BodyText"/>
      </w:pPr>
      <w:r>
        <w:t xml:space="preserve">Question </w:t>
      </w:r>
      <w:r w:rsidR="00426425">
        <w:t>3</w:t>
      </w:r>
      <w:r>
        <w:t xml:space="preserve">d. required students to </w:t>
      </w:r>
      <w:r w:rsidR="00426425">
        <w:t>describe how the 1969 protests for equal pay created change for Australian women</w:t>
      </w:r>
      <w:r w:rsidR="00576794">
        <w:t>,</w:t>
      </w:r>
      <w:r w:rsidR="00426425">
        <w:t xml:space="preserve"> using their own knowledge.</w:t>
      </w:r>
      <w:r w:rsidR="006D6D07">
        <w:t xml:space="preserve"> </w:t>
      </w:r>
      <w:r w:rsidR="00C9555A">
        <w:t>Higher</w:t>
      </w:r>
      <w:r w:rsidR="000945A5">
        <w:t>-</w:t>
      </w:r>
      <w:r w:rsidR="00C9555A">
        <w:t xml:space="preserve">scoring responses commonly referenced frustrations with the outcome of </w:t>
      </w:r>
      <w:r w:rsidR="1BF5E710">
        <w:t xml:space="preserve">the </w:t>
      </w:r>
      <w:r w:rsidR="00C9555A">
        <w:t xml:space="preserve">Meat Workers test case in 1969, which ruled in favour </w:t>
      </w:r>
      <w:r w:rsidR="000945A5">
        <w:t xml:space="preserve">of </w:t>
      </w:r>
      <w:r w:rsidR="00C9555A">
        <w:t xml:space="preserve">equal pay </w:t>
      </w:r>
      <w:r w:rsidR="000945A5">
        <w:t xml:space="preserve">for </w:t>
      </w:r>
      <w:r w:rsidR="00C9555A">
        <w:t>equal work, but this only applied to around a fifth of working women and did not benefit women in female</w:t>
      </w:r>
      <w:r w:rsidR="000945A5">
        <w:t>-</w:t>
      </w:r>
      <w:r w:rsidR="00C9555A">
        <w:t xml:space="preserve">dominated </w:t>
      </w:r>
      <w:r w:rsidR="00C9555A">
        <w:lastRenderedPageBreak/>
        <w:t>fields.</w:t>
      </w:r>
      <w:r w:rsidR="006D6D07">
        <w:t xml:space="preserve"> </w:t>
      </w:r>
      <w:r w:rsidR="00C9555A">
        <w:t xml:space="preserve">This frustration contributed to Zelda </w:t>
      </w:r>
      <w:proofErr w:type="spellStart"/>
      <w:r w:rsidR="00C9555A">
        <w:t>D’Aprano</w:t>
      </w:r>
      <w:proofErr w:type="spellEnd"/>
      <w:r w:rsidR="00C9555A">
        <w:t xml:space="preserve"> chaining herself to the Commonwealth Building in Melbourne</w:t>
      </w:r>
      <w:r w:rsidR="00E049F0">
        <w:t>,</w:t>
      </w:r>
      <w:r w:rsidR="008A341D">
        <w:t xml:space="preserve"> arguing for one rate of pay for men and women.</w:t>
      </w:r>
      <w:r w:rsidR="006D6D07">
        <w:t xml:space="preserve"> </w:t>
      </w:r>
      <w:r w:rsidR="008A341D">
        <w:t>This protest raised awareness and encouraged others to join, and their persistence, combined with the election of Gough Whitlam’s Labor Party in 1972, led to the introduction of the principle of equal pay for work of equal value.</w:t>
      </w:r>
    </w:p>
    <w:p w14:paraId="021D33D7" w14:textId="77777777" w:rsidR="008A341D" w:rsidRPr="006D6D07" w:rsidRDefault="008A341D" w:rsidP="006D6D07">
      <w:pPr>
        <w:pStyle w:val="BodyText"/>
      </w:pPr>
      <w:r w:rsidRPr="006D6D07">
        <w:t>The following is an example of a high-scoring response:</w:t>
      </w:r>
    </w:p>
    <w:p w14:paraId="0A90AFC5" w14:textId="2442A71C" w:rsidR="00724493" w:rsidRPr="00CA5021" w:rsidRDefault="00724493" w:rsidP="00CA5021">
      <w:pPr>
        <w:pStyle w:val="Studentsamples"/>
      </w:pPr>
      <w:r w:rsidRPr="00CA5021">
        <w:t>Between 1957 and 1998 the emergence of over opposition to heteronormative power structures.</w:t>
      </w:r>
      <w:r w:rsidR="006D6D07" w:rsidRPr="00CA5021">
        <w:t xml:space="preserve"> </w:t>
      </w:r>
      <w:r w:rsidRPr="00CA5021">
        <w:t xml:space="preserve">The 1969 protests for equal pay championed by activists such as Zelda </w:t>
      </w:r>
      <w:proofErr w:type="spellStart"/>
      <w:r w:rsidRPr="00CA5021">
        <w:t>D’Aprano</w:t>
      </w:r>
      <w:proofErr w:type="spellEnd"/>
      <w:r w:rsidRPr="00CA5021">
        <w:t xml:space="preserve"> were immensely impactful in creating tangible change for economic equality for women, however, continuities persisted in wage disparities.</w:t>
      </w:r>
      <w:r w:rsidR="006D6D07" w:rsidRPr="00CA5021">
        <w:t xml:space="preserve"> </w:t>
      </w:r>
      <w:r w:rsidRPr="00CA5021">
        <w:t>The 1969 campaign in the 1969 Meat Workers ruling th</w:t>
      </w:r>
      <w:r w:rsidR="00E545B1" w:rsidRPr="00CA5021">
        <w:t>at determined that equal pay for women was to be achieved for equal work.</w:t>
      </w:r>
      <w:r w:rsidR="006D6D07" w:rsidRPr="00CA5021">
        <w:t xml:space="preserve"> </w:t>
      </w:r>
      <w:r w:rsidR="00E545B1" w:rsidRPr="00CA5021">
        <w:t>However, in practice, this only applied to 1/5th of female workers due to star</w:t>
      </w:r>
      <w:r w:rsidR="0011617C" w:rsidRPr="00CA5021">
        <w:t>k</w:t>
      </w:r>
      <w:r w:rsidR="00E545B1" w:rsidRPr="00CA5021">
        <w:t xml:space="preserve"> differences </w:t>
      </w:r>
      <w:r w:rsidR="0011617C" w:rsidRPr="00CA5021">
        <w:t>in fields of work.</w:t>
      </w:r>
      <w:r w:rsidR="006D6D07" w:rsidRPr="00CA5021">
        <w:t xml:space="preserve"> </w:t>
      </w:r>
      <w:proofErr w:type="gramStart"/>
      <w:r w:rsidR="0011617C" w:rsidRPr="00CA5021">
        <w:t>Thus</w:t>
      </w:r>
      <w:proofErr w:type="gramEnd"/>
      <w:r w:rsidR="0011617C" w:rsidRPr="00CA5021">
        <w:t xml:space="preserve"> activists such as Zelda </w:t>
      </w:r>
      <w:proofErr w:type="spellStart"/>
      <w:r w:rsidR="0011617C" w:rsidRPr="00CA5021">
        <w:t>D’Aprano</w:t>
      </w:r>
      <w:proofErr w:type="spellEnd"/>
      <w:r w:rsidR="0011617C" w:rsidRPr="00CA5021">
        <w:t xml:space="preserve"> chained herself to the Melbourne Commonwealth building prompting a second ruling in 1972 which institutionalised the notion of equal pay for work of equal value which positively changed wage gaps that existed between men and women.</w:t>
      </w:r>
      <w:r w:rsidR="006D6D07" w:rsidRPr="00CA5021">
        <w:t xml:space="preserve"> </w:t>
      </w:r>
    </w:p>
    <w:p w14:paraId="2B9F7DC2" w14:textId="77777777" w:rsidR="00E22285" w:rsidRDefault="00E22285" w:rsidP="006D6D07">
      <w:pPr>
        <w:pStyle w:val="Heading3"/>
      </w:pPr>
      <w:r w:rsidRPr="00BA00B7">
        <w:t xml:space="preserve">Question </w:t>
      </w:r>
      <w:r>
        <w:t>3e</w:t>
      </w:r>
      <w:r w:rsidRPr="00BA00B7">
        <w:t>.</w:t>
      </w:r>
    </w:p>
    <w:tbl>
      <w:tblPr>
        <w:tblStyle w:val="VCAATableClosed"/>
        <w:tblW w:w="0" w:type="auto"/>
        <w:tblLook w:val="01E0" w:firstRow="1" w:lastRow="1" w:firstColumn="1" w:lastColumn="1" w:noHBand="0" w:noVBand="0"/>
      </w:tblPr>
      <w:tblGrid>
        <w:gridCol w:w="864"/>
        <w:gridCol w:w="691"/>
        <w:gridCol w:w="567"/>
        <w:gridCol w:w="708"/>
        <w:gridCol w:w="864"/>
        <w:gridCol w:w="864"/>
        <w:gridCol w:w="864"/>
        <w:gridCol w:w="864"/>
        <w:gridCol w:w="864"/>
      </w:tblGrid>
      <w:tr w:rsidR="003D59F6" w:rsidRPr="00BA00B7" w14:paraId="09299ABA" w14:textId="77777777" w:rsidTr="00AD4CC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0E96119" w14:textId="77777777" w:rsidR="003D59F6" w:rsidRPr="00BA00B7" w:rsidRDefault="003D59F6" w:rsidP="00D923D6">
            <w:pPr>
              <w:pStyle w:val="Tablecondensedheading"/>
              <w:rPr>
                <w:lang w:val="en-AU"/>
              </w:rPr>
            </w:pPr>
            <w:r w:rsidRPr="00BA00B7">
              <w:rPr>
                <w:lang w:val="en-AU"/>
              </w:rPr>
              <w:t>Marks</w:t>
            </w:r>
          </w:p>
        </w:tc>
        <w:tc>
          <w:tcPr>
            <w:tcW w:w="691" w:type="dxa"/>
          </w:tcPr>
          <w:p w14:paraId="343EB029" w14:textId="77777777" w:rsidR="003D59F6" w:rsidRPr="00BA00B7" w:rsidRDefault="003D59F6" w:rsidP="00D923D6">
            <w:pPr>
              <w:pStyle w:val="Tablecondensedheading"/>
              <w:rPr>
                <w:lang w:val="en-AU"/>
              </w:rPr>
            </w:pPr>
            <w:r w:rsidRPr="00BA00B7">
              <w:rPr>
                <w:lang w:val="en-AU"/>
              </w:rPr>
              <w:t>0</w:t>
            </w:r>
          </w:p>
        </w:tc>
        <w:tc>
          <w:tcPr>
            <w:tcW w:w="567" w:type="dxa"/>
          </w:tcPr>
          <w:p w14:paraId="63F8E896" w14:textId="77777777" w:rsidR="003D59F6" w:rsidRPr="00BA00B7" w:rsidRDefault="003D59F6" w:rsidP="00D923D6">
            <w:pPr>
              <w:pStyle w:val="Tablecondensedheading"/>
              <w:rPr>
                <w:lang w:val="en-AU"/>
              </w:rPr>
            </w:pPr>
            <w:r w:rsidRPr="00BA00B7">
              <w:rPr>
                <w:lang w:val="en-AU"/>
              </w:rPr>
              <w:t>1</w:t>
            </w:r>
          </w:p>
        </w:tc>
        <w:tc>
          <w:tcPr>
            <w:tcW w:w="708" w:type="dxa"/>
          </w:tcPr>
          <w:p w14:paraId="5EFFBE92" w14:textId="77777777" w:rsidR="003D59F6" w:rsidRPr="00BA00B7" w:rsidRDefault="003D59F6" w:rsidP="00D923D6">
            <w:pPr>
              <w:pStyle w:val="Tablecondensedheading"/>
              <w:rPr>
                <w:lang w:val="en-AU"/>
              </w:rPr>
            </w:pPr>
            <w:r>
              <w:rPr>
                <w:lang w:val="en-AU"/>
              </w:rPr>
              <w:t>2</w:t>
            </w:r>
          </w:p>
        </w:tc>
        <w:tc>
          <w:tcPr>
            <w:tcW w:w="864" w:type="dxa"/>
          </w:tcPr>
          <w:p w14:paraId="143EDF74" w14:textId="77777777" w:rsidR="003D59F6" w:rsidRPr="00BA00B7" w:rsidRDefault="003D59F6" w:rsidP="00D923D6">
            <w:pPr>
              <w:pStyle w:val="Tablecondensedheading"/>
              <w:rPr>
                <w:lang w:val="en-AU"/>
              </w:rPr>
            </w:pPr>
            <w:r>
              <w:rPr>
                <w:lang w:val="en-AU"/>
              </w:rPr>
              <w:t>3</w:t>
            </w:r>
          </w:p>
        </w:tc>
        <w:tc>
          <w:tcPr>
            <w:tcW w:w="864" w:type="dxa"/>
          </w:tcPr>
          <w:p w14:paraId="4B0F14A5" w14:textId="77777777" w:rsidR="003D59F6" w:rsidRPr="00BA00B7" w:rsidRDefault="003D59F6" w:rsidP="00D923D6">
            <w:pPr>
              <w:pStyle w:val="Tablecondensedheading"/>
              <w:rPr>
                <w:lang w:val="en-AU"/>
              </w:rPr>
            </w:pPr>
            <w:r>
              <w:rPr>
                <w:lang w:val="en-AU"/>
              </w:rPr>
              <w:t>4</w:t>
            </w:r>
          </w:p>
        </w:tc>
        <w:tc>
          <w:tcPr>
            <w:tcW w:w="864" w:type="dxa"/>
          </w:tcPr>
          <w:p w14:paraId="44FD2225" w14:textId="192A6769" w:rsidR="003D59F6" w:rsidRPr="00BA00B7" w:rsidRDefault="003D59F6" w:rsidP="00D923D6">
            <w:pPr>
              <w:pStyle w:val="Tablecondensedheading"/>
              <w:rPr>
                <w:lang w:val="en-AU"/>
              </w:rPr>
            </w:pPr>
            <w:r>
              <w:rPr>
                <w:lang w:val="en-AU"/>
              </w:rPr>
              <w:t>5</w:t>
            </w:r>
          </w:p>
        </w:tc>
        <w:tc>
          <w:tcPr>
            <w:tcW w:w="864" w:type="dxa"/>
          </w:tcPr>
          <w:p w14:paraId="606DABDE" w14:textId="0ACDDCCC" w:rsidR="003D59F6" w:rsidRPr="00BA00B7" w:rsidRDefault="003D59F6" w:rsidP="00D923D6">
            <w:pPr>
              <w:pStyle w:val="Tablecondensedheading"/>
              <w:rPr>
                <w:lang w:val="en-AU"/>
              </w:rPr>
            </w:pPr>
            <w:r>
              <w:rPr>
                <w:lang w:val="en-AU"/>
              </w:rPr>
              <w:t>6</w:t>
            </w:r>
          </w:p>
        </w:tc>
        <w:tc>
          <w:tcPr>
            <w:tcW w:w="864" w:type="dxa"/>
          </w:tcPr>
          <w:p w14:paraId="1C97DDED" w14:textId="11576295" w:rsidR="003D59F6" w:rsidRPr="00BA00B7" w:rsidRDefault="003D59F6" w:rsidP="00D923D6">
            <w:pPr>
              <w:pStyle w:val="Tablecondensedheading"/>
              <w:rPr>
                <w:lang w:val="en-AU"/>
              </w:rPr>
            </w:pPr>
            <w:r w:rsidRPr="00BA00B7">
              <w:rPr>
                <w:lang w:val="en-AU"/>
              </w:rPr>
              <w:t>Average</w:t>
            </w:r>
          </w:p>
        </w:tc>
      </w:tr>
      <w:tr w:rsidR="003D59F6" w:rsidRPr="00D923D6" w14:paraId="5AA75A34" w14:textId="77777777" w:rsidTr="00587E0F">
        <w:trPr>
          <w:trHeight w:hRule="exact" w:val="397"/>
        </w:trPr>
        <w:tc>
          <w:tcPr>
            <w:tcW w:w="864" w:type="dxa"/>
          </w:tcPr>
          <w:p w14:paraId="1C218BF1" w14:textId="77777777" w:rsidR="003D59F6" w:rsidRPr="00D923D6" w:rsidRDefault="003D59F6" w:rsidP="00D923D6">
            <w:pPr>
              <w:pStyle w:val="Tablecondensed"/>
            </w:pPr>
            <w:r w:rsidRPr="00D923D6">
              <w:t>%</w:t>
            </w:r>
          </w:p>
        </w:tc>
        <w:tc>
          <w:tcPr>
            <w:tcW w:w="691" w:type="dxa"/>
            <w:vAlign w:val="bottom"/>
          </w:tcPr>
          <w:p w14:paraId="4E026322" w14:textId="6CD82FA1" w:rsidR="003D59F6" w:rsidRPr="00D923D6" w:rsidRDefault="003D59F6" w:rsidP="00D923D6">
            <w:pPr>
              <w:pStyle w:val="Tablecondensed"/>
            </w:pPr>
            <w:r w:rsidRPr="00D923D6">
              <w:t>3</w:t>
            </w:r>
          </w:p>
        </w:tc>
        <w:tc>
          <w:tcPr>
            <w:tcW w:w="567" w:type="dxa"/>
            <w:vAlign w:val="bottom"/>
          </w:tcPr>
          <w:p w14:paraId="4CA1ED3C" w14:textId="01F3D0F8" w:rsidR="003D59F6" w:rsidRPr="00D923D6" w:rsidRDefault="003D59F6" w:rsidP="00D923D6">
            <w:pPr>
              <w:pStyle w:val="Tablecondensed"/>
            </w:pPr>
            <w:r w:rsidRPr="00D923D6">
              <w:t>6</w:t>
            </w:r>
          </w:p>
        </w:tc>
        <w:tc>
          <w:tcPr>
            <w:tcW w:w="708" w:type="dxa"/>
            <w:vAlign w:val="bottom"/>
          </w:tcPr>
          <w:p w14:paraId="7B17077C" w14:textId="73C4D818" w:rsidR="003D59F6" w:rsidRPr="00D923D6" w:rsidRDefault="003D59F6" w:rsidP="00D923D6">
            <w:pPr>
              <w:pStyle w:val="Tablecondensed"/>
            </w:pPr>
            <w:r w:rsidRPr="00D923D6">
              <w:t>23</w:t>
            </w:r>
          </w:p>
        </w:tc>
        <w:tc>
          <w:tcPr>
            <w:tcW w:w="864" w:type="dxa"/>
            <w:vAlign w:val="bottom"/>
          </w:tcPr>
          <w:p w14:paraId="3D872771" w14:textId="69959FBA" w:rsidR="003D59F6" w:rsidRPr="00D923D6" w:rsidRDefault="003D59F6" w:rsidP="00D923D6">
            <w:pPr>
              <w:pStyle w:val="Tablecondensed"/>
            </w:pPr>
            <w:r w:rsidRPr="00D923D6">
              <w:t>21</w:t>
            </w:r>
          </w:p>
        </w:tc>
        <w:tc>
          <w:tcPr>
            <w:tcW w:w="864" w:type="dxa"/>
            <w:vAlign w:val="bottom"/>
          </w:tcPr>
          <w:p w14:paraId="0500FC96" w14:textId="6C158F12" w:rsidR="003D59F6" w:rsidRPr="00D923D6" w:rsidRDefault="003D59F6" w:rsidP="00D923D6">
            <w:pPr>
              <w:pStyle w:val="Tablecondensed"/>
            </w:pPr>
            <w:r w:rsidRPr="00D923D6">
              <w:t>21</w:t>
            </w:r>
          </w:p>
        </w:tc>
        <w:tc>
          <w:tcPr>
            <w:tcW w:w="864" w:type="dxa"/>
            <w:vAlign w:val="bottom"/>
          </w:tcPr>
          <w:p w14:paraId="18BA6684" w14:textId="3A9205D4" w:rsidR="003D59F6" w:rsidRPr="00D923D6" w:rsidRDefault="003D59F6" w:rsidP="00D923D6">
            <w:pPr>
              <w:pStyle w:val="Tablecondensed"/>
            </w:pPr>
            <w:r w:rsidRPr="00D923D6">
              <w:t>17</w:t>
            </w:r>
          </w:p>
        </w:tc>
        <w:tc>
          <w:tcPr>
            <w:tcW w:w="864" w:type="dxa"/>
            <w:vAlign w:val="bottom"/>
          </w:tcPr>
          <w:p w14:paraId="198B8999" w14:textId="3214EE50" w:rsidR="003D59F6" w:rsidRPr="00D923D6" w:rsidRDefault="003D59F6" w:rsidP="00D923D6">
            <w:pPr>
              <w:pStyle w:val="Tablecondensed"/>
            </w:pPr>
            <w:r w:rsidRPr="00D923D6">
              <w:t>9</w:t>
            </w:r>
          </w:p>
        </w:tc>
        <w:tc>
          <w:tcPr>
            <w:tcW w:w="864" w:type="dxa"/>
          </w:tcPr>
          <w:p w14:paraId="11E6B480" w14:textId="607511B2" w:rsidR="003D59F6" w:rsidRPr="00D923D6" w:rsidRDefault="003D59F6" w:rsidP="00D923D6">
            <w:pPr>
              <w:pStyle w:val="Tablecondensed"/>
            </w:pPr>
            <w:r w:rsidRPr="00D923D6">
              <w:t>3.4</w:t>
            </w:r>
          </w:p>
        </w:tc>
      </w:tr>
    </w:tbl>
    <w:p w14:paraId="491B2410" w14:textId="4567A9BC" w:rsidR="00E22285" w:rsidRPr="006D6D07" w:rsidRDefault="002F4435" w:rsidP="00DF7107">
      <w:pPr>
        <w:pStyle w:val="BodyText"/>
        <w:rPr>
          <w:rStyle w:val="EmphasisBold"/>
          <w:b w:val="0"/>
        </w:rPr>
      </w:pPr>
      <w:r w:rsidRPr="006D6D07">
        <w:t xml:space="preserve">Question </w:t>
      </w:r>
      <w:r w:rsidR="00426425" w:rsidRPr="006D6D07">
        <w:t>3</w:t>
      </w:r>
      <w:r w:rsidRPr="006D6D07">
        <w:t xml:space="preserve">e. required students to </w:t>
      </w:r>
      <w:r w:rsidR="00426425" w:rsidRPr="006D6D07">
        <w:t>explain how perspectives opposing homosexuality motivated challenges to power and authority during the period 1957 to 1998, using Source 12 and their own knowledge.</w:t>
      </w:r>
      <w:r w:rsidR="006D6D07" w:rsidRPr="006D6D07">
        <w:t xml:space="preserve"> </w:t>
      </w:r>
      <w:r w:rsidR="00912852" w:rsidRPr="006D6D07">
        <w:t>Students appeared to handle this question well, with responses commonly describing perspectives opposing homosexuality using the source provided, and then describing how these perspectives were challenged, for example, through the creation of the Campaign</w:t>
      </w:r>
      <w:r w:rsidR="00A216ED" w:rsidRPr="006D6D07">
        <w:t xml:space="preserve"> Against Moral Persecution and the 1978 Mardi Gras.</w:t>
      </w:r>
      <w:r w:rsidR="006D6D07" w:rsidRPr="006D6D07">
        <w:t xml:space="preserve"> </w:t>
      </w:r>
      <w:r w:rsidR="00A216ED" w:rsidRPr="006D6D07">
        <w:t>Many higher</w:t>
      </w:r>
      <w:r w:rsidR="00E049F0">
        <w:t>-</w:t>
      </w:r>
      <w:r w:rsidR="00A216ED" w:rsidRPr="006D6D07">
        <w:t>scoring responses were able to add their own knowledge and evidence of perspectives opposing homosexuality, such as the murder of George Duncan in Adelaide, and the subsequent decriminalisation of homosexuality in South Australia.</w:t>
      </w:r>
      <w:r w:rsidR="006D6D07" w:rsidRPr="006D6D07">
        <w:t xml:space="preserve"> </w:t>
      </w:r>
    </w:p>
    <w:p w14:paraId="65729C09" w14:textId="77777777" w:rsidR="00681E17" w:rsidRPr="006D6D07" w:rsidRDefault="00681E17" w:rsidP="006D6D07">
      <w:pPr>
        <w:pStyle w:val="BodyText"/>
      </w:pPr>
      <w:r w:rsidRPr="006D6D07">
        <w:t>The following is an example of a high-scoring response:</w:t>
      </w:r>
    </w:p>
    <w:p w14:paraId="2C5891C1" w14:textId="43323E3B" w:rsidR="00E22285" w:rsidRPr="00CA5021" w:rsidRDefault="00E83E0A" w:rsidP="00CA5021">
      <w:pPr>
        <w:pStyle w:val="Studentsamples"/>
      </w:pPr>
      <w:r w:rsidRPr="00CA5021">
        <w:t>Government and societal perspectives opposing homosexuality motivated challenges to restrictions and a newfound pride in LGBT+ sexuality.</w:t>
      </w:r>
      <w:r w:rsidR="006D6D07" w:rsidRPr="00CA5021">
        <w:t xml:space="preserve"> </w:t>
      </w:r>
      <w:r w:rsidRPr="00CA5021">
        <w:t xml:space="preserve">With the 1950s described as a </w:t>
      </w:r>
      <w:r w:rsidR="000B5B15" w:rsidRPr="00CA5021">
        <w:t>‘</w:t>
      </w:r>
      <w:r w:rsidRPr="00CA5021">
        <w:t>dark</w:t>
      </w:r>
      <w:r w:rsidR="00076EF0" w:rsidRPr="00CA5021">
        <w:t xml:space="preserve"> decade for homosexuals</w:t>
      </w:r>
      <w:r w:rsidR="000B5B15" w:rsidRPr="00CA5021">
        <w:t>’</w:t>
      </w:r>
      <w:r w:rsidR="00076EF0" w:rsidRPr="00CA5021">
        <w:t xml:space="preserve"> marked by the </w:t>
      </w:r>
      <w:r w:rsidR="000B5B15" w:rsidRPr="00CA5021">
        <w:t>‘</w:t>
      </w:r>
      <w:r w:rsidR="00076EF0" w:rsidRPr="00CA5021">
        <w:t>medicalisation</w:t>
      </w:r>
      <w:r w:rsidR="000B5B15" w:rsidRPr="00CA5021">
        <w:t>’</w:t>
      </w:r>
      <w:r w:rsidR="00076EF0" w:rsidRPr="00CA5021">
        <w:t xml:space="preserve"> of ideas surround</w:t>
      </w:r>
      <w:r w:rsidR="007A675B">
        <w:t>[</w:t>
      </w:r>
      <w:proofErr w:type="spellStart"/>
      <w:r w:rsidR="007A675B">
        <w:t>ing</w:t>
      </w:r>
      <w:proofErr w:type="spellEnd"/>
      <w:r w:rsidR="007A675B">
        <w:t>]</w:t>
      </w:r>
      <w:r w:rsidR="00076EF0" w:rsidRPr="00CA5021">
        <w:t xml:space="preserve"> homosexuality, as said by historians Holmes and Pinto, opposition to such homosexuality precluded it from public life.</w:t>
      </w:r>
      <w:r w:rsidR="006D6D07" w:rsidRPr="00CA5021">
        <w:t xml:space="preserve"> </w:t>
      </w:r>
      <w:r w:rsidR="00076EF0" w:rsidRPr="00CA5021">
        <w:t xml:space="preserve">Homosexual people were regularly </w:t>
      </w:r>
      <w:r w:rsidR="000B5B15" w:rsidRPr="00CA5021">
        <w:t>‘</w:t>
      </w:r>
      <w:r w:rsidR="00076EF0" w:rsidRPr="00CA5021">
        <w:t>harassed by police</w:t>
      </w:r>
      <w:r w:rsidR="000B5B15" w:rsidRPr="00CA5021">
        <w:t>’</w:t>
      </w:r>
      <w:r w:rsidR="00076EF0" w:rsidRPr="00CA5021">
        <w:t xml:space="preserve"> (s12) and experienced </w:t>
      </w:r>
      <w:r w:rsidR="000B5B15" w:rsidRPr="00CA5021">
        <w:t>‘</w:t>
      </w:r>
      <w:r w:rsidR="003632ED" w:rsidRPr="00CA5021">
        <w:t>surveillance and persecution</w:t>
      </w:r>
      <w:r w:rsidR="000B5B15" w:rsidRPr="00CA5021">
        <w:t>’</w:t>
      </w:r>
      <w:r w:rsidR="003632ED" w:rsidRPr="00CA5021">
        <w:t xml:space="preserve"> (Holmes and Pinto).</w:t>
      </w:r>
      <w:r w:rsidR="006D6D07" w:rsidRPr="00CA5021">
        <w:t xml:space="preserve"> </w:t>
      </w:r>
      <w:r w:rsidR="003632ED" w:rsidRPr="00CA5021">
        <w:t xml:space="preserve">It was such repression which motivated the creation of the Campaign Against Moral Persecution (CAMP) in Sydney and the subsequent celebration of homosexuality at the 1978 Mardi Gras, where participants chanted </w:t>
      </w:r>
      <w:r w:rsidR="000B5B15" w:rsidRPr="00CA5021">
        <w:t>‘</w:t>
      </w:r>
      <w:r w:rsidR="003632ED" w:rsidRPr="00CA5021">
        <w:t xml:space="preserve">out of the closets and into the </w:t>
      </w:r>
      <w:proofErr w:type="gramStart"/>
      <w:r w:rsidR="003632ED" w:rsidRPr="00CA5021">
        <w:t>streets</w:t>
      </w:r>
      <w:r w:rsidR="000B5B15" w:rsidRPr="00CA5021">
        <w:t>’</w:t>
      </w:r>
      <w:proofErr w:type="gramEnd"/>
      <w:r w:rsidR="003632ED" w:rsidRPr="00CA5021">
        <w:t>.</w:t>
      </w:r>
      <w:r w:rsidR="006D6D07" w:rsidRPr="00CA5021">
        <w:t xml:space="preserve"> </w:t>
      </w:r>
      <w:r w:rsidR="003632ED" w:rsidRPr="00CA5021">
        <w:t xml:space="preserve">The subsequent political </w:t>
      </w:r>
      <w:r w:rsidR="000B5B15" w:rsidRPr="00CA5021">
        <w:t>‘</w:t>
      </w:r>
      <w:r w:rsidR="003632ED" w:rsidRPr="00CA5021">
        <w:t>swift</w:t>
      </w:r>
      <w:r w:rsidR="000B5B15" w:rsidRPr="00CA5021">
        <w:t>’</w:t>
      </w:r>
      <w:r w:rsidR="003632ED" w:rsidRPr="00CA5021">
        <w:t xml:space="preserve"> (Willett) backlash</w:t>
      </w:r>
      <w:r w:rsidR="00222D90" w:rsidRPr="00CA5021">
        <w:t xml:space="preserve"> and favourable press coverage resulted in </w:t>
      </w:r>
      <w:r w:rsidR="009A3A8D" w:rsidRPr="00CA5021">
        <w:t>t</w:t>
      </w:r>
      <w:r w:rsidR="00222D90" w:rsidRPr="00CA5021">
        <w:t>he subsequent decriminalisation of homosexuality in New South Wales by 1984, thus challenging this existing authority.</w:t>
      </w:r>
      <w:r w:rsidR="006D6D07" w:rsidRPr="00CA5021">
        <w:t xml:space="preserve"> </w:t>
      </w:r>
      <w:r w:rsidR="00222D90" w:rsidRPr="00CA5021">
        <w:t xml:space="preserve">Moreover, those experiences of </w:t>
      </w:r>
      <w:r w:rsidR="000B5B15" w:rsidRPr="00CA5021">
        <w:t>‘</w:t>
      </w:r>
      <w:r w:rsidR="00222D90" w:rsidRPr="00CA5021">
        <w:t>patronising tolerance</w:t>
      </w:r>
      <w:r w:rsidR="000B5B15" w:rsidRPr="00CA5021">
        <w:t>’</w:t>
      </w:r>
      <w:r w:rsidR="00222D90" w:rsidRPr="00CA5021">
        <w:t xml:space="preserve"> (s12) were further challenged by the </w:t>
      </w:r>
      <w:r w:rsidR="000B5B15" w:rsidRPr="00CA5021">
        <w:t>‘</w:t>
      </w:r>
      <w:r w:rsidR="00222D90" w:rsidRPr="00CA5021">
        <w:t>new understanding of sexuality</w:t>
      </w:r>
      <w:r w:rsidR="000B5B15" w:rsidRPr="00CA5021">
        <w:t>’</w:t>
      </w:r>
      <w:r w:rsidR="00222D90" w:rsidRPr="00CA5021">
        <w:t xml:space="preserve"> (Bongiorno) that emerged from the AIDS epidemic, as government cooperation and public campaigns further shifted perspectives.</w:t>
      </w:r>
      <w:r w:rsidR="006D6D07" w:rsidRPr="00CA5021">
        <w:t xml:space="preserve"> </w:t>
      </w:r>
    </w:p>
    <w:p w14:paraId="207E6D12" w14:textId="77777777" w:rsidR="00E22285" w:rsidRDefault="00E22285" w:rsidP="006D6D07">
      <w:pPr>
        <w:pStyle w:val="Heading3"/>
      </w:pPr>
      <w:r w:rsidRPr="00BA00B7">
        <w:t xml:space="preserve">Question </w:t>
      </w:r>
      <w:r>
        <w:t>4</w:t>
      </w:r>
      <w:r w:rsidRPr="00BA00B7">
        <w:t>a.</w:t>
      </w:r>
    </w:p>
    <w:tbl>
      <w:tblPr>
        <w:tblStyle w:val="VCAATableClosed"/>
        <w:tblW w:w="0" w:type="auto"/>
        <w:tblLook w:val="01E0" w:firstRow="1" w:lastRow="1" w:firstColumn="1" w:lastColumn="1" w:noHBand="0" w:noVBand="0"/>
      </w:tblPr>
      <w:tblGrid>
        <w:gridCol w:w="864"/>
        <w:gridCol w:w="691"/>
        <w:gridCol w:w="567"/>
        <w:gridCol w:w="708"/>
        <w:gridCol w:w="864"/>
      </w:tblGrid>
      <w:tr w:rsidR="003D59F6" w:rsidRPr="00D923D6" w14:paraId="2A5956EC"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8CD7B17" w14:textId="77777777" w:rsidR="003D59F6" w:rsidRPr="00D923D6" w:rsidRDefault="003D59F6" w:rsidP="00D923D6">
            <w:pPr>
              <w:pStyle w:val="Tablecondensedheading"/>
            </w:pPr>
            <w:r w:rsidRPr="00D923D6">
              <w:t>Marks</w:t>
            </w:r>
          </w:p>
        </w:tc>
        <w:tc>
          <w:tcPr>
            <w:tcW w:w="691" w:type="dxa"/>
          </w:tcPr>
          <w:p w14:paraId="6DF7F89B" w14:textId="77777777" w:rsidR="003D59F6" w:rsidRPr="00D923D6" w:rsidRDefault="003D59F6" w:rsidP="00D923D6">
            <w:pPr>
              <w:pStyle w:val="Tablecondensedheading"/>
            </w:pPr>
            <w:r w:rsidRPr="00D923D6">
              <w:t>0</w:t>
            </w:r>
          </w:p>
        </w:tc>
        <w:tc>
          <w:tcPr>
            <w:tcW w:w="567" w:type="dxa"/>
          </w:tcPr>
          <w:p w14:paraId="5D09534C" w14:textId="77777777" w:rsidR="003D59F6" w:rsidRPr="00D923D6" w:rsidRDefault="003D59F6" w:rsidP="00D923D6">
            <w:pPr>
              <w:pStyle w:val="Tablecondensedheading"/>
            </w:pPr>
            <w:r w:rsidRPr="00D923D6">
              <w:t>1</w:t>
            </w:r>
          </w:p>
        </w:tc>
        <w:tc>
          <w:tcPr>
            <w:tcW w:w="708" w:type="dxa"/>
          </w:tcPr>
          <w:p w14:paraId="49CD6BF1" w14:textId="77777777" w:rsidR="003D59F6" w:rsidRPr="00D923D6" w:rsidRDefault="003D59F6" w:rsidP="00D923D6">
            <w:pPr>
              <w:pStyle w:val="Tablecondensedheading"/>
            </w:pPr>
            <w:r w:rsidRPr="00D923D6">
              <w:t>2</w:t>
            </w:r>
          </w:p>
        </w:tc>
        <w:tc>
          <w:tcPr>
            <w:tcW w:w="864" w:type="dxa"/>
          </w:tcPr>
          <w:p w14:paraId="47628A1D" w14:textId="77777777" w:rsidR="003D59F6" w:rsidRPr="00D923D6" w:rsidRDefault="003D59F6" w:rsidP="00D923D6">
            <w:pPr>
              <w:pStyle w:val="Tablecondensedheading"/>
            </w:pPr>
            <w:r w:rsidRPr="00D923D6">
              <w:t>Average</w:t>
            </w:r>
          </w:p>
        </w:tc>
      </w:tr>
      <w:tr w:rsidR="003D59F6" w:rsidRPr="00D923D6" w14:paraId="05431123" w14:textId="77777777" w:rsidTr="007A45BC">
        <w:trPr>
          <w:trHeight w:hRule="exact" w:val="397"/>
        </w:trPr>
        <w:tc>
          <w:tcPr>
            <w:tcW w:w="864" w:type="dxa"/>
          </w:tcPr>
          <w:p w14:paraId="40687426" w14:textId="77777777" w:rsidR="003D59F6" w:rsidRPr="00D923D6" w:rsidRDefault="003D59F6" w:rsidP="00D923D6">
            <w:pPr>
              <w:pStyle w:val="Tablecondensed"/>
            </w:pPr>
            <w:r w:rsidRPr="00D923D6">
              <w:t>%</w:t>
            </w:r>
          </w:p>
        </w:tc>
        <w:tc>
          <w:tcPr>
            <w:tcW w:w="691" w:type="dxa"/>
            <w:vAlign w:val="bottom"/>
          </w:tcPr>
          <w:p w14:paraId="023CBC89" w14:textId="34E76D76" w:rsidR="003D59F6" w:rsidRPr="00D923D6" w:rsidRDefault="003D59F6" w:rsidP="00D923D6">
            <w:pPr>
              <w:pStyle w:val="Tablecondensed"/>
            </w:pPr>
            <w:r w:rsidRPr="00D923D6">
              <w:t>0.7</w:t>
            </w:r>
          </w:p>
        </w:tc>
        <w:tc>
          <w:tcPr>
            <w:tcW w:w="567" w:type="dxa"/>
            <w:vAlign w:val="bottom"/>
          </w:tcPr>
          <w:p w14:paraId="6F19885E" w14:textId="5D69D45F" w:rsidR="003D59F6" w:rsidRPr="00D923D6" w:rsidRDefault="003D59F6" w:rsidP="00D923D6">
            <w:pPr>
              <w:pStyle w:val="Tablecondensed"/>
            </w:pPr>
            <w:r w:rsidRPr="00D923D6">
              <w:t>8</w:t>
            </w:r>
          </w:p>
        </w:tc>
        <w:tc>
          <w:tcPr>
            <w:tcW w:w="708" w:type="dxa"/>
            <w:vAlign w:val="bottom"/>
          </w:tcPr>
          <w:p w14:paraId="41916B9F" w14:textId="687A8218" w:rsidR="003D59F6" w:rsidRPr="00D923D6" w:rsidRDefault="003D59F6" w:rsidP="00D923D6">
            <w:pPr>
              <w:pStyle w:val="Tablecondensed"/>
            </w:pPr>
            <w:r w:rsidRPr="00D923D6">
              <w:t>91</w:t>
            </w:r>
          </w:p>
        </w:tc>
        <w:tc>
          <w:tcPr>
            <w:tcW w:w="864" w:type="dxa"/>
          </w:tcPr>
          <w:p w14:paraId="677B6E4B" w14:textId="20DF0BD8" w:rsidR="003D59F6" w:rsidRPr="00D923D6" w:rsidRDefault="003D59F6" w:rsidP="00D923D6">
            <w:pPr>
              <w:pStyle w:val="Tablecondensed"/>
            </w:pPr>
            <w:r w:rsidRPr="00D923D6">
              <w:t>1.9</w:t>
            </w:r>
          </w:p>
        </w:tc>
      </w:tr>
    </w:tbl>
    <w:p w14:paraId="73D38564" w14:textId="487A4E58" w:rsidR="00F66D53" w:rsidRDefault="00F66D53" w:rsidP="006D6D07">
      <w:pPr>
        <w:pStyle w:val="BodyText"/>
      </w:pPr>
      <w:r>
        <w:t>Question 4a. required students to identify two features from the image that revealed Australia’s changing alliances since 1941. Possible answers include</w:t>
      </w:r>
      <w:r w:rsidR="00446635">
        <w:t>d</w:t>
      </w:r>
      <w:r>
        <w:t>:</w:t>
      </w:r>
    </w:p>
    <w:p w14:paraId="58E149B6" w14:textId="2D5F0B61" w:rsidR="00F66D53" w:rsidRPr="004A6FEF" w:rsidRDefault="00331C86" w:rsidP="0063768C">
      <w:pPr>
        <w:pStyle w:val="Bullet"/>
      </w:pPr>
      <w:r>
        <w:lastRenderedPageBreak/>
        <w:t>t</w:t>
      </w:r>
      <w:r w:rsidR="00F66D53" w:rsidRPr="004A6FEF">
        <w:t>he American Bald Eagle</w:t>
      </w:r>
    </w:p>
    <w:p w14:paraId="55D5C194" w14:textId="324454F7" w:rsidR="00F66D53" w:rsidRPr="00F66D53" w:rsidRDefault="00331C86" w:rsidP="0063768C">
      <w:pPr>
        <w:pStyle w:val="Bullet"/>
        <w:rPr>
          <w:i/>
          <w:iCs/>
        </w:rPr>
      </w:pPr>
      <w:r>
        <w:t>t</w:t>
      </w:r>
      <w:r w:rsidR="00F66D53" w:rsidRPr="004A6FEF">
        <w:t xml:space="preserve">he words </w:t>
      </w:r>
      <w:r w:rsidR="000B5B15">
        <w:t>‘</w:t>
      </w:r>
      <w:r w:rsidR="00F66D53" w:rsidRPr="004A6FEF">
        <w:t>United for Victory</w:t>
      </w:r>
      <w:r w:rsidR="000B5B15">
        <w:t>’</w:t>
      </w:r>
      <w:r w:rsidR="00F66D53" w:rsidRPr="004A6FEF">
        <w:t xml:space="preserve"> </w:t>
      </w:r>
    </w:p>
    <w:p w14:paraId="7CF4C8DF" w14:textId="027C6193" w:rsidR="00F66D53" w:rsidRPr="004A6FEF" w:rsidRDefault="00F66D53" w:rsidP="0063768C">
      <w:pPr>
        <w:pStyle w:val="Bullet"/>
        <w:rPr>
          <w:i/>
          <w:iCs/>
        </w:rPr>
      </w:pPr>
      <w:r>
        <w:t>reference to President Roosevelt and Prime Minister John Curtin being united</w:t>
      </w:r>
    </w:p>
    <w:p w14:paraId="04702B47" w14:textId="78B7EFB5" w:rsidR="00F66D53" w:rsidRPr="004A6FEF" w:rsidRDefault="00331C86" w:rsidP="0063768C">
      <w:pPr>
        <w:pStyle w:val="Bullet"/>
        <w:rPr>
          <w:i/>
          <w:iCs/>
        </w:rPr>
      </w:pPr>
      <w:r>
        <w:t>t</w:t>
      </w:r>
      <w:r w:rsidR="00F66D53" w:rsidRPr="004A6FEF">
        <w:t xml:space="preserve">he American flag in the background with the ‘stars and </w:t>
      </w:r>
      <w:proofErr w:type="gramStart"/>
      <w:r w:rsidR="00F66D53" w:rsidRPr="004A6FEF">
        <w:t>stripes’</w:t>
      </w:r>
      <w:proofErr w:type="gramEnd"/>
      <w:r>
        <w:t>.</w:t>
      </w:r>
    </w:p>
    <w:p w14:paraId="70EB547B" w14:textId="77777777" w:rsidR="00E22285" w:rsidRDefault="00E22285" w:rsidP="006D6D07">
      <w:pPr>
        <w:pStyle w:val="Heading3"/>
      </w:pPr>
      <w:r w:rsidRPr="00BA00B7">
        <w:t xml:space="preserve">Question </w:t>
      </w:r>
      <w:r>
        <w:t>4</w:t>
      </w:r>
      <w:r w:rsidRPr="00BA00B7">
        <w:t>b.</w:t>
      </w:r>
    </w:p>
    <w:tbl>
      <w:tblPr>
        <w:tblStyle w:val="VCAATableClosed"/>
        <w:tblW w:w="0" w:type="auto"/>
        <w:tblLook w:val="01E0" w:firstRow="1" w:lastRow="1" w:firstColumn="1" w:lastColumn="1" w:noHBand="0" w:noVBand="0"/>
      </w:tblPr>
      <w:tblGrid>
        <w:gridCol w:w="864"/>
        <w:gridCol w:w="691"/>
        <w:gridCol w:w="567"/>
        <w:gridCol w:w="708"/>
        <w:gridCol w:w="567"/>
        <w:gridCol w:w="709"/>
        <w:gridCol w:w="709"/>
        <w:gridCol w:w="709"/>
        <w:gridCol w:w="709"/>
        <w:gridCol w:w="709"/>
        <w:gridCol w:w="709"/>
        <w:gridCol w:w="709"/>
        <w:gridCol w:w="864"/>
      </w:tblGrid>
      <w:tr w:rsidR="003D59F6" w:rsidRPr="00BA00B7" w14:paraId="42663862" w14:textId="77777777" w:rsidTr="007A45B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6756401" w14:textId="77777777" w:rsidR="003D59F6" w:rsidRPr="00BA00B7" w:rsidRDefault="003D59F6" w:rsidP="00D923D6">
            <w:pPr>
              <w:pStyle w:val="Tablecondensedheading"/>
              <w:rPr>
                <w:lang w:val="en-AU"/>
              </w:rPr>
            </w:pPr>
            <w:r w:rsidRPr="00BA00B7">
              <w:rPr>
                <w:lang w:val="en-AU"/>
              </w:rPr>
              <w:t>Marks</w:t>
            </w:r>
          </w:p>
        </w:tc>
        <w:tc>
          <w:tcPr>
            <w:tcW w:w="691" w:type="dxa"/>
          </w:tcPr>
          <w:p w14:paraId="008A357C" w14:textId="77777777" w:rsidR="003D59F6" w:rsidRPr="00BA00B7" w:rsidRDefault="003D59F6" w:rsidP="00D923D6">
            <w:pPr>
              <w:pStyle w:val="Tablecondensedheading"/>
              <w:rPr>
                <w:lang w:val="en-AU"/>
              </w:rPr>
            </w:pPr>
            <w:r w:rsidRPr="00BA00B7">
              <w:rPr>
                <w:lang w:val="en-AU"/>
              </w:rPr>
              <w:t>0</w:t>
            </w:r>
          </w:p>
        </w:tc>
        <w:tc>
          <w:tcPr>
            <w:tcW w:w="567" w:type="dxa"/>
          </w:tcPr>
          <w:p w14:paraId="51329596" w14:textId="77777777" w:rsidR="003D59F6" w:rsidRPr="00BA00B7" w:rsidRDefault="003D59F6" w:rsidP="00D923D6">
            <w:pPr>
              <w:pStyle w:val="Tablecondensedheading"/>
              <w:rPr>
                <w:lang w:val="en-AU"/>
              </w:rPr>
            </w:pPr>
            <w:r w:rsidRPr="00BA00B7">
              <w:rPr>
                <w:lang w:val="en-AU"/>
              </w:rPr>
              <w:t>1</w:t>
            </w:r>
          </w:p>
        </w:tc>
        <w:tc>
          <w:tcPr>
            <w:tcW w:w="708" w:type="dxa"/>
          </w:tcPr>
          <w:p w14:paraId="1CA17689" w14:textId="77777777" w:rsidR="003D59F6" w:rsidRPr="00BA00B7" w:rsidRDefault="003D59F6" w:rsidP="00D923D6">
            <w:pPr>
              <w:pStyle w:val="Tablecondensedheading"/>
              <w:rPr>
                <w:lang w:val="en-AU"/>
              </w:rPr>
            </w:pPr>
            <w:r>
              <w:rPr>
                <w:lang w:val="en-AU"/>
              </w:rPr>
              <w:t>2</w:t>
            </w:r>
          </w:p>
        </w:tc>
        <w:tc>
          <w:tcPr>
            <w:tcW w:w="567" w:type="dxa"/>
          </w:tcPr>
          <w:p w14:paraId="794D18F1" w14:textId="77777777" w:rsidR="003D59F6" w:rsidRPr="00BA00B7" w:rsidRDefault="003D59F6" w:rsidP="00D923D6">
            <w:pPr>
              <w:pStyle w:val="Tablecondensedheading"/>
              <w:rPr>
                <w:lang w:val="en-AU"/>
              </w:rPr>
            </w:pPr>
            <w:r>
              <w:rPr>
                <w:lang w:val="en-AU"/>
              </w:rPr>
              <w:t>3</w:t>
            </w:r>
          </w:p>
        </w:tc>
        <w:tc>
          <w:tcPr>
            <w:tcW w:w="709" w:type="dxa"/>
          </w:tcPr>
          <w:p w14:paraId="1DC2D814" w14:textId="77777777" w:rsidR="003D59F6" w:rsidRPr="00BA00B7" w:rsidRDefault="003D59F6" w:rsidP="00D923D6">
            <w:pPr>
              <w:pStyle w:val="Tablecondensedheading"/>
              <w:rPr>
                <w:lang w:val="en-AU"/>
              </w:rPr>
            </w:pPr>
            <w:r>
              <w:rPr>
                <w:lang w:val="en-AU"/>
              </w:rPr>
              <w:t>4</w:t>
            </w:r>
          </w:p>
        </w:tc>
        <w:tc>
          <w:tcPr>
            <w:tcW w:w="709" w:type="dxa"/>
          </w:tcPr>
          <w:p w14:paraId="56E83AED" w14:textId="77777777" w:rsidR="003D59F6" w:rsidRPr="00BA00B7" w:rsidRDefault="003D59F6" w:rsidP="00D923D6">
            <w:pPr>
              <w:pStyle w:val="Tablecondensedheading"/>
              <w:rPr>
                <w:lang w:val="en-AU"/>
              </w:rPr>
            </w:pPr>
            <w:r>
              <w:rPr>
                <w:lang w:val="en-AU"/>
              </w:rPr>
              <w:t>5</w:t>
            </w:r>
          </w:p>
        </w:tc>
        <w:tc>
          <w:tcPr>
            <w:tcW w:w="709" w:type="dxa"/>
          </w:tcPr>
          <w:p w14:paraId="262970C3" w14:textId="77777777" w:rsidR="003D59F6" w:rsidRDefault="003D59F6" w:rsidP="00D923D6">
            <w:pPr>
              <w:pStyle w:val="Tablecondensedheading"/>
              <w:rPr>
                <w:lang w:val="en-AU"/>
              </w:rPr>
            </w:pPr>
            <w:r>
              <w:rPr>
                <w:lang w:val="en-AU"/>
              </w:rPr>
              <w:t>6</w:t>
            </w:r>
          </w:p>
        </w:tc>
        <w:tc>
          <w:tcPr>
            <w:tcW w:w="709" w:type="dxa"/>
          </w:tcPr>
          <w:p w14:paraId="1ED7BA70" w14:textId="77777777" w:rsidR="003D59F6" w:rsidRDefault="003D59F6" w:rsidP="00D923D6">
            <w:pPr>
              <w:pStyle w:val="Tablecondensedheading"/>
              <w:rPr>
                <w:lang w:val="en-AU"/>
              </w:rPr>
            </w:pPr>
            <w:r>
              <w:rPr>
                <w:lang w:val="en-AU"/>
              </w:rPr>
              <w:t>7</w:t>
            </w:r>
          </w:p>
        </w:tc>
        <w:tc>
          <w:tcPr>
            <w:tcW w:w="709" w:type="dxa"/>
          </w:tcPr>
          <w:p w14:paraId="55182D1C" w14:textId="77777777" w:rsidR="003D59F6" w:rsidRDefault="003D59F6" w:rsidP="00D923D6">
            <w:pPr>
              <w:pStyle w:val="Tablecondensedheading"/>
              <w:rPr>
                <w:lang w:val="en-AU"/>
              </w:rPr>
            </w:pPr>
            <w:r>
              <w:rPr>
                <w:lang w:val="en-AU"/>
              </w:rPr>
              <w:t>8</w:t>
            </w:r>
          </w:p>
        </w:tc>
        <w:tc>
          <w:tcPr>
            <w:tcW w:w="709" w:type="dxa"/>
          </w:tcPr>
          <w:p w14:paraId="1B875D85" w14:textId="77777777" w:rsidR="003D59F6" w:rsidRDefault="003D59F6" w:rsidP="00D923D6">
            <w:pPr>
              <w:pStyle w:val="Tablecondensedheading"/>
              <w:rPr>
                <w:lang w:val="en-AU"/>
              </w:rPr>
            </w:pPr>
            <w:r>
              <w:rPr>
                <w:lang w:val="en-AU"/>
              </w:rPr>
              <w:t>9</w:t>
            </w:r>
          </w:p>
        </w:tc>
        <w:tc>
          <w:tcPr>
            <w:tcW w:w="709" w:type="dxa"/>
          </w:tcPr>
          <w:p w14:paraId="331B82B2" w14:textId="77777777" w:rsidR="003D59F6" w:rsidRPr="00BA00B7" w:rsidRDefault="003D59F6" w:rsidP="00D923D6">
            <w:pPr>
              <w:pStyle w:val="Tablecondensedheading"/>
              <w:rPr>
                <w:lang w:val="en-AU"/>
              </w:rPr>
            </w:pPr>
            <w:r>
              <w:rPr>
                <w:lang w:val="en-AU"/>
              </w:rPr>
              <w:t>10</w:t>
            </w:r>
          </w:p>
        </w:tc>
        <w:tc>
          <w:tcPr>
            <w:tcW w:w="864" w:type="dxa"/>
          </w:tcPr>
          <w:p w14:paraId="4171B62A" w14:textId="77777777" w:rsidR="003D59F6" w:rsidRPr="00BA00B7" w:rsidRDefault="003D59F6" w:rsidP="00D923D6">
            <w:pPr>
              <w:pStyle w:val="Tablecondensedheading"/>
              <w:rPr>
                <w:lang w:val="en-AU"/>
              </w:rPr>
            </w:pPr>
            <w:r w:rsidRPr="00BA00B7">
              <w:rPr>
                <w:lang w:val="en-AU"/>
              </w:rPr>
              <w:t>Average</w:t>
            </w:r>
          </w:p>
        </w:tc>
      </w:tr>
      <w:tr w:rsidR="003D59F6" w:rsidRPr="00D923D6" w14:paraId="2CA8545E" w14:textId="77777777" w:rsidTr="007A45BC">
        <w:trPr>
          <w:trHeight w:hRule="exact" w:val="397"/>
        </w:trPr>
        <w:tc>
          <w:tcPr>
            <w:tcW w:w="864" w:type="dxa"/>
          </w:tcPr>
          <w:p w14:paraId="668DDA3F" w14:textId="77777777" w:rsidR="003D59F6" w:rsidRPr="00D923D6" w:rsidRDefault="003D59F6" w:rsidP="00D923D6">
            <w:pPr>
              <w:pStyle w:val="Tablecondensed"/>
            </w:pPr>
            <w:r w:rsidRPr="00D923D6">
              <w:t>%</w:t>
            </w:r>
          </w:p>
        </w:tc>
        <w:tc>
          <w:tcPr>
            <w:tcW w:w="691" w:type="dxa"/>
            <w:vAlign w:val="bottom"/>
          </w:tcPr>
          <w:p w14:paraId="6AFA8A23" w14:textId="3A1280A7" w:rsidR="003D59F6" w:rsidRPr="00D923D6" w:rsidRDefault="003D59F6" w:rsidP="00D923D6">
            <w:pPr>
              <w:pStyle w:val="Tablecondensed"/>
            </w:pPr>
            <w:r w:rsidRPr="00D923D6">
              <w:t>3</w:t>
            </w:r>
          </w:p>
        </w:tc>
        <w:tc>
          <w:tcPr>
            <w:tcW w:w="567" w:type="dxa"/>
            <w:vAlign w:val="bottom"/>
          </w:tcPr>
          <w:p w14:paraId="28924618" w14:textId="07F30EE4" w:rsidR="003D59F6" w:rsidRPr="00D923D6" w:rsidRDefault="003D59F6" w:rsidP="00D923D6">
            <w:pPr>
              <w:pStyle w:val="Tablecondensed"/>
            </w:pPr>
            <w:r w:rsidRPr="00D923D6">
              <w:t>5</w:t>
            </w:r>
          </w:p>
        </w:tc>
        <w:tc>
          <w:tcPr>
            <w:tcW w:w="708" w:type="dxa"/>
            <w:vAlign w:val="bottom"/>
          </w:tcPr>
          <w:p w14:paraId="0E97D76B" w14:textId="44995A92" w:rsidR="003D59F6" w:rsidRPr="00D923D6" w:rsidRDefault="003D59F6" w:rsidP="00D923D6">
            <w:pPr>
              <w:pStyle w:val="Tablecondensed"/>
            </w:pPr>
            <w:r w:rsidRPr="00D923D6">
              <w:t>9</w:t>
            </w:r>
          </w:p>
        </w:tc>
        <w:tc>
          <w:tcPr>
            <w:tcW w:w="567" w:type="dxa"/>
            <w:vAlign w:val="bottom"/>
          </w:tcPr>
          <w:p w14:paraId="722FEF65" w14:textId="5BD7A281" w:rsidR="003D59F6" w:rsidRPr="00D923D6" w:rsidRDefault="003D59F6" w:rsidP="00D923D6">
            <w:pPr>
              <w:pStyle w:val="Tablecondensed"/>
            </w:pPr>
            <w:r w:rsidRPr="00D923D6">
              <w:t>13</w:t>
            </w:r>
          </w:p>
        </w:tc>
        <w:tc>
          <w:tcPr>
            <w:tcW w:w="709" w:type="dxa"/>
            <w:vAlign w:val="bottom"/>
          </w:tcPr>
          <w:p w14:paraId="33FFF97E" w14:textId="519761E8" w:rsidR="003D59F6" w:rsidRPr="00D923D6" w:rsidRDefault="003D59F6" w:rsidP="00D923D6">
            <w:pPr>
              <w:pStyle w:val="Tablecondensed"/>
            </w:pPr>
            <w:r w:rsidRPr="00D923D6">
              <w:t>13</w:t>
            </w:r>
          </w:p>
        </w:tc>
        <w:tc>
          <w:tcPr>
            <w:tcW w:w="709" w:type="dxa"/>
            <w:vAlign w:val="bottom"/>
          </w:tcPr>
          <w:p w14:paraId="7E131DBA" w14:textId="761C6984" w:rsidR="003D59F6" w:rsidRPr="00D923D6" w:rsidRDefault="003D59F6" w:rsidP="00D923D6">
            <w:pPr>
              <w:pStyle w:val="Tablecondensed"/>
            </w:pPr>
            <w:r w:rsidRPr="00D923D6">
              <w:t>16</w:t>
            </w:r>
          </w:p>
        </w:tc>
        <w:tc>
          <w:tcPr>
            <w:tcW w:w="709" w:type="dxa"/>
            <w:vAlign w:val="bottom"/>
          </w:tcPr>
          <w:p w14:paraId="3E68694C" w14:textId="76A02C47" w:rsidR="003D59F6" w:rsidRPr="00D923D6" w:rsidRDefault="003D59F6" w:rsidP="00D923D6">
            <w:pPr>
              <w:pStyle w:val="Tablecondensed"/>
            </w:pPr>
            <w:r w:rsidRPr="00D923D6">
              <w:t>13</w:t>
            </w:r>
          </w:p>
        </w:tc>
        <w:tc>
          <w:tcPr>
            <w:tcW w:w="709" w:type="dxa"/>
            <w:vAlign w:val="bottom"/>
          </w:tcPr>
          <w:p w14:paraId="469C64D9" w14:textId="5E2FC111" w:rsidR="003D59F6" w:rsidRPr="00D923D6" w:rsidRDefault="003D59F6" w:rsidP="00D923D6">
            <w:pPr>
              <w:pStyle w:val="Tablecondensed"/>
            </w:pPr>
            <w:r w:rsidRPr="00D923D6">
              <w:t>14</w:t>
            </w:r>
          </w:p>
        </w:tc>
        <w:tc>
          <w:tcPr>
            <w:tcW w:w="709" w:type="dxa"/>
            <w:vAlign w:val="bottom"/>
          </w:tcPr>
          <w:p w14:paraId="78D5A34F" w14:textId="4B72E9BE" w:rsidR="003D59F6" w:rsidRPr="00D923D6" w:rsidRDefault="003D59F6" w:rsidP="00D923D6">
            <w:pPr>
              <w:pStyle w:val="Tablecondensed"/>
            </w:pPr>
            <w:r w:rsidRPr="00D923D6">
              <w:t>7</w:t>
            </w:r>
          </w:p>
        </w:tc>
        <w:tc>
          <w:tcPr>
            <w:tcW w:w="709" w:type="dxa"/>
            <w:vAlign w:val="bottom"/>
          </w:tcPr>
          <w:p w14:paraId="36E6FCAB" w14:textId="0E259D1B" w:rsidR="003D59F6" w:rsidRPr="00D923D6" w:rsidRDefault="003D59F6" w:rsidP="00D923D6">
            <w:pPr>
              <w:pStyle w:val="Tablecondensed"/>
            </w:pPr>
            <w:r w:rsidRPr="00D923D6">
              <w:t>6</w:t>
            </w:r>
          </w:p>
        </w:tc>
        <w:tc>
          <w:tcPr>
            <w:tcW w:w="709" w:type="dxa"/>
            <w:vAlign w:val="bottom"/>
          </w:tcPr>
          <w:p w14:paraId="56780669" w14:textId="6CEF0A74" w:rsidR="003D59F6" w:rsidRPr="00D923D6" w:rsidRDefault="003D59F6" w:rsidP="00D923D6">
            <w:pPr>
              <w:pStyle w:val="Tablecondensed"/>
            </w:pPr>
            <w:r w:rsidRPr="00D923D6">
              <w:t>2</w:t>
            </w:r>
          </w:p>
        </w:tc>
        <w:tc>
          <w:tcPr>
            <w:tcW w:w="864" w:type="dxa"/>
            <w:vAlign w:val="bottom"/>
          </w:tcPr>
          <w:p w14:paraId="559ABF43" w14:textId="2971023F" w:rsidR="003D59F6" w:rsidRPr="00D923D6" w:rsidRDefault="003D59F6" w:rsidP="00D923D6">
            <w:pPr>
              <w:pStyle w:val="Tablecondensed"/>
            </w:pPr>
            <w:r w:rsidRPr="00D923D6">
              <w:t>5</w:t>
            </w:r>
          </w:p>
        </w:tc>
      </w:tr>
    </w:tbl>
    <w:p w14:paraId="450E2A89" w14:textId="01579E95" w:rsidR="00E80B40" w:rsidRPr="006D6D07" w:rsidRDefault="00E80B40" w:rsidP="006D6D07">
      <w:pPr>
        <w:pStyle w:val="BodyText"/>
      </w:pPr>
      <w:r w:rsidRPr="006D6D07">
        <w:t xml:space="preserve">Question </w:t>
      </w:r>
      <w:r w:rsidR="00396F38" w:rsidRPr="006D6D07">
        <w:t>4</w:t>
      </w:r>
      <w:r w:rsidRPr="006D6D07">
        <w:t xml:space="preserve">b. required students to </w:t>
      </w:r>
      <w:r w:rsidR="00396F38" w:rsidRPr="006D6D07">
        <w:t>evaluate the extent to which Australians’ support for the deployment of conscripts beyond Australia changed between 1909 and 1943, using Source 14 and other evidence to support their response.</w:t>
      </w:r>
      <w:r w:rsidR="006D6D07" w:rsidRPr="006D6D07">
        <w:t xml:space="preserve"> </w:t>
      </w:r>
      <w:r w:rsidR="00DE66E1" w:rsidRPr="006D6D07">
        <w:t xml:space="preserve">Most responses explained that the suggestion to deploy conscripted troops beyond Australia was divisive in </w:t>
      </w:r>
      <w:r w:rsidR="008D6C92">
        <w:t>World War I</w:t>
      </w:r>
      <w:r w:rsidR="00DE66E1" w:rsidRPr="006D6D07">
        <w:t>, as evidence</w:t>
      </w:r>
      <w:r w:rsidR="003C1C5D">
        <w:t>d</w:t>
      </w:r>
      <w:r w:rsidR="00DE66E1" w:rsidRPr="006D6D07">
        <w:t xml:space="preserve"> by the two conscription referenda </w:t>
      </w:r>
      <w:r w:rsidR="003C1C5D">
        <w:t>that</w:t>
      </w:r>
      <w:r w:rsidR="003C1C5D" w:rsidRPr="006D6D07">
        <w:t xml:space="preserve"> </w:t>
      </w:r>
      <w:r w:rsidR="00DE66E1" w:rsidRPr="006D6D07">
        <w:t>were both narrowly defeated.</w:t>
      </w:r>
      <w:r w:rsidR="006D6D07" w:rsidRPr="006D6D07">
        <w:t xml:space="preserve"> </w:t>
      </w:r>
      <w:r w:rsidR="00DE66E1" w:rsidRPr="006D6D07">
        <w:t xml:space="preserve">Furthermore, most responses were able to use the source provided to explain that there was less opposition to the extension of the boundaries </w:t>
      </w:r>
      <w:r w:rsidR="008D6C92">
        <w:t xml:space="preserve">of </w:t>
      </w:r>
      <w:r w:rsidR="00DE66E1" w:rsidRPr="006D6D07">
        <w:t>where Australian conscripted troops could serve during W</w:t>
      </w:r>
      <w:r w:rsidR="008D6C92">
        <w:t xml:space="preserve">orld </w:t>
      </w:r>
      <w:r w:rsidR="00DE66E1" w:rsidRPr="006D6D07">
        <w:t>W</w:t>
      </w:r>
      <w:r w:rsidR="008D6C92">
        <w:t>ar II</w:t>
      </w:r>
      <w:r w:rsidR="00DE66E1" w:rsidRPr="006D6D07">
        <w:t xml:space="preserve"> as a result of the direct threat of Japanese invasion.</w:t>
      </w:r>
      <w:r w:rsidR="006D6D07" w:rsidRPr="006D6D07">
        <w:t xml:space="preserve"> </w:t>
      </w:r>
      <w:r w:rsidR="00DE66E1" w:rsidRPr="006D6D07">
        <w:t>The highest</w:t>
      </w:r>
      <w:r w:rsidR="003C1C5D">
        <w:t>-</w:t>
      </w:r>
      <w:r w:rsidR="00DE66E1" w:rsidRPr="006D6D07">
        <w:t xml:space="preserve">scoring responses provided a variety of perspectives </w:t>
      </w:r>
      <w:r w:rsidR="008D6C92">
        <w:t xml:space="preserve">evident </w:t>
      </w:r>
      <w:r w:rsidR="00DE66E1" w:rsidRPr="006D6D07">
        <w:t xml:space="preserve">during </w:t>
      </w:r>
      <w:r w:rsidR="008D6C92" w:rsidRPr="006D6D07">
        <w:t>W</w:t>
      </w:r>
      <w:r w:rsidR="008D6C92">
        <w:t xml:space="preserve">orld </w:t>
      </w:r>
      <w:r w:rsidR="008D6C92" w:rsidRPr="006D6D07">
        <w:t>W</w:t>
      </w:r>
      <w:r w:rsidR="008D6C92">
        <w:t>ar I</w:t>
      </w:r>
      <w:r w:rsidR="00DE66E1" w:rsidRPr="006D6D07">
        <w:t xml:space="preserve"> (arguments for and against sending conscripted troops abroad) and often noted that even </w:t>
      </w:r>
      <w:r w:rsidR="008D6C92">
        <w:t>during</w:t>
      </w:r>
      <w:r w:rsidR="008D6C92" w:rsidRPr="006D6D07">
        <w:t xml:space="preserve"> W</w:t>
      </w:r>
      <w:r w:rsidR="008D6C92">
        <w:t xml:space="preserve">orld </w:t>
      </w:r>
      <w:r w:rsidR="008D6C92" w:rsidRPr="006D6D07">
        <w:t>W</w:t>
      </w:r>
      <w:r w:rsidR="008D6C92">
        <w:t>ar II,</w:t>
      </w:r>
      <w:r w:rsidR="00DE66E1" w:rsidRPr="006D6D07">
        <w:t xml:space="preserve"> there was some lingering opposition to the </w:t>
      </w:r>
      <w:r w:rsidR="00BB2ECB" w:rsidRPr="006D6D07">
        <w:t>idea.</w:t>
      </w:r>
      <w:r w:rsidR="006D6D07" w:rsidRPr="006D6D07">
        <w:t xml:space="preserve"> </w:t>
      </w:r>
      <w:r w:rsidR="00BB2ECB" w:rsidRPr="006D6D07">
        <w:t xml:space="preserve">These responses were able to </w:t>
      </w:r>
      <w:r w:rsidR="008D6C92">
        <w:t>provide</w:t>
      </w:r>
      <w:r w:rsidR="008D6C92" w:rsidRPr="006D6D07">
        <w:t xml:space="preserve"> </w:t>
      </w:r>
      <w:r w:rsidR="00BB2ECB" w:rsidRPr="006D6D07">
        <w:t xml:space="preserve">examples of both changes and continuities </w:t>
      </w:r>
      <w:r w:rsidR="008D6C92">
        <w:t>in</w:t>
      </w:r>
      <w:r w:rsidR="008D6C92" w:rsidRPr="006D6D07">
        <w:t xml:space="preserve"> </w:t>
      </w:r>
      <w:r w:rsidR="00BB2ECB" w:rsidRPr="006D6D07">
        <w:t>perspectives across time.</w:t>
      </w:r>
      <w:r w:rsidR="006D6D07" w:rsidRPr="006D6D07">
        <w:t xml:space="preserve"> </w:t>
      </w:r>
    </w:p>
    <w:p w14:paraId="5331F9D9" w14:textId="77777777" w:rsidR="00BB2ECB" w:rsidRPr="006D6D07" w:rsidRDefault="00BB2ECB" w:rsidP="006D6D07">
      <w:pPr>
        <w:pStyle w:val="BodyText"/>
      </w:pPr>
      <w:r w:rsidRPr="006D6D07">
        <w:t>The following is an example of a high-scoring response:</w:t>
      </w:r>
    </w:p>
    <w:p w14:paraId="4B559F3D" w14:textId="5A36F63F" w:rsidR="00447E4B" w:rsidRPr="00CA5021" w:rsidRDefault="003834FD" w:rsidP="00CA5021">
      <w:pPr>
        <w:pStyle w:val="Studentsamples"/>
      </w:pPr>
      <w:r w:rsidRPr="00CA5021">
        <w:t>Australia’s support for the deployment of conscripts beyond Australia changed dramatically from 1909 to 1943, with there being divisive debates in WW1, yet gr</w:t>
      </w:r>
      <w:r w:rsidR="003C1C5D" w:rsidRPr="00CA5021">
        <w:t>e</w:t>
      </w:r>
      <w:r w:rsidRPr="00CA5021">
        <w:t>ater acceptance of its necessity in WW2.</w:t>
      </w:r>
    </w:p>
    <w:p w14:paraId="123AEEC6" w14:textId="4AFF960C" w:rsidR="003834FD" w:rsidRPr="00CA5021" w:rsidRDefault="003834FD" w:rsidP="00CA5021">
      <w:pPr>
        <w:pStyle w:val="Studentsamples"/>
      </w:pPr>
      <w:r w:rsidRPr="00CA5021">
        <w:t>In WW1, the idea of conscripts serving overseas creat</w:t>
      </w:r>
      <w:r w:rsidR="008D6C92" w:rsidRPr="00CA5021">
        <w:t>ed</w:t>
      </w:r>
      <w:r w:rsidRPr="00CA5021">
        <w:t xml:space="preserve"> contentious and vehement debate within Australian society.</w:t>
      </w:r>
      <w:r w:rsidR="006D6D07" w:rsidRPr="00CA5021">
        <w:t xml:space="preserve"> </w:t>
      </w:r>
      <w:r w:rsidRPr="00CA5021">
        <w:t xml:space="preserve">At the end of 1915, then PM Billy Hughes of the Labor Party promised </w:t>
      </w:r>
      <w:r w:rsidR="00CA3DA6" w:rsidRPr="00CA5021">
        <w:t>Britain 50</w:t>
      </w:r>
      <w:r w:rsidR="008D6C92" w:rsidRPr="00CA5021">
        <w:t xml:space="preserve"> </w:t>
      </w:r>
      <w:r w:rsidR="00CA3DA6" w:rsidRPr="00CA5021">
        <w:t>000 more troops to help the British war effort.</w:t>
      </w:r>
      <w:r w:rsidR="006D6D07" w:rsidRPr="00CA5021">
        <w:t xml:space="preserve"> </w:t>
      </w:r>
      <w:r w:rsidR="00CA3DA6" w:rsidRPr="00CA5021">
        <w:t>Although Australian enlistment numbers had spiked in 1915, with just over 160</w:t>
      </w:r>
      <w:r w:rsidR="008D6C92" w:rsidRPr="00CA5021">
        <w:t xml:space="preserve"> </w:t>
      </w:r>
      <w:r w:rsidR="00CA3DA6" w:rsidRPr="00CA5021">
        <w:t>000 men enlisting, this had begun to steadily decline, as the horrors of war became apparent.</w:t>
      </w:r>
      <w:r w:rsidR="006D6D07" w:rsidRPr="00CA5021">
        <w:t xml:space="preserve"> </w:t>
      </w:r>
      <w:r w:rsidR="00CA3DA6" w:rsidRPr="00CA5021">
        <w:t>Hughes felt for Australia to fulfil its promise, conscription for overseas service must be enforced.</w:t>
      </w:r>
      <w:r w:rsidR="006D6D07" w:rsidRPr="00CA5021">
        <w:t xml:space="preserve"> </w:t>
      </w:r>
      <w:r w:rsidR="00CA3DA6" w:rsidRPr="00CA5021">
        <w:t xml:space="preserve">A plebiscite on the issue was introduced in 1916 to the Australian people </w:t>
      </w:r>
      <w:r w:rsidR="0003204E" w:rsidRPr="00CA5021">
        <w:t xml:space="preserve">on the issue, beginning a period with some of the most </w:t>
      </w:r>
      <w:r w:rsidR="000B5B15" w:rsidRPr="00CA5021">
        <w:t>‘</w:t>
      </w:r>
      <w:r w:rsidR="0003204E" w:rsidRPr="00CA5021">
        <w:t>savage disputes in Australian history</w:t>
      </w:r>
      <w:r w:rsidR="000B5B15" w:rsidRPr="00CA5021">
        <w:t>’</w:t>
      </w:r>
      <w:r w:rsidR="0003204E" w:rsidRPr="00CA5021">
        <w:t xml:space="preserve"> (Gammage).</w:t>
      </w:r>
      <w:r w:rsidR="006D6D07" w:rsidRPr="00CA5021">
        <w:t xml:space="preserve"> </w:t>
      </w:r>
      <w:r w:rsidR="0003204E" w:rsidRPr="00CA5021">
        <w:t>This 1916 referendum failed narrowly with 51% voting against it.</w:t>
      </w:r>
      <w:r w:rsidR="006D6D07" w:rsidRPr="00CA5021">
        <w:t xml:space="preserve"> </w:t>
      </w:r>
      <w:r w:rsidR="0003204E" w:rsidRPr="00CA5021">
        <w:t xml:space="preserve">Similarly in 1917, the referendum failed with 54% voting against it. This issue </w:t>
      </w:r>
      <w:r w:rsidR="000B5B15" w:rsidRPr="00CA5021">
        <w:t>‘</w:t>
      </w:r>
      <w:r w:rsidR="0003204E" w:rsidRPr="00CA5021">
        <w:t>divided Australia</w:t>
      </w:r>
      <w:r w:rsidR="000B5B15" w:rsidRPr="00CA5021">
        <w:t>’</w:t>
      </w:r>
      <w:r w:rsidR="0003204E" w:rsidRPr="00CA5021">
        <w:t xml:space="preserve"> (s14).</w:t>
      </w:r>
      <w:r w:rsidR="006D6D07" w:rsidRPr="00CA5021">
        <w:t xml:space="preserve"> </w:t>
      </w:r>
      <w:r w:rsidR="0003204E" w:rsidRPr="00CA5021">
        <w:t xml:space="preserve">However, in </w:t>
      </w:r>
      <w:r w:rsidR="000739AB" w:rsidRPr="00CA5021">
        <w:t>WW2 with the increased direct threat of attack by Japan, conscription for overseas service gained greater support.</w:t>
      </w:r>
      <w:r w:rsidR="006D6D07" w:rsidRPr="00CA5021">
        <w:t xml:space="preserve"> </w:t>
      </w:r>
      <w:r w:rsidR="000739AB" w:rsidRPr="00CA5021">
        <w:t>On 1 January 1940 the Universal Service Scheme was implemented by the Menzies government</w:t>
      </w:r>
      <w:r w:rsidR="00E21B87" w:rsidRPr="00CA5021">
        <w:t>, forcing men turning 21 to do three months training with the Citizen Militia Forces.</w:t>
      </w:r>
      <w:r w:rsidR="006D6D07" w:rsidRPr="00CA5021">
        <w:t xml:space="preserve"> </w:t>
      </w:r>
      <w:r w:rsidR="00E21B87" w:rsidRPr="00CA5021">
        <w:t xml:space="preserve">However, more significantly, </w:t>
      </w:r>
      <w:r w:rsidR="000B5B15" w:rsidRPr="00CA5021">
        <w:t>‘</w:t>
      </w:r>
      <w:r w:rsidR="00E21B87" w:rsidRPr="00CA5021">
        <w:t>in January 1943 Curtin was authorised by his party to make the appropriate amendment to the Defence Act</w:t>
      </w:r>
      <w:r w:rsidR="000B5B15" w:rsidRPr="00CA5021">
        <w:t>’</w:t>
      </w:r>
      <w:r w:rsidR="00E21B87" w:rsidRPr="00CA5021">
        <w:t xml:space="preserve"> (s14).</w:t>
      </w:r>
      <w:r w:rsidR="006D6D07" w:rsidRPr="00CA5021">
        <w:t xml:space="preserve"> </w:t>
      </w:r>
      <w:r w:rsidR="00E21B87" w:rsidRPr="00CA5021">
        <w:t>The fact that he was authorised by his party, and swiftly able to make the South West Pacific Zone an area where Australian conscripts could fight, shows the greater support for conscripts serving overseas by 1942 in Australia.</w:t>
      </w:r>
    </w:p>
    <w:p w14:paraId="16670550" w14:textId="14EA8FE7" w:rsidR="00E34222" w:rsidRPr="00CA5021" w:rsidRDefault="00E34222" w:rsidP="00CA5021">
      <w:pPr>
        <w:pStyle w:val="Studentsamples"/>
      </w:pPr>
      <w:r w:rsidRPr="00CA5021">
        <w:t>From significant tension, to greater acceptance and support, it can be seen how Australians’ support for the deployment of conscripts beyond Australia changed between 1909 and 1943.</w:t>
      </w:r>
      <w:r w:rsidR="006D6D07" w:rsidRPr="00CA5021">
        <w:t xml:space="preserve"> </w:t>
      </w:r>
    </w:p>
    <w:p w14:paraId="74186D8E" w14:textId="77777777" w:rsidR="00E22285" w:rsidRDefault="00E22285" w:rsidP="008D6C92">
      <w:pPr>
        <w:pStyle w:val="Heading3"/>
        <w:keepNext/>
      </w:pPr>
      <w:r w:rsidRPr="00BA00B7">
        <w:lastRenderedPageBreak/>
        <w:t xml:space="preserve">Question </w:t>
      </w:r>
      <w:r>
        <w:t>4</w:t>
      </w:r>
      <w:r w:rsidRPr="00BA00B7">
        <w:t>c.</w:t>
      </w:r>
    </w:p>
    <w:tbl>
      <w:tblPr>
        <w:tblStyle w:val="VCAATableClosed"/>
        <w:tblW w:w="0" w:type="auto"/>
        <w:tblLook w:val="01E0" w:firstRow="1" w:lastRow="1" w:firstColumn="1" w:lastColumn="1" w:noHBand="0" w:noVBand="0"/>
      </w:tblPr>
      <w:tblGrid>
        <w:gridCol w:w="864"/>
        <w:gridCol w:w="691"/>
        <w:gridCol w:w="567"/>
        <w:gridCol w:w="708"/>
        <w:gridCol w:w="864"/>
        <w:gridCol w:w="864"/>
      </w:tblGrid>
      <w:tr w:rsidR="003D59F6" w:rsidRPr="00BA00B7" w14:paraId="3CBBEF1E" w14:textId="77777777" w:rsidTr="00A82AD5">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B9776C5" w14:textId="77777777" w:rsidR="003D59F6" w:rsidRPr="00BA00B7" w:rsidRDefault="003D59F6" w:rsidP="008D6C92">
            <w:pPr>
              <w:pStyle w:val="Tablecondensedheading"/>
              <w:keepNext/>
              <w:rPr>
                <w:lang w:val="en-AU"/>
              </w:rPr>
            </w:pPr>
            <w:r w:rsidRPr="00BA00B7">
              <w:rPr>
                <w:lang w:val="en-AU"/>
              </w:rPr>
              <w:t>Marks</w:t>
            </w:r>
          </w:p>
        </w:tc>
        <w:tc>
          <w:tcPr>
            <w:tcW w:w="691" w:type="dxa"/>
          </w:tcPr>
          <w:p w14:paraId="3CB43BAF" w14:textId="77777777" w:rsidR="003D59F6" w:rsidRPr="00BA00B7" w:rsidRDefault="003D59F6" w:rsidP="008D6C92">
            <w:pPr>
              <w:pStyle w:val="Tablecondensedheading"/>
              <w:keepNext/>
              <w:rPr>
                <w:lang w:val="en-AU"/>
              </w:rPr>
            </w:pPr>
            <w:r w:rsidRPr="00BA00B7">
              <w:rPr>
                <w:lang w:val="en-AU"/>
              </w:rPr>
              <w:t>0</w:t>
            </w:r>
          </w:p>
        </w:tc>
        <w:tc>
          <w:tcPr>
            <w:tcW w:w="567" w:type="dxa"/>
          </w:tcPr>
          <w:p w14:paraId="6962736D" w14:textId="77777777" w:rsidR="003D59F6" w:rsidRPr="00BA00B7" w:rsidRDefault="003D59F6" w:rsidP="008D6C92">
            <w:pPr>
              <w:pStyle w:val="Tablecondensedheading"/>
              <w:keepNext/>
              <w:rPr>
                <w:lang w:val="en-AU"/>
              </w:rPr>
            </w:pPr>
            <w:r w:rsidRPr="00BA00B7">
              <w:rPr>
                <w:lang w:val="en-AU"/>
              </w:rPr>
              <w:t>1</w:t>
            </w:r>
          </w:p>
        </w:tc>
        <w:tc>
          <w:tcPr>
            <w:tcW w:w="708" w:type="dxa"/>
          </w:tcPr>
          <w:p w14:paraId="00F3080D" w14:textId="77777777" w:rsidR="003D59F6" w:rsidRPr="00BA00B7" w:rsidRDefault="003D59F6" w:rsidP="008D6C92">
            <w:pPr>
              <w:pStyle w:val="Tablecondensedheading"/>
              <w:keepNext/>
              <w:rPr>
                <w:lang w:val="en-AU"/>
              </w:rPr>
            </w:pPr>
            <w:r>
              <w:rPr>
                <w:lang w:val="en-AU"/>
              </w:rPr>
              <w:t>2</w:t>
            </w:r>
          </w:p>
        </w:tc>
        <w:tc>
          <w:tcPr>
            <w:tcW w:w="864" w:type="dxa"/>
          </w:tcPr>
          <w:p w14:paraId="5A00409B" w14:textId="07135C95" w:rsidR="003D59F6" w:rsidRPr="00BA00B7" w:rsidRDefault="003D59F6" w:rsidP="008D6C92">
            <w:pPr>
              <w:pStyle w:val="Tablecondensedheading"/>
              <w:keepNext/>
              <w:rPr>
                <w:lang w:val="en-AU"/>
              </w:rPr>
            </w:pPr>
            <w:r>
              <w:rPr>
                <w:lang w:val="en-AU"/>
              </w:rPr>
              <w:t>3</w:t>
            </w:r>
          </w:p>
        </w:tc>
        <w:tc>
          <w:tcPr>
            <w:tcW w:w="864" w:type="dxa"/>
          </w:tcPr>
          <w:p w14:paraId="068879F9" w14:textId="68673244" w:rsidR="003D59F6" w:rsidRPr="00BA00B7" w:rsidRDefault="003D59F6" w:rsidP="008D6C92">
            <w:pPr>
              <w:pStyle w:val="Tablecondensedheading"/>
              <w:keepNext/>
              <w:rPr>
                <w:lang w:val="en-AU"/>
              </w:rPr>
            </w:pPr>
            <w:r w:rsidRPr="00BA00B7">
              <w:rPr>
                <w:lang w:val="en-AU"/>
              </w:rPr>
              <w:t>Average</w:t>
            </w:r>
          </w:p>
        </w:tc>
      </w:tr>
      <w:tr w:rsidR="003D59F6" w:rsidRPr="00D923D6" w14:paraId="27DA309D" w14:textId="77777777" w:rsidTr="00BF69AA">
        <w:trPr>
          <w:trHeight w:hRule="exact" w:val="397"/>
        </w:trPr>
        <w:tc>
          <w:tcPr>
            <w:tcW w:w="864" w:type="dxa"/>
          </w:tcPr>
          <w:p w14:paraId="10D136F0" w14:textId="77777777" w:rsidR="003D59F6" w:rsidRPr="00D923D6" w:rsidRDefault="003D59F6" w:rsidP="008D6C92">
            <w:pPr>
              <w:pStyle w:val="Tablecondensed"/>
              <w:keepNext/>
            </w:pPr>
            <w:r w:rsidRPr="00D923D6">
              <w:t>%</w:t>
            </w:r>
          </w:p>
        </w:tc>
        <w:tc>
          <w:tcPr>
            <w:tcW w:w="691" w:type="dxa"/>
            <w:vAlign w:val="bottom"/>
          </w:tcPr>
          <w:p w14:paraId="45355207" w14:textId="3F26BF17" w:rsidR="003D59F6" w:rsidRPr="00D923D6" w:rsidRDefault="003D59F6" w:rsidP="008D6C92">
            <w:pPr>
              <w:pStyle w:val="Tablecondensed"/>
              <w:keepNext/>
            </w:pPr>
            <w:r w:rsidRPr="00D923D6">
              <w:t>1</w:t>
            </w:r>
          </w:p>
        </w:tc>
        <w:tc>
          <w:tcPr>
            <w:tcW w:w="567" w:type="dxa"/>
            <w:vAlign w:val="bottom"/>
          </w:tcPr>
          <w:p w14:paraId="2998C344" w14:textId="0EE1A9E1" w:rsidR="003D59F6" w:rsidRPr="00D923D6" w:rsidRDefault="003D59F6" w:rsidP="008D6C92">
            <w:pPr>
              <w:pStyle w:val="Tablecondensed"/>
              <w:keepNext/>
            </w:pPr>
            <w:r w:rsidRPr="00D923D6">
              <w:t>5</w:t>
            </w:r>
          </w:p>
        </w:tc>
        <w:tc>
          <w:tcPr>
            <w:tcW w:w="708" w:type="dxa"/>
            <w:vAlign w:val="bottom"/>
          </w:tcPr>
          <w:p w14:paraId="6487D0AE" w14:textId="52EFD2BC" w:rsidR="003D59F6" w:rsidRPr="00D923D6" w:rsidRDefault="003D59F6" w:rsidP="008D6C92">
            <w:pPr>
              <w:pStyle w:val="Tablecondensed"/>
              <w:keepNext/>
            </w:pPr>
            <w:r w:rsidRPr="00D923D6">
              <w:t>35</w:t>
            </w:r>
          </w:p>
        </w:tc>
        <w:tc>
          <w:tcPr>
            <w:tcW w:w="864" w:type="dxa"/>
            <w:vAlign w:val="bottom"/>
          </w:tcPr>
          <w:p w14:paraId="6BC60568" w14:textId="59925519" w:rsidR="003D59F6" w:rsidRPr="00D923D6" w:rsidRDefault="003D59F6" w:rsidP="008D6C92">
            <w:pPr>
              <w:pStyle w:val="Tablecondensed"/>
              <w:keepNext/>
            </w:pPr>
            <w:r w:rsidRPr="00D923D6">
              <w:t>59</w:t>
            </w:r>
          </w:p>
        </w:tc>
        <w:tc>
          <w:tcPr>
            <w:tcW w:w="864" w:type="dxa"/>
          </w:tcPr>
          <w:p w14:paraId="495DA044" w14:textId="2D84F2CF" w:rsidR="003D59F6" w:rsidRPr="00D923D6" w:rsidRDefault="003D59F6" w:rsidP="008D6C92">
            <w:pPr>
              <w:pStyle w:val="Tablecondensed"/>
              <w:keepNext/>
            </w:pPr>
            <w:r w:rsidRPr="00D923D6">
              <w:t>2.5</w:t>
            </w:r>
          </w:p>
        </w:tc>
      </w:tr>
    </w:tbl>
    <w:p w14:paraId="34F71DE3" w14:textId="4A2C2A1E" w:rsidR="00426425" w:rsidRPr="006D6D07" w:rsidRDefault="00426425" w:rsidP="006D6D07">
      <w:pPr>
        <w:pStyle w:val="BodyText"/>
      </w:pPr>
      <w:r w:rsidRPr="006D6D07">
        <w:t xml:space="preserve">Question 4c. required students to outline three ideas </w:t>
      </w:r>
      <w:r w:rsidR="009D1A87" w:rsidRPr="006D6D07">
        <w:t>that were</w:t>
      </w:r>
      <w:r w:rsidR="009D1A87">
        <w:t xml:space="preserve"> provided</w:t>
      </w:r>
      <w:r w:rsidR="009D1A87" w:rsidRPr="006D6D07">
        <w:t xml:space="preserve"> in Source 15</w:t>
      </w:r>
      <w:r w:rsidR="009D1A87">
        <w:t xml:space="preserve"> </w:t>
      </w:r>
      <w:r w:rsidRPr="006D6D07">
        <w:t>that influenced Australia’s involvement in the war in the Indo-Malayan region during the 1950s.</w:t>
      </w:r>
    </w:p>
    <w:p w14:paraId="0BF64B2C" w14:textId="4B279563" w:rsidR="00A84CA2" w:rsidRPr="006D6D07" w:rsidRDefault="00A84CA2" w:rsidP="006D6D07">
      <w:pPr>
        <w:pStyle w:val="BodyText"/>
      </w:pPr>
      <w:r w:rsidRPr="006D6D07">
        <w:t>Fully formed sentences were required to provide the main features of the argument in the source, and included examples such as:</w:t>
      </w:r>
    </w:p>
    <w:p w14:paraId="4C19A3AA" w14:textId="31FE4D48" w:rsidR="00DD0C09" w:rsidRPr="00572BAA" w:rsidRDefault="00DD0C09" w:rsidP="0063768C">
      <w:pPr>
        <w:pStyle w:val="Bullet"/>
      </w:pPr>
      <w:r w:rsidRPr="004A6FEF">
        <w:t>A fear of communism,</w:t>
      </w:r>
      <w:r>
        <w:t xml:space="preserve"> </w:t>
      </w:r>
      <w:r w:rsidR="009D1A87">
        <w:t xml:space="preserve">a </w:t>
      </w:r>
      <w:r>
        <w:t>belief in</w:t>
      </w:r>
      <w:r w:rsidRPr="004A6FEF">
        <w:t xml:space="preserve"> </w:t>
      </w:r>
      <w:r w:rsidR="009D1A87">
        <w:t>t</w:t>
      </w:r>
      <w:r w:rsidRPr="004A6FEF">
        <w:t>he Domino Theory or the principle of forward defence</w:t>
      </w:r>
      <w:r>
        <w:t xml:space="preserve"> motivated Australia’s involvement in the Indo</w:t>
      </w:r>
      <w:r w:rsidR="009D1A87">
        <w:t>-</w:t>
      </w:r>
      <w:r>
        <w:t>Malayan region</w:t>
      </w:r>
      <w:r w:rsidR="00572BAA">
        <w:t>.</w:t>
      </w:r>
    </w:p>
    <w:p w14:paraId="0EA89C5C" w14:textId="03E7889E" w:rsidR="00DD0C09" w:rsidRPr="004A6FEF" w:rsidRDefault="00DD0C09" w:rsidP="0063768C">
      <w:pPr>
        <w:pStyle w:val="Bullet"/>
        <w:rPr>
          <w:i/>
          <w:iCs/>
        </w:rPr>
      </w:pPr>
      <w:r>
        <w:t>Australia also became involved to resist the process of d</w:t>
      </w:r>
      <w:r w:rsidRPr="004A6FEF">
        <w:t>ecolonisation</w:t>
      </w:r>
      <w:r w:rsidR="00C325FE">
        <w:t xml:space="preserve"> and </w:t>
      </w:r>
      <w:r w:rsidR="009D1A87">
        <w:t xml:space="preserve">out of </w:t>
      </w:r>
      <w:r w:rsidR="00C325FE">
        <w:t>a desire to preserve regional stability</w:t>
      </w:r>
      <w:r w:rsidR="00572BAA">
        <w:t>.</w:t>
      </w:r>
    </w:p>
    <w:p w14:paraId="4180B8CB" w14:textId="4373F282" w:rsidR="00DD0C09" w:rsidRPr="00572BAA" w:rsidRDefault="00DD0C09" w:rsidP="0063768C">
      <w:pPr>
        <w:pStyle w:val="Bullet"/>
        <w:rPr>
          <w:i/>
          <w:iCs/>
        </w:rPr>
      </w:pPr>
      <w:r>
        <w:t>Additionally, Australia’s a</w:t>
      </w:r>
      <w:r w:rsidRPr="004A6FEF">
        <w:t>lliance with the United Kingdom</w:t>
      </w:r>
      <w:r>
        <w:t xml:space="preserve"> helped dr</w:t>
      </w:r>
      <w:r w:rsidR="0063768C">
        <w:t>a</w:t>
      </w:r>
      <w:r>
        <w:t xml:space="preserve">w </w:t>
      </w:r>
      <w:r w:rsidR="009D1A87">
        <w:t xml:space="preserve">it </w:t>
      </w:r>
      <w:r>
        <w:t>into the conflict</w:t>
      </w:r>
      <w:r w:rsidR="009D1A87">
        <w:t>.</w:t>
      </w:r>
      <w:r w:rsidRPr="004A6FEF">
        <w:t xml:space="preserve"> </w:t>
      </w:r>
    </w:p>
    <w:p w14:paraId="13592D65" w14:textId="462AEB1E" w:rsidR="00DA56F4" w:rsidRPr="00DA56F4" w:rsidRDefault="00C325FE" w:rsidP="0063768C">
      <w:pPr>
        <w:pStyle w:val="Bullet"/>
        <w:rPr>
          <w:i/>
          <w:iCs/>
        </w:rPr>
      </w:pPr>
      <w:r>
        <w:t>T</w:t>
      </w:r>
      <w:r w:rsidR="00DD0C09" w:rsidRPr="004A6FEF">
        <w:t>he government’s fear about entering the conflict in Indonesia</w:t>
      </w:r>
      <w:r>
        <w:t xml:space="preserve"> affected the nature of Australia’s involvement in the conflict</w:t>
      </w:r>
      <w:r w:rsidR="00572BAA">
        <w:t>.</w:t>
      </w:r>
    </w:p>
    <w:p w14:paraId="1E532F5F" w14:textId="3B6F6349" w:rsidR="00DA56F4" w:rsidRPr="003F32E1" w:rsidRDefault="00DA56F4" w:rsidP="00CA5021">
      <w:pPr>
        <w:pStyle w:val="BodyText"/>
      </w:pPr>
      <w:r w:rsidRPr="003F32E1">
        <w:t xml:space="preserve">Given </w:t>
      </w:r>
      <w:r w:rsidR="009D1A87" w:rsidRPr="003F32E1">
        <w:t xml:space="preserve">that </w:t>
      </w:r>
      <w:r w:rsidRPr="003F32E1">
        <w:t xml:space="preserve">the source mentioned </w:t>
      </w:r>
      <w:proofErr w:type="spellStart"/>
      <w:r w:rsidRPr="003F32E1">
        <w:t>Konfrontasi</w:t>
      </w:r>
      <w:proofErr w:type="spellEnd"/>
      <w:r w:rsidR="00CB5AED" w:rsidRPr="003F32E1">
        <w:t xml:space="preserve"> without noting that it took place in the 1960s, rather than </w:t>
      </w:r>
      <w:r w:rsidR="009D1A87" w:rsidRPr="003F32E1">
        <w:t xml:space="preserve">in </w:t>
      </w:r>
      <w:r w:rsidR="00CB5AED" w:rsidRPr="003F32E1">
        <w:t>the 1950s</w:t>
      </w:r>
      <w:r w:rsidR="009D1A87" w:rsidRPr="003F32E1">
        <w:t>,</w:t>
      </w:r>
      <w:r w:rsidR="00CB5AED" w:rsidRPr="003F32E1">
        <w:t xml:space="preserve"> which the question asked about, students were not penalised for mention</w:t>
      </w:r>
      <w:r w:rsidR="009D1A87" w:rsidRPr="003F32E1">
        <w:t>ing it</w:t>
      </w:r>
      <w:r w:rsidR="00CB5AED" w:rsidRPr="003F32E1">
        <w:t>, although relatively few did so.</w:t>
      </w:r>
    </w:p>
    <w:p w14:paraId="7215E1C0" w14:textId="07E3795B" w:rsidR="00103EA5" w:rsidRPr="006D6D07" w:rsidRDefault="00414B0E" w:rsidP="006D6D07">
      <w:pPr>
        <w:pStyle w:val="BodyText"/>
        <w:rPr>
          <w:rStyle w:val="EmphasisBold"/>
          <w:b w:val="0"/>
        </w:rPr>
      </w:pPr>
      <w:r w:rsidRPr="006D6D07">
        <w:t>The following is an example of a high-scoring response:</w:t>
      </w:r>
    </w:p>
    <w:p w14:paraId="42E43F0C" w14:textId="489ADBF8" w:rsidR="00103EA5" w:rsidRPr="00CA5021" w:rsidRDefault="00103EA5" w:rsidP="00CA5021">
      <w:pPr>
        <w:pStyle w:val="Studentsamples"/>
      </w:pPr>
      <w:r w:rsidRPr="00CA5021">
        <w:t xml:space="preserve">Three ideas that influenced Australia’s involvement in the war in the Indo-Malayan region during the 1950s were a continued sense of loyalty to Britain given Australia’s involvement was due to a </w:t>
      </w:r>
      <w:r w:rsidR="000B5B15" w:rsidRPr="00CA5021">
        <w:t>‘</w:t>
      </w:r>
      <w:r w:rsidRPr="00CA5021">
        <w:t>request from the British government</w:t>
      </w:r>
      <w:r w:rsidR="000B5B15" w:rsidRPr="00CA5021">
        <w:t>’</w:t>
      </w:r>
      <w:r w:rsidRPr="00CA5021">
        <w:t xml:space="preserve"> (s15).</w:t>
      </w:r>
      <w:r w:rsidR="006D6D07" w:rsidRPr="00CA5021">
        <w:t xml:space="preserve"> </w:t>
      </w:r>
      <w:r w:rsidRPr="00CA5021">
        <w:t xml:space="preserve">Another idea was to </w:t>
      </w:r>
      <w:r w:rsidR="000B5B15" w:rsidRPr="00CA5021">
        <w:t>‘</w:t>
      </w:r>
      <w:r w:rsidRPr="00CA5021">
        <w:t>deter external communist aggression</w:t>
      </w:r>
      <w:r w:rsidR="000B5B15" w:rsidRPr="00CA5021">
        <w:t>’</w:t>
      </w:r>
      <w:r w:rsidRPr="00CA5021">
        <w:t xml:space="preserve"> (s15) and finally ensure peace in the Malayan region given there had been a</w:t>
      </w:r>
      <w:r w:rsidR="00957022" w:rsidRPr="00CA5021">
        <w:t xml:space="preserve">n attempt at a </w:t>
      </w:r>
      <w:r w:rsidR="000B5B15" w:rsidRPr="00CA5021">
        <w:t>‘</w:t>
      </w:r>
      <w:r w:rsidRPr="00CA5021">
        <w:t xml:space="preserve">violent </w:t>
      </w:r>
      <w:r w:rsidR="00957022" w:rsidRPr="00CA5021">
        <w:t>overthrow of the British colonial government (s15).</w:t>
      </w:r>
      <w:r w:rsidR="006D6D07" w:rsidRPr="00CA5021">
        <w:t xml:space="preserve"> </w:t>
      </w:r>
      <w:r w:rsidR="00957022" w:rsidRPr="00CA5021">
        <w:t xml:space="preserve"> </w:t>
      </w:r>
    </w:p>
    <w:p w14:paraId="19CA0CA9" w14:textId="77777777" w:rsidR="00E22285" w:rsidRDefault="00E22285" w:rsidP="006D6D07">
      <w:pPr>
        <w:pStyle w:val="Heading3"/>
      </w:pPr>
      <w:r w:rsidRPr="00BA00B7">
        <w:t xml:space="preserve">Question </w:t>
      </w:r>
      <w:r>
        <w:t>4</w:t>
      </w:r>
      <w:r w:rsidRPr="00BA00B7">
        <w:t>d.</w:t>
      </w:r>
    </w:p>
    <w:tbl>
      <w:tblPr>
        <w:tblStyle w:val="VCAATableClosed"/>
        <w:tblW w:w="0" w:type="auto"/>
        <w:tblLook w:val="01E0" w:firstRow="1" w:lastRow="1" w:firstColumn="1" w:lastColumn="1" w:noHBand="0" w:noVBand="0"/>
      </w:tblPr>
      <w:tblGrid>
        <w:gridCol w:w="864"/>
        <w:gridCol w:w="691"/>
        <w:gridCol w:w="567"/>
        <w:gridCol w:w="708"/>
        <w:gridCol w:w="864"/>
        <w:gridCol w:w="864"/>
        <w:gridCol w:w="864"/>
      </w:tblGrid>
      <w:tr w:rsidR="00D923D6" w:rsidRPr="00BA00B7" w14:paraId="019A1898" w14:textId="77777777" w:rsidTr="004036A7">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572CB86" w14:textId="77777777" w:rsidR="00D923D6" w:rsidRPr="00BA00B7" w:rsidRDefault="00D923D6" w:rsidP="00D923D6">
            <w:pPr>
              <w:pStyle w:val="Tablecondensedheading"/>
              <w:rPr>
                <w:lang w:val="en-AU"/>
              </w:rPr>
            </w:pPr>
            <w:r w:rsidRPr="00BA00B7">
              <w:rPr>
                <w:lang w:val="en-AU"/>
              </w:rPr>
              <w:t>Marks</w:t>
            </w:r>
          </w:p>
        </w:tc>
        <w:tc>
          <w:tcPr>
            <w:tcW w:w="691" w:type="dxa"/>
          </w:tcPr>
          <w:p w14:paraId="3FF695D7" w14:textId="77777777" w:rsidR="00D923D6" w:rsidRPr="00BA00B7" w:rsidRDefault="00D923D6" w:rsidP="00D923D6">
            <w:pPr>
              <w:pStyle w:val="Tablecondensedheading"/>
              <w:rPr>
                <w:lang w:val="en-AU"/>
              </w:rPr>
            </w:pPr>
            <w:r w:rsidRPr="00BA00B7">
              <w:rPr>
                <w:lang w:val="en-AU"/>
              </w:rPr>
              <w:t>0</w:t>
            </w:r>
          </w:p>
        </w:tc>
        <w:tc>
          <w:tcPr>
            <w:tcW w:w="567" w:type="dxa"/>
          </w:tcPr>
          <w:p w14:paraId="71DF41DA" w14:textId="77777777" w:rsidR="00D923D6" w:rsidRPr="00BA00B7" w:rsidRDefault="00D923D6" w:rsidP="00D923D6">
            <w:pPr>
              <w:pStyle w:val="Tablecondensedheading"/>
              <w:rPr>
                <w:lang w:val="en-AU"/>
              </w:rPr>
            </w:pPr>
            <w:r w:rsidRPr="00BA00B7">
              <w:rPr>
                <w:lang w:val="en-AU"/>
              </w:rPr>
              <w:t>1</w:t>
            </w:r>
          </w:p>
        </w:tc>
        <w:tc>
          <w:tcPr>
            <w:tcW w:w="708" w:type="dxa"/>
          </w:tcPr>
          <w:p w14:paraId="1CEE45DA" w14:textId="77777777" w:rsidR="00D923D6" w:rsidRPr="00BA00B7" w:rsidRDefault="00D923D6" w:rsidP="00D923D6">
            <w:pPr>
              <w:pStyle w:val="Tablecondensedheading"/>
              <w:rPr>
                <w:lang w:val="en-AU"/>
              </w:rPr>
            </w:pPr>
            <w:r>
              <w:rPr>
                <w:lang w:val="en-AU"/>
              </w:rPr>
              <w:t>2</w:t>
            </w:r>
          </w:p>
        </w:tc>
        <w:tc>
          <w:tcPr>
            <w:tcW w:w="864" w:type="dxa"/>
          </w:tcPr>
          <w:p w14:paraId="7BFA8732" w14:textId="77777777" w:rsidR="00D923D6" w:rsidRPr="00BA00B7" w:rsidRDefault="00D923D6" w:rsidP="00D923D6">
            <w:pPr>
              <w:pStyle w:val="Tablecondensedheading"/>
              <w:rPr>
                <w:lang w:val="en-AU"/>
              </w:rPr>
            </w:pPr>
            <w:r>
              <w:rPr>
                <w:lang w:val="en-AU"/>
              </w:rPr>
              <w:t>3</w:t>
            </w:r>
          </w:p>
        </w:tc>
        <w:tc>
          <w:tcPr>
            <w:tcW w:w="864" w:type="dxa"/>
          </w:tcPr>
          <w:p w14:paraId="0CD23805" w14:textId="3AE5EA6A" w:rsidR="00D923D6" w:rsidRPr="00BA00B7" w:rsidRDefault="00D923D6" w:rsidP="00D923D6">
            <w:pPr>
              <w:pStyle w:val="Tablecondensedheading"/>
              <w:rPr>
                <w:lang w:val="en-AU"/>
              </w:rPr>
            </w:pPr>
            <w:r>
              <w:rPr>
                <w:lang w:val="en-AU"/>
              </w:rPr>
              <w:t>4</w:t>
            </w:r>
          </w:p>
        </w:tc>
        <w:tc>
          <w:tcPr>
            <w:tcW w:w="864" w:type="dxa"/>
          </w:tcPr>
          <w:p w14:paraId="5521828C" w14:textId="62B9CBF4" w:rsidR="00D923D6" w:rsidRPr="00BA00B7" w:rsidRDefault="00D923D6" w:rsidP="00D923D6">
            <w:pPr>
              <w:pStyle w:val="Tablecondensedheading"/>
              <w:rPr>
                <w:lang w:val="en-AU"/>
              </w:rPr>
            </w:pPr>
            <w:r w:rsidRPr="00BA00B7">
              <w:rPr>
                <w:lang w:val="en-AU"/>
              </w:rPr>
              <w:t>Average</w:t>
            </w:r>
          </w:p>
        </w:tc>
      </w:tr>
      <w:tr w:rsidR="00D923D6" w:rsidRPr="00D923D6" w14:paraId="5D8C8AEA" w14:textId="77777777" w:rsidTr="003A4178">
        <w:trPr>
          <w:trHeight w:hRule="exact" w:val="397"/>
        </w:trPr>
        <w:tc>
          <w:tcPr>
            <w:tcW w:w="864" w:type="dxa"/>
          </w:tcPr>
          <w:p w14:paraId="0FAE29A2" w14:textId="77777777" w:rsidR="00D923D6" w:rsidRPr="00D923D6" w:rsidRDefault="00D923D6" w:rsidP="00D923D6">
            <w:pPr>
              <w:pStyle w:val="Tablecondensed"/>
            </w:pPr>
            <w:r w:rsidRPr="00D923D6">
              <w:t>%</w:t>
            </w:r>
          </w:p>
        </w:tc>
        <w:tc>
          <w:tcPr>
            <w:tcW w:w="691" w:type="dxa"/>
            <w:vAlign w:val="bottom"/>
          </w:tcPr>
          <w:p w14:paraId="277FD7FD" w14:textId="71B4712F" w:rsidR="00D923D6" w:rsidRPr="00D923D6" w:rsidRDefault="00D923D6" w:rsidP="00D923D6">
            <w:pPr>
              <w:pStyle w:val="Tablecondensed"/>
            </w:pPr>
            <w:r w:rsidRPr="00D923D6">
              <w:t>6</w:t>
            </w:r>
          </w:p>
        </w:tc>
        <w:tc>
          <w:tcPr>
            <w:tcW w:w="567" w:type="dxa"/>
            <w:vAlign w:val="bottom"/>
          </w:tcPr>
          <w:p w14:paraId="6E8DC35C" w14:textId="0C020517" w:rsidR="00D923D6" w:rsidRPr="00D923D6" w:rsidRDefault="00D923D6" w:rsidP="00D923D6">
            <w:pPr>
              <w:pStyle w:val="Tablecondensed"/>
            </w:pPr>
            <w:r w:rsidRPr="00D923D6">
              <w:t>16</w:t>
            </w:r>
          </w:p>
        </w:tc>
        <w:tc>
          <w:tcPr>
            <w:tcW w:w="708" w:type="dxa"/>
            <w:vAlign w:val="bottom"/>
          </w:tcPr>
          <w:p w14:paraId="4F8C9CB1" w14:textId="72768AC6" w:rsidR="00D923D6" w:rsidRPr="00D923D6" w:rsidRDefault="00D923D6" w:rsidP="00D923D6">
            <w:pPr>
              <w:pStyle w:val="Tablecondensed"/>
            </w:pPr>
            <w:r w:rsidRPr="00D923D6">
              <w:t>36</w:t>
            </w:r>
          </w:p>
        </w:tc>
        <w:tc>
          <w:tcPr>
            <w:tcW w:w="864" w:type="dxa"/>
            <w:vAlign w:val="bottom"/>
          </w:tcPr>
          <w:p w14:paraId="606402B2" w14:textId="091EE62C" w:rsidR="00D923D6" w:rsidRPr="00D923D6" w:rsidRDefault="00D923D6" w:rsidP="00D923D6">
            <w:pPr>
              <w:pStyle w:val="Tablecondensed"/>
            </w:pPr>
            <w:r w:rsidRPr="00D923D6">
              <w:t>30</w:t>
            </w:r>
          </w:p>
        </w:tc>
        <w:tc>
          <w:tcPr>
            <w:tcW w:w="864" w:type="dxa"/>
            <w:vAlign w:val="bottom"/>
          </w:tcPr>
          <w:p w14:paraId="7A982C3C" w14:textId="1C29FB2D" w:rsidR="00D923D6" w:rsidRPr="00D923D6" w:rsidRDefault="00D923D6" w:rsidP="00D923D6">
            <w:pPr>
              <w:pStyle w:val="Tablecondensed"/>
            </w:pPr>
            <w:r w:rsidRPr="00D923D6">
              <w:t>11</w:t>
            </w:r>
          </w:p>
        </w:tc>
        <w:tc>
          <w:tcPr>
            <w:tcW w:w="864" w:type="dxa"/>
          </w:tcPr>
          <w:p w14:paraId="77C8630B" w14:textId="594A330E" w:rsidR="00D923D6" w:rsidRPr="00D923D6" w:rsidRDefault="00D923D6" w:rsidP="00D923D6">
            <w:pPr>
              <w:pStyle w:val="Tablecondensed"/>
            </w:pPr>
            <w:r w:rsidRPr="00D923D6">
              <w:t>2.2</w:t>
            </w:r>
          </w:p>
        </w:tc>
      </w:tr>
    </w:tbl>
    <w:p w14:paraId="2886EEC3" w14:textId="37C3D97F" w:rsidR="0043183C" w:rsidRPr="006D6D07" w:rsidRDefault="004A14C2" w:rsidP="006D6D07">
      <w:pPr>
        <w:pStyle w:val="BodyText"/>
      </w:pPr>
      <w:r w:rsidRPr="006D6D07">
        <w:t xml:space="preserve">Question </w:t>
      </w:r>
      <w:r w:rsidR="00396F38" w:rsidRPr="006D6D07">
        <w:t>4</w:t>
      </w:r>
      <w:r w:rsidRPr="006D6D07">
        <w:t xml:space="preserve">d. required students to </w:t>
      </w:r>
      <w:r w:rsidR="00396F38" w:rsidRPr="006D6D07">
        <w:t>describe the reasons for Australia’s involvement in the Korean War</w:t>
      </w:r>
      <w:r w:rsidR="00617618">
        <w:t>,</w:t>
      </w:r>
      <w:r w:rsidR="00396F38" w:rsidRPr="006D6D07">
        <w:t xml:space="preserve"> using their own knowledge.</w:t>
      </w:r>
      <w:r w:rsidR="008C701B" w:rsidRPr="006D6D07">
        <w:t xml:space="preserve"> Higher</w:t>
      </w:r>
      <w:r w:rsidR="00617618">
        <w:t>-</w:t>
      </w:r>
      <w:r w:rsidR="008C701B" w:rsidRPr="006D6D07">
        <w:t xml:space="preserve">scoring responses focused on the desire to contain the spread of communism, </w:t>
      </w:r>
      <w:r w:rsidR="00617618">
        <w:t xml:space="preserve">the </w:t>
      </w:r>
      <w:r w:rsidR="008C701B" w:rsidRPr="006D6D07">
        <w:t xml:space="preserve">desire to demonstrate support </w:t>
      </w:r>
      <w:r w:rsidR="00617618">
        <w:t>for</w:t>
      </w:r>
      <w:r w:rsidR="00617618" w:rsidRPr="006D6D07">
        <w:t xml:space="preserve"> </w:t>
      </w:r>
      <w:r w:rsidR="008C701B" w:rsidRPr="006D6D07">
        <w:t>the United States and secure the ANZUS Treaty</w:t>
      </w:r>
      <w:r w:rsidR="00617618">
        <w:t>,</w:t>
      </w:r>
      <w:r w:rsidR="008C701B" w:rsidRPr="006D6D07">
        <w:t xml:space="preserve"> and </w:t>
      </w:r>
      <w:r w:rsidR="00617618">
        <w:t xml:space="preserve">the desire to </w:t>
      </w:r>
      <w:r w:rsidR="008C701B" w:rsidRPr="006D6D07">
        <w:t>honour Australia’s commitment to the United Nations.</w:t>
      </w:r>
      <w:r w:rsidR="006D6D07" w:rsidRPr="006D6D07">
        <w:t xml:space="preserve"> </w:t>
      </w:r>
      <w:r w:rsidR="008C701B" w:rsidRPr="006D6D07">
        <w:t>However, m</w:t>
      </w:r>
      <w:r w:rsidR="0043183C" w:rsidRPr="006D6D07">
        <w:t xml:space="preserve">any </w:t>
      </w:r>
      <w:r w:rsidR="008C701B" w:rsidRPr="006D6D07">
        <w:t>responses specifically</w:t>
      </w:r>
      <w:r w:rsidR="0043183C" w:rsidRPr="006D6D07">
        <w:t xml:space="preserve"> referenced the Domino Theory and the principle of ‘forward defence’, both of which were </w:t>
      </w:r>
      <w:r w:rsidR="00617618">
        <w:t>developed</w:t>
      </w:r>
      <w:r w:rsidR="00617618" w:rsidRPr="006D6D07">
        <w:t xml:space="preserve"> </w:t>
      </w:r>
      <w:r w:rsidR="0043183C" w:rsidRPr="006D6D07">
        <w:t>subsequent to the Korean War.</w:t>
      </w:r>
    </w:p>
    <w:p w14:paraId="743A9A5D" w14:textId="77777777" w:rsidR="00414B0E" w:rsidRPr="006D6D07" w:rsidRDefault="00414B0E" w:rsidP="006D6D07">
      <w:pPr>
        <w:pStyle w:val="BodyText"/>
      </w:pPr>
      <w:r w:rsidRPr="006D6D07">
        <w:t>The following is an example of a high-scoring response:</w:t>
      </w:r>
    </w:p>
    <w:p w14:paraId="32AA1192" w14:textId="77F58D3C" w:rsidR="00164718" w:rsidRPr="00CA5021" w:rsidRDefault="00164718" w:rsidP="00CA5021">
      <w:pPr>
        <w:pStyle w:val="Studentsamples"/>
      </w:pPr>
      <w:r w:rsidRPr="00CA5021">
        <w:t>Australia’s reasons for involvement in the Korean War were varied.</w:t>
      </w:r>
      <w:r w:rsidR="006D6D07" w:rsidRPr="00CA5021">
        <w:t xml:space="preserve"> </w:t>
      </w:r>
      <w:r w:rsidRPr="00CA5021">
        <w:t xml:space="preserve">Firstly, KJ Mason argues that we pursued war in Korea largely out of a view to support and strengthen international groups like the United Nations out of our interested as a ‘middle power’ because Australia believed </w:t>
      </w:r>
      <w:r w:rsidR="0072583F" w:rsidRPr="00CA5021">
        <w:t xml:space="preserve">that such a move </w:t>
      </w:r>
      <w:r w:rsidR="000B5B15" w:rsidRPr="00CA5021">
        <w:t>‘</w:t>
      </w:r>
      <w:r w:rsidR="0072583F" w:rsidRPr="00CA5021">
        <w:t>best guaranteed its own security</w:t>
      </w:r>
      <w:r w:rsidR="000B5B15" w:rsidRPr="00CA5021">
        <w:t>’</w:t>
      </w:r>
      <w:r w:rsidR="0072583F" w:rsidRPr="00CA5021">
        <w:t>.</w:t>
      </w:r>
      <w:r w:rsidR="006D6D07" w:rsidRPr="00CA5021">
        <w:t xml:space="preserve"> </w:t>
      </w:r>
      <w:r w:rsidR="0072583F" w:rsidRPr="00CA5021">
        <w:t>Secondly, Stuart Macintyre notes that involvement in Korea was to some exten</w:t>
      </w:r>
      <w:r w:rsidR="00617618" w:rsidRPr="00CA5021">
        <w:t>t</w:t>
      </w:r>
      <w:r w:rsidR="0072583F" w:rsidRPr="00CA5021">
        <w:t xml:space="preserve"> motivated by a wish to signal support to the US in order to secure future guarantees like the ANZUS Treaty for which Australia invoked its Korean involvement.</w:t>
      </w:r>
    </w:p>
    <w:p w14:paraId="0BE101A9" w14:textId="77777777" w:rsidR="00E22285" w:rsidRDefault="00E22285" w:rsidP="00617618">
      <w:pPr>
        <w:pStyle w:val="Heading3"/>
        <w:keepNext/>
      </w:pPr>
      <w:r w:rsidRPr="006D6D07">
        <w:lastRenderedPageBreak/>
        <w:t>Question 4e.</w:t>
      </w:r>
    </w:p>
    <w:tbl>
      <w:tblPr>
        <w:tblStyle w:val="VCAATableClosed"/>
        <w:tblW w:w="0" w:type="auto"/>
        <w:tblLook w:val="01E0" w:firstRow="1" w:lastRow="1" w:firstColumn="1" w:lastColumn="1" w:noHBand="0" w:noVBand="0"/>
      </w:tblPr>
      <w:tblGrid>
        <w:gridCol w:w="864"/>
        <w:gridCol w:w="691"/>
        <w:gridCol w:w="567"/>
        <w:gridCol w:w="708"/>
        <w:gridCol w:w="864"/>
        <w:gridCol w:w="864"/>
        <w:gridCol w:w="864"/>
        <w:gridCol w:w="864"/>
        <w:gridCol w:w="864"/>
      </w:tblGrid>
      <w:tr w:rsidR="00D923D6" w:rsidRPr="00BA00B7" w14:paraId="3E81CAAC" w14:textId="77777777" w:rsidTr="00EF082C">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99776B4" w14:textId="77777777" w:rsidR="00D923D6" w:rsidRPr="00BA00B7" w:rsidRDefault="00D923D6" w:rsidP="00D923D6">
            <w:pPr>
              <w:pStyle w:val="Tablecondensedheading"/>
              <w:rPr>
                <w:lang w:val="en-AU"/>
              </w:rPr>
            </w:pPr>
            <w:r w:rsidRPr="00BA00B7">
              <w:rPr>
                <w:lang w:val="en-AU"/>
              </w:rPr>
              <w:t>Marks</w:t>
            </w:r>
          </w:p>
        </w:tc>
        <w:tc>
          <w:tcPr>
            <w:tcW w:w="691" w:type="dxa"/>
          </w:tcPr>
          <w:p w14:paraId="72B1C874" w14:textId="77777777" w:rsidR="00D923D6" w:rsidRPr="00BA00B7" w:rsidRDefault="00D923D6" w:rsidP="00D923D6">
            <w:pPr>
              <w:pStyle w:val="Tablecondensedheading"/>
              <w:rPr>
                <w:lang w:val="en-AU"/>
              </w:rPr>
            </w:pPr>
            <w:r w:rsidRPr="00BA00B7">
              <w:rPr>
                <w:lang w:val="en-AU"/>
              </w:rPr>
              <w:t>0</w:t>
            </w:r>
          </w:p>
        </w:tc>
        <w:tc>
          <w:tcPr>
            <w:tcW w:w="567" w:type="dxa"/>
          </w:tcPr>
          <w:p w14:paraId="29640E04" w14:textId="77777777" w:rsidR="00D923D6" w:rsidRPr="00BA00B7" w:rsidRDefault="00D923D6" w:rsidP="00D923D6">
            <w:pPr>
              <w:pStyle w:val="Tablecondensedheading"/>
              <w:rPr>
                <w:lang w:val="en-AU"/>
              </w:rPr>
            </w:pPr>
            <w:r w:rsidRPr="00BA00B7">
              <w:rPr>
                <w:lang w:val="en-AU"/>
              </w:rPr>
              <w:t>1</w:t>
            </w:r>
          </w:p>
        </w:tc>
        <w:tc>
          <w:tcPr>
            <w:tcW w:w="708" w:type="dxa"/>
          </w:tcPr>
          <w:p w14:paraId="7E7A7D4D" w14:textId="77777777" w:rsidR="00D923D6" w:rsidRPr="00BA00B7" w:rsidRDefault="00D923D6" w:rsidP="00D923D6">
            <w:pPr>
              <w:pStyle w:val="Tablecondensedheading"/>
              <w:rPr>
                <w:lang w:val="en-AU"/>
              </w:rPr>
            </w:pPr>
            <w:r>
              <w:rPr>
                <w:lang w:val="en-AU"/>
              </w:rPr>
              <w:t>2</w:t>
            </w:r>
          </w:p>
        </w:tc>
        <w:tc>
          <w:tcPr>
            <w:tcW w:w="864" w:type="dxa"/>
          </w:tcPr>
          <w:p w14:paraId="3C25E89C" w14:textId="77777777" w:rsidR="00D923D6" w:rsidRPr="00BA00B7" w:rsidRDefault="00D923D6" w:rsidP="00D923D6">
            <w:pPr>
              <w:pStyle w:val="Tablecondensedheading"/>
              <w:rPr>
                <w:lang w:val="en-AU"/>
              </w:rPr>
            </w:pPr>
            <w:r>
              <w:rPr>
                <w:lang w:val="en-AU"/>
              </w:rPr>
              <w:t>3</w:t>
            </w:r>
          </w:p>
        </w:tc>
        <w:tc>
          <w:tcPr>
            <w:tcW w:w="864" w:type="dxa"/>
          </w:tcPr>
          <w:p w14:paraId="15598968" w14:textId="77777777" w:rsidR="00D923D6" w:rsidRPr="00BA00B7" w:rsidRDefault="00D923D6" w:rsidP="00D923D6">
            <w:pPr>
              <w:pStyle w:val="Tablecondensedheading"/>
              <w:rPr>
                <w:lang w:val="en-AU"/>
              </w:rPr>
            </w:pPr>
            <w:r>
              <w:rPr>
                <w:lang w:val="en-AU"/>
              </w:rPr>
              <w:t>4</w:t>
            </w:r>
          </w:p>
        </w:tc>
        <w:tc>
          <w:tcPr>
            <w:tcW w:w="864" w:type="dxa"/>
          </w:tcPr>
          <w:p w14:paraId="3E38F532" w14:textId="7065063B" w:rsidR="00D923D6" w:rsidRPr="00BA00B7" w:rsidRDefault="00D923D6" w:rsidP="00D923D6">
            <w:pPr>
              <w:pStyle w:val="Tablecondensedheading"/>
              <w:rPr>
                <w:lang w:val="en-AU"/>
              </w:rPr>
            </w:pPr>
            <w:r>
              <w:rPr>
                <w:lang w:val="en-AU"/>
              </w:rPr>
              <w:t>5</w:t>
            </w:r>
          </w:p>
        </w:tc>
        <w:tc>
          <w:tcPr>
            <w:tcW w:w="864" w:type="dxa"/>
          </w:tcPr>
          <w:p w14:paraId="255FED4D" w14:textId="6EACF8D2" w:rsidR="00D923D6" w:rsidRPr="00BA00B7" w:rsidRDefault="00D923D6" w:rsidP="00D923D6">
            <w:pPr>
              <w:pStyle w:val="Tablecondensedheading"/>
              <w:rPr>
                <w:lang w:val="en-AU"/>
              </w:rPr>
            </w:pPr>
            <w:r>
              <w:rPr>
                <w:lang w:val="en-AU"/>
              </w:rPr>
              <w:t>6</w:t>
            </w:r>
          </w:p>
        </w:tc>
        <w:tc>
          <w:tcPr>
            <w:tcW w:w="864" w:type="dxa"/>
          </w:tcPr>
          <w:p w14:paraId="26F9215E" w14:textId="3DF9708F" w:rsidR="00D923D6" w:rsidRPr="00BA00B7" w:rsidRDefault="00D923D6" w:rsidP="00D923D6">
            <w:pPr>
              <w:pStyle w:val="Tablecondensedheading"/>
              <w:rPr>
                <w:lang w:val="en-AU"/>
              </w:rPr>
            </w:pPr>
            <w:r w:rsidRPr="00BA00B7">
              <w:rPr>
                <w:lang w:val="en-AU"/>
              </w:rPr>
              <w:t>Average</w:t>
            </w:r>
          </w:p>
        </w:tc>
      </w:tr>
      <w:tr w:rsidR="00D923D6" w:rsidRPr="00D923D6" w14:paraId="4E7B0801" w14:textId="77777777" w:rsidTr="0029374E">
        <w:trPr>
          <w:trHeight w:hRule="exact" w:val="397"/>
        </w:trPr>
        <w:tc>
          <w:tcPr>
            <w:tcW w:w="864" w:type="dxa"/>
          </w:tcPr>
          <w:p w14:paraId="1448F2D1" w14:textId="77777777" w:rsidR="00D923D6" w:rsidRPr="00D923D6" w:rsidRDefault="00D923D6" w:rsidP="00D923D6">
            <w:pPr>
              <w:pStyle w:val="Tablecondensed"/>
            </w:pPr>
            <w:r w:rsidRPr="00D923D6">
              <w:t>%</w:t>
            </w:r>
          </w:p>
        </w:tc>
        <w:tc>
          <w:tcPr>
            <w:tcW w:w="691" w:type="dxa"/>
            <w:vAlign w:val="bottom"/>
          </w:tcPr>
          <w:p w14:paraId="4D97F698" w14:textId="02ADC9D4" w:rsidR="00D923D6" w:rsidRPr="00D923D6" w:rsidRDefault="00D923D6" w:rsidP="00D923D6">
            <w:pPr>
              <w:pStyle w:val="Tablecondensed"/>
            </w:pPr>
            <w:r w:rsidRPr="00D923D6">
              <w:t>5</w:t>
            </w:r>
          </w:p>
        </w:tc>
        <w:tc>
          <w:tcPr>
            <w:tcW w:w="567" w:type="dxa"/>
            <w:vAlign w:val="bottom"/>
          </w:tcPr>
          <w:p w14:paraId="59DC07AC" w14:textId="4DFF2AC8" w:rsidR="00D923D6" w:rsidRPr="00D923D6" w:rsidRDefault="00D923D6" w:rsidP="00D923D6">
            <w:pPr>
              <w:pStyle w:val="Tablecondensed"/>
            </w:pPr>
            <w:r w:rsidRPr="00D923D6">
              <w:t>10</w:t>
            </w:r>
          </w:p>
        </w:tc>
        <w:tc>
          <w:tcPr>
            <w:tcW w:w="708" w:type="dxa"/>
            <w:vAlign w:val="bottom"/>
          </w:tcPr>
          <w:p w14:paraId="691F453F" w14:textId="7B832667" w:rsidR="00D923D6" w:rsidRPr="00D923D6" w:rsidRDefault="00D923D6" w:rsidP="00D923D6">
            <w:pPr>
              <w:pStyle w:val="Tablecondensed"/>
            </w:pPr>
            <w:r w:rsidRPr="00D923D6">
              <w:t>25</w:t>
            </w:r>
          </w:p>
        </w:tc>
        <w:tc>
          <w:tcPr>
            <w:tcW w:w="864" w:type="dxa"/>
            <w:vAlign w:val="bottom"/>
          </w:tcPr>
          <w:p w14:paraId="6FB07413" w14:textId="643D3441" w:rsidR="00D923D6" w:rsidRPr="00D923D6" w:rsidRDefault="00D923D6" w:rsidP="00D923D6">
            <w:pPr>
              <w:pStyle w:val="Tablecondensed"/>
            </w:pPr>
            <w:r w:rsidRPr="00D923D6">
              <w:t>26</w:t>
            </w:r>
          </w:p>
        </w:tc>
        <w:tc>
          <w:tcPr>
            <w:tcW w:w="864" w:type="dxa"/>
            <w:vAlign w:val="bottom"/>
          </w:tcPr>
          <w:p w14:paraId="5F61F636" w14:textId="7DFDADFD" w:rsidR="00D923D6" w:rsidRPr="00D923D6" w:rsidRDefault="00D923D6" w:rsidP="00D923D6">
            <w:pPr>
              <w:pStyle w:val="Tablecondensed"/>
            </w:pPr>
            <w:r w:rsidRPr="00D923D6">
              <w:t>16</w:t>
            </w:r>
          </w:p>
        </w:tc>
        <w:tc>
          <w:tcPr>
            <w:tcW w:w="864" w:type="dxa"/>
            <w:vAlign w:val="bottom"/>
          </w:tcPr>
          <w:p w14:paraId="27935EA0" w14:textId="5610CFD9" w:rsidR="00D923D6" w:rsidRPr="00D923D6" w:rsidRDefault="00D923D6" w:rsidP="00D923D6">
            <w:pPr>
              <w:pStyle w:val="Tablecondensed"/>
            </w:pPr>
            <w:r w:rsidRPr="00D923D6">
              <w:t>13</w:t>
            </w:r>
          </w:p>
        </w:tc>
        <w:tc>
          <w:tcPr>
            <w:tcW w:w="864" w:type="dxa"/>
            <w:vAlign w:val="bottom"/>
          </w:tcPr>
          <w:p w14:paraId="0B5253C9" w14:textId="225953A5" w:rsidR="00D923D6" w:rsidRPr="00D923D6" w:rsidRDefault="00D923D6" w:rsidP="00D923D6">
            <w:pPr>
              <w:pStyle w:val="Tablecondensed"/>
            </w:pPr>
            <w:r w:rsidRPr="00D923D6">
              <w:t>5</w:t>
            </w:r>
          </w:p>
        </w:tc>
        <w:tc>
          <w:tcPr>
            <w:tcW w:w="864" w:type="dxa"/>
          </w:tcPr>
          <w:p w14:paraId="4C2F5274" w14:textId="2E2B36CB" w:rsidR="00D923D6" w:rsidRPr="00D923D6" w:rsidRDefault="00D923D6" w:rsidP="00D923D6">
            <w:pPr>
              <w:pStyle w:val="Tablecondensed"/>
            </w:pPr>
            <w:r w:rsidRPr="00D923D6">
              <w:t>2.9</w:t>
            </w:r>
          </w:p>
        </w:tc>
      </w:tr>
    </w:tbl>
    <w:p w14:paraId="39261821" w14:textId="6C748F45" w:rsidR="0043183C" w:rsidRPr="006D6D07" w:rsidRDefault="002F4435" w:rsidP="006D6D07">
      <w:pPr>
        <w:pStyle w:val="BodyText"/>
      </w:pPr>
      <w:r w:rsidRPr="006D6D07">
        <w:t xml:space="preserve">Question </w:t>
      </w:r>
      <w:r w:rsidR="00396F38" w:rsidRPr="006D6D07">
        <w:t>4</w:t>
      </w:r>
      <w:r w:rsidRPr="006D6D07">
        <w:t xml:space="preserve">e. required students to </w:t>
      </w:r>
      <w:r w:rsidR="00396F38" w:rsidRPr="006D6D07">
        <w:t>explain the changing perspectives on women’s and Aboriginal and Torres Strait Islander people</w:t>
      </w:r>
      <w:r w:rsidR="00617618">
        <w:t>s</w:t>
      </w:r>
      <w:r w:rsidR="00396F38" w:rsidRPr="006D6D07">
        <w:t>’ participation in the armed forces between 1950 and 1992, using Source 16 and their own knowledge.</w:t>
      </w:r>
      <w:r w:rsidR="006D6D07" w:rsidRPr="006D6D07">
        <w:t xml:space="preserve"> </w:t>
      </w:r>
      <w:r w:rsidR="00C171B6" w:rsidRPr="006D6D07">
        <w:t>Most responses used the source to describe how Aboriginal and Torres Strait Islander peoples felt a growing acceptance and inclusion as part of the armed forces.</w:t>
      </w:r>
      <w:r w:rsidR="006D6D07" w:rsidRPr="006D6D07">
        <w:t xml:space="preserve"> </w:t>
      </w:r>
      <w:r w:rsidR="00C171B6" w:rsidRPr="006D6D07">
        <w:t>Higher</w:t>
      </w:r>
      <w:r w:rsidR="00617618">
        <w:t>-</w:t>
      </w:r>
      <w:r w:rsidR="00C171B6" w:rsidRPr="006D6D07">
        <w:t xml:space="preserve">scoring responses were able to add their own knowledge to the changing experiences of Indigenous Australians during this period, </w:t>
      </w:r>
      <w:r w:rsidR="003F2829" w:rsidRPr="006D6D07">
        <w:t xml:space="preserve">such as the formation of the Pilbara Regiment in 1982 or the </w:t>
      </w:r>
      <w:r w:rsidR="00AA5C38">
        <w:t>rendering</w:t>
      </w:r>
      <w:r w:rsidR="00AA5C38" w:rsidRPr="006D6D07">
        <w:t xml:space="preserve"> </w:t>
      </w:r>
      <w:r w:rsidR="003F2829" w:rsidRPr="006D6D07">
        <w:t>of discrimination against Aboriginal and Torres Strait Islander</w:t>
      </w:r>
      <w:r w:rsidR="00617618">
        <w:t xml:space="preserve"> people</w:t>
      </w:r>
      <w:r w:rsidR="003F2829" w:rsidRPr="006D6D07">
        <w:t xml:space="preserve">s </w:t>
      </w:r>
      <w:r w:rsidR="00AA5C38">
        <w:t>unlawful by</w:t>
      </w:r>
      <w:r w:rsidR="00AA5C38" w:rsidRPr="006D6D07">
        <w:t xml:space="preserve"> </w:t>
      </w:r>
      <w:r w:rsidR="003F2829" w:rsidRPr="006D6D07">
        <w:t xml:space="preserve">the </w:t>
      </w:r>
      <w:r w:rsidR="003F2829" w:rsidRPr="0017038D">
        <w:rPr>
          <w:rStyle w:val="Emphasis"/>
        </w:rPr>
        <w:t>Racial Discrimination Act 1975</w:t>
      </w:r>
      <w:r w:rsidR="003F2829" w:rsidRPr="006D6D07">
        <w:t>.</w:t>
      </w:r>
      <w:r w:rsidR="006D6D07" w:rsidRPr="006D6D07">
        <w:t xml:space="preserve"> </w:t>
      </w:r>
      <w:r w:rsidR="003F2829" w:rsidRPr="006D6D07">
        <w:t>Higher</w:t>
      </w:r>
      <w:r w:rsidR="00617618">
        <w:t>-</w:t>
      </w:r>
      <w:r w:rsidR="003F2829" w:rsidRPr="006D6D07">
        <w:t xml:space="preserve">scoring responses also provided specific knowledge to describe the growing inclusion of women in the </w:t>
      </w:r>
      <w:r w:rsidR="00414B0E" w:rsidRPr="006D6D07">
        <w:t>armed forces</w:t>
      </w:r>
      <w:r w:rsidR="00617618">
        <w:t>,</w:t>
      </w:r>
      <w:r w:rsidR="00414B0E" w:rsidRPr="006D6D07">
        <w:t xml:space="preserve"> such as the removal of segregated units, equal pay and, in 1992, the opportunity to serve in all arms of the A</w:t>
      </w:r>
      <w:r w:rsidR="00617618">
        <w:t xml:space="preserve">ustralian </w:t>
      </w:r>
      <w:r w:rsidR="00414B0E" w:rsidRPr="006D6D07">
        <w:t>D</w:t>
      </w:r>
      <w:r w:rsidR="00617618">
        <w:t xml:space="preserve">efence </w:t>
      </w:r>
      <w:r w:rsidR="00414B0E" w:rsidRPr="006D6D07">
        <w:t>F</w:t>
      </w:r>
      <w:r w:rsidR="00617618">
        <w:t>orce</w:t>
      </w:r>
      <w:r w:rsidR="00414B0E" w:rsidRPr="006D6D07">
        <w:t>, except in direct combat roles.</w:t>
      </w:r>
      <w:r w:rsidR="006D6D07" w:rsidRPr="006D6D07">
        <w:t xml:space="preserve"> </w:t>
      </w:r>
      <w:r w:rsidR="00414B0E" w:rsidRPr="006D6D07">
        <w:t>S</w:t>
      </w:r>
      <w:r w:rsidR="0043183C" w:rsidRPr="006D6D07">
        <w:t xml:space="preserve">ome </w:t>
      </w:r>
      <w:r w:rsidR="00414B0E" w:rsidRPr="006D6D07">
        <w:t>responses, though,</w:t>
      </w:r>
      <w:r w:rsidR="0043183C" w:rsidRPr="006D6D07">
        <w:t xml:space="preserve"> drew heavily, and sometimes singularly, on women’s experience</w:t>
      </w:r>
      <w:r w:rsidR="00752E3D">
        <w:t>s</w:t>
      </w:r>
      <w:r w:rsidR="0043183C" w:rsidRPr="006D6D07">
        <w:t xml:space="preserve"> and changing roles during World War </w:t>
      </w:r>
      <w:r w:rsidR="00617618">
        <w:t>II</w:t>
      </w:r>
      <w:r w:rsidR="0043183C" w:rsidRPr="006D6D07">
        <w:t xml:space="preserve">, which was not relevant to the time period </w:t>
      </w:r>
      <w:r w:rsidR="00617618">
        <w:t>specified in</w:t>
      </w:r>
      <w:r w:rsidR="0043183C" w:rsidRPr="006D6D07">
        <w:t xml:space="preserve"> this question.</w:t>
      </w:r>
      <w:r w:rsidR="006D6D07" w:rsidRPr="006D6D07">
        <w:t xml:space="preserve"> </w:t>
      </w:r>
    </w:p>
    <w:p w14:paraId="0740D52E" w14:textId="77777777" w:rsidR="00414B0E" w:rsidRPr="006D6D07" w:rsidRDefault="00414B0E" w:rsidP="006D6D07">
      <w:pPr>
        <w:pStyle w:val="BodyText"/>
      </w:pPr>
      <w:r w:rsidRPr="006D6D07">
        <w:t>The following is an example of a high-scoring response:</w:t>
      </w:r>
    </w:p>
    <w:p w14:paraId="441C5E49" w14:textId="766EEC7D" w:rsidR="00D93671" w:rsidRPr="00CA5021" w:rsidRDefault="00917D6F" w:rsidP="00CA5021">
      <w:pPr>
        <w:pStyle w:val="Studentsamples"/>
        <w:rPr>
          <w:highlight w:val="lightGray"/>
        </w:rPr>
      </w:pPr>
      <w:r w:rsidRPr="00CA5021">
        <w:t xml:space="preserve">There was a significant shift in perspectives on women and Aboriginal </w:t>
      </w:r>
      <w:proofErr w:type="gramStart"/>
      <w:r w:rsidRPr="00CA5021">
        <w:t>peoples</w:t>
      </w:r>
      <w:proofErr w:type="gramEnd"/>
      <w:r w:rsidRPr="00CA5021">
        <w:t xml:space="preserve"> participation in the armed services from 1950 to 1992, from existing ideas of distinction and exclusion to embracing diversity and inclusion.</w:t>
      </w:r>
      <w:r w:rsidR="006D6D07" w:rsidRPr="00CA5021">
        <w:t xml:space="preserve"> </w:t>
      </w:r>
      <w:r w:rsidRPr="00CA5021">
        <w:t>A</w:t>
      </w:r>
      <w:r w:rsidR="000C4A5C" w:rsidRPr="00CA5021">
        <w:t>n</w:t>
      </w:r>
      <w:r w:rsidRPr="00CA5021">
        <w:t xml:space="preserve"> Aboriginal serviceman’s perspective from 1951 is presented in source 15, as despite being from </w:t>
      </w:r>
      <w:r w:rsidR="000B5B15" w:rsidRPr="00CA5021">
        <w:t>‘</w:t>
      </w:r>
      <w:r w:rsidRPr="00CA5021">
        <w:t>totally different backgrounds</w:t>
      </w:r>
      <w:r w:rsidR="000B5B15" w:rsidRPr="00CA5021">
        <w:t>’</w:t>
      </w:r>
      <w:r w:rsidRPr="00CA5021">
        <w:t xml:space="preserve">, all of the recruits were regarded as </w:t>
      </w:r>
      <w:r w:rsidR="000B5B15" w:rsidRPr="00CA5021">
        <w:t>‘</w:t>
      </w:r>
      <w:r w:rsidRPr="00CA5021">
        <w:t>the same</w:t>
      </w:r>
      <w:r w:rsidR="000B5B15" w:rsidRPr="00CA5021">
        <w:t>’</w:t>
      </w:r>
      <w:r w:rsidRPr="00CA5021">
        <w:t>.</w:t>
      </w:r>
      <w:r w:rsidR="006D6D07" w:rsidRPr="00CA5021">
        <w:t xml:space="preserve"> </w:t>
      </w:r>
      <w:r w:rsidRPr="00CA5021">
        <w:t xml:space="preserve">This highlighted how </w:t>
      </w:r>
      <w:r w:rsidR="008C4D2A" w:rsidRPr="00CA5021">
        <w:t xml:space="preserve">Indigenous people no longer had to </w:t>
      </w:r>
      <w:r w:rsidR="000B5B15" w:rsidRPr="00CA5021">
        <w:t>‘</w:t>
      </w:r>
      <w:r w:rsidR="008C4D2A" w:rsidRPr="00CA5021">
        <w:t>answer to anybody about colour</w:t>
      </w:r>
      <w:r w:rsidR="000B5B15" w:rsidRPr="00CA5021">
        <w:t>’</w:t>
      </w:r>
      <w:r w:rsidR="008C4D2A" w:rsidRPr="00CA5021">
        <w:t xml:space="preserve"> (s16), creating a more accepting attitude towards Indigenous people in service.</w:t>
      </w:r>
      <w:r w:rsidR="006D6D07" w:rsidRPr="00CA5021">
        <w:t xml:space="preserve"> </w:t>
      </w:r>
      <w:r w:rsidR="008C4D2A" w:rsidRPr="00CA5021">
        <w:t>These enduring attitudes culminated in the changes in 1992.</w:t>
      </w:r>
      <w:r w:rsidR="006D6D07" w:rsidRPr="00CA5021">
        <w:t xml:space="preserve"> </w:t>
      </w:r>
      <w:r w:rsidR="008C4D2A" w:rsidRPr="00CA5021">
        <w:t>The first war that the last discriminatory policy of the Defence Act – which excluded Indigenous Australians from compulsory service – was removed.</w:t>
      </w:r>
      <w:r w:rsidR="006D6D07" w:rsidRPr="00CA5021">
        <w:t xml:space="preserve"> </w:t>
      </w:r>
      <w:r w:rsidR="008C4D2A" w:rsidRPr="00CA5021">
        <w:t xml:space="preserve">Secondly, Aboriginal servicemen in the Northern Territory Special Reconnaissance Unit in WW2 were formally recognised with back pay </w:t>
      </w:r>
      <w:r w:rsidR="00766865" w:rsidRPr="00CA5021">
        <w:t>and medals.</w:t>
      </w:r>
      <w:r w:rsidR="006D6D07" w:rsidRPr="00CA5021">
        <w:t xml:space="preserve"> </w:t>
      </w:r>
      <w:r w:rsidR="00766865" w:rsidRPr="00CA5021">
        <w:t>This reflected the idea of Aboriginal people being celebrated and acknowledged for their participation in the armed services, which had been denied to Indigenous veterans in both WW1 and WW2.</w:t>
      </w:r>
      <w:r w:rsidR="006D6D07" w:rsidRPr="00CA5021">
        <w:t xml:space="preserve"> </w:t>
      </w:r>
      <w:r w:rsidR="00766865" w:rsidRPr="00CA5021">
        <w:t>Similarly, women underwent comprehensive changes in these years.</w:t>
      </w:r>
      <w:r w:rsidR="006D6D07" w:rsidRPr="00CA5021">
        <w:t xml:space="preserve"> </w:t>
      </w:r>
      <w:r w:rsidR="00766865" w:rsidRPr="00CA5021">
        <w:t>The Women’s Auxiliary Units had been disbanded in the 1970s, with women in the service being able to join the army in the same units as males.</w:t>
      </w:r>
      <w:r w:rsidR="006D6D07" w:rsidRPr="00CA5021">
        <w:t xml:space="preserve"> </w:t>
      </w:r>
      <w:r w:rsidR="00766865" w:rsidRPr="00CA5021">
        <w:t>For instance, the Women’s Royal Auxiliary Naval Service was disbanded</w:t>
      </w:r>
      <w:r w:rsidR="00843D29" w:rsidRPr="00CA5021">
        <w:t xml:space="preserve"> to become part of the broader navy service.</w:t>
      </w:r>
      <w:r w:rsidR="006D6D07" w:rsidRPr="00CA5021">
        <w:t xml:space="preserve"> </w:t>
      </w:r>
      <w:r w:rsidR="00843D29" w:rsidRPr="00CA5021">
        <w:t>This reflected a significant shift in perspectives about women’s participation, as people began to recognise women as capable individuals that could serve Australia alongside their male counterparts.</w:t>
      </w:r>
      <w:r w:rsidR="006D6D07" w:rsidRPr="00CA5021">
        <w:t xml:space="preserve"> </w:t>
      </w:r>
      <w:r w:rsidR="00B2091E" w:rsidRPr="00CA5021">
        <w:t>By 1992, the number of women participating in the armed forces had increased significantly, reflecting how acceptance fuelled a readiness and eagerness in Australian women to enlist.</w:t>
      </w:r>
    </w:p>
    <w:p w14:paraId="61541354" w14:textId="77777777" w:rsidR="00E22285" w:rsidRPr="00BA00B7" w:rsidRDefault="00E22285" w:rsidP="006D6D07">
      <w:pPr>
        <w:pStyle w:val="Heading1"/>
      </w:pPr>
      <w:r w:rsidRPr="00BA00B7">
        <w:t>Section B</w:t>
      </w:r>
    </w:p>
    <w:p w14:paraId="266E0A63" w14:textId="001C5090" w:rsidR="00601E9D" w:rsidRDefault="00601E9D" w:rsidP="00DF7107">
      <w:pPr>
        <w:pStyle w:val="BodyText"/>
      </w:pPr>
      <w:r>
        <w:t>Perhaps the most important aspect of an argumentative response for Section B is to c</w:t>
      </w:r>
      <w:r w:rsidR="00C849E1">
        <w:t>onstruct</w:t>
      </w:r>
      <w:r>
        <w:t xml:space="preserve"> </w:t>
      </w:r>
      <w:r w:rsidR="00C63849">
        <w:t xml:space="preserve">a relevant and thoughtful </w:t>
      </w:r>
      <w:r>
        <w:t>answer to the specific question that w</w:t>
      </w:r>
      <w:r w:rsidR="00C849E1">
        <w:t>as</w:t>
      </w:r>
      <w:r>
        <w:t xml:space="preserve"> asked.</w:t>
      </w:r>
      <w:r w:rsidR="006D6D07">
        <w:t xml:space="preserve"> </w:t>
      </w:r>
      <w:r>
        <w:t xml:space="preserve">This was typically done </w:t>
      </w:r>
      <w:r w:rsidR="0042791F">
        <w:t xml:space="preserve">by </w:t>
      </w:r>
      <w:r>
        <w:t xml:space="preserve">outlining an argument in an introduction, using topic sentences and concluding sentences, and making regular links </w:t>
      </w:r>
      <w:r w:rsidR="0042791F">
        <w:t xml:space="preserve">between </w:t>
      </w:r>
      <w:r>
        <w:t xml:space="preserve">examples or evidence </w:t>
      </w:r>
      <w:r w:rsidR="0042791F">
        <w:t>and</w:t>
      </w:r>
      <w:r>
        <w:t xml:space="preserve"> the question.</w:t>
      </w:r>
      <w:r w:rsidR="006D6D07">
        <w:t xml:space="preserve"> </w:t>
      </w:r>
      <w:r w:rsidR="00F37C47">
        <w:t>A clear, cohesive and consistent line of relevant argument should not be sacrificed or abandoned in order</w:t>
      </w:r>
      <w:r w:rsidR="0096278D">
        <w:t xml:space="preserve"> to write </w:t>
      </w:r>
      <w:r w:rsidR="00F37C47">
        <w:t>a large volume of content</w:t>
      </w:r>
      <w:r w:rsidR="00C63849">
        <w:t>.</w:t>
      </w:r>
      <w:r w:rsidR="006D6D07">
        <w:t xml:space="preserve"> </w:t>
      </w:r>
      <w:r w:rsidR="003F7D2F">
        <w:t>The quality of responses was often determined less by the volume of words and more by a line of argument that directly engage</w:t>
      </w:r>
      <w:r w:rsidR="001F7512">
        <w:t>d</w:t>
      </w:r>
      <w:r w:rsidR="003F7D2F">
        <w:t xml:space="preserve"> with the premise of the question</w:t>
      </w:r>
      <w:r w:rsidR="001F7512">
        <w:t xml:space="preserve"> and probed both arguments for and against the premise at different points in time</w:t>
      </w:r>
      <w:r w:rsidR="003F7D2F">
        <w:t>.</w:t>
      </w:r>
      <w:r w:rsidR="006D6D07">
        <w:t xml:space="preserve"> </w:t>
      </w:r>
      <w:r w:rsidR="003F7D2F">
        <w:t>M</w:t>
      </w:r>
      <w:r w:rsidR="00C63849">
        <w:t>any responses were quite long</w:t>
      </w:r>
      <w:r w:rsidR="0096278D">
        <w:t xml:space="preserve"> and sometimes lost touch with the question that was asked.</w:t>
      </w:r>
      <w:r w:rsidR="006D6D07">
        <w:t xml:space="preserve"> </w:t>
      </w:r>
      <w:r w:rsidR="0096278D">
        <w:t>W</w:t>
      </w:r>
      <w:r w:rsidR="00F37C47">
        <w:t xml:space="preserve">ithout consistent links to the specific prompt, some essays became more like a narrative, describing what had happened in history rather than crafting an argumentative response to the question. </w:t>
      </w:r>
    </w:p>
    <w:p w14:paraId="790A4B11" w14:textId="109D9A06" w:rsidR="0096278D" w:rsidRDefault="00F37C47" w:rsidP="0096278D">
      <w:pPr>
        <w:pStyle w:val="BodyText"/>
      </w:pPr>
      <w:r>
        <w:lastRenderedPageBreak/>
        <w:t>Knowledge from the timeframes for both areas of study was required, although not in even amounts.</w:t>
      </w:r>
      <w:r w:rsidR="006D6D07">
        <w:t xml:space="preserve"> </w:t>
      </w:r>
      <w:r w:rsidR="004E19C4">
        <w:t>In some cases, students did not include reference to events, perspectives or ideas as prescribed by the question</w:t>
      </w:r>
      <w:r w:rsidR="003F7D2F">
        <w:t xml:space="preserve"> (such as </w:t>
      </w:r>
      <w:r w:rsidR="0042791F">
        <w:t xml:space="preserve">a </w:t>
      </w:r>
      <w:r w:rsidR="003F7D2F">
        <w:t xml:space="preserve">reference to judicial decisions for </w:t>
      </w:r>
      <w:r w:rsidR="0042791F">
        <w:t>Q</w:t>
      </w:r>
      <w:r w:rsidR="003F7D2F">
        <w:t>uestion 3)</w:t>
      </w:r>
      <w:r>
        <w:t>.</w:t>
      </w:r>
      <w:r w:rsidR="006D6D07">
        <w:t xml:space="preserve"> </w:t>
      </w:r>
      <w:r>
        <w:t>Such responses</w:t>
      </w:r>
      <w:r w:rsidR="004E19C4">
        <w:t xml:space="preserve"> did not address the specific </w:t>
      </w:r>
      <w:r w:rsidR="0042791F">
        <w:t xml:space="preserve">requirements </w:t>
      </w:r>
      <w:r w:rsidR="004E19C4">
        <w:t>of the question</w:t>
      </w:r>
      <w:r>
        <w:t xml:space="preserve"> </w:t>
      </w:r>
      <w:r w:rsidR="0042791F">
        <w:t>to</w:t>
      </w:r>
      <w:r>
        <w:t xml:space="preserve"> reference both areas of study</w:t>
      </w:r>
      <w:r w:rsidR="004E19C4">
        <w:t>.</w:t>
      </w:r>
      <w:r w:rsidR="006D6D07">
        <w:t xml:space="preserve"> </w:t>
      </w:r>
      <w:r w:rsidR="0096278D">
        <w:t>The highest</w:t>
      </w:r>
      <w:r w:rsidR="0042791F">
        <w:t>-</w:t>
      </w:r>
      <w:r w:rsidR="0096278D">
        <w:t xml:space="preserve">scoring answers were required to effectively use </w:t>
      </w:r>
      <w:r w:rsidR="001A51C7">
        <w:t>relevant primary sources</w:t>
      </w:r>
      <w:r w:rsidR="0096278D">
        <w:t xml:space="preserve"> and historians’ interpretations</w:t>
      </w:r>
      <w:r w:rsidR="001F7512">
        <w:t xml:space="preserve"> to support an argument</w:t>
      </w:r>
      <w:r w:rsidR="0096278D">
        <w:t>.</w:t>
      </w:r>
    </w:p>
    <w:p w14:paraId="5FF64454" w14:textId="23D67D9B" w:rsidR="001B5A92" w:rsidRDefault="001B5A92" w:rsidP="0096278D">
      <w:pPr>
        <w:pStyle w:val="BodyText"/>
      </w:pPr>
      <w:r>
        <w:t xml:space="preserve">Responses to </w:t>
      </w:r>
      <w:r w:rsidR="0095387F">
        <w:t>Q</w:t>
      </w:r>
      <w:r>
        <w:t>uestions 1 and 2 were typically sequence</w:t>
      </w:r>
      <w:r w:rsidR="006345AD">
        <w:t>d</w:t>
      </w:r>
      <w:r>
        <w:t xml:space="preserve"> chronologically</w:t>
      </w:r>
      <w:r w:rsidR="0042791F">
        <w:t>,</w:t>
      </w:r>
      <w:r w:rsidR="006345AD">
        <w:t xml:space="preserve"> which made sense given the questions</w:t>
      </w:r>
      <w:r>
        <w:t>.</w:t>
      </w:r>
      <w:r w:rsidR="006D6D07">
        <w:t xml:space="preserve"> </w:t>
      </w:r>
      <w:r w:rsidR="006345AD">
        <w:t xml:space="preserve">Many responses </w:t>
      </w:r>
      <w:r w:rsidR="0042791F">
        <w:t>to Q</w:t>
      </w:r>
      <w:r w:rsidR="006345AD">
        <w:t>uestion 3 were sequenced chronologically, but others dealt with the concept of the premise (change created by legislation and the court system) in the first body paragraph, before going backwards in time to consider the early colonial period</w:t>
      </w:r>
      <w:r w:rsidR="006077F0">
        <w:t>.</w:t>
      </w:r>
      <w:r w:rsidR="006345AD">
        <w:t xml:space="preserve"> </w:t>
      </w:r>
      <w:r w:rsidR="006077F0">
        <w:t>E</w:t>
      </w:r>
      <w:r w:rsidR="006345AD">
        <w:t>ither structural approach was acceptable and appropriate for this question.</w:t>
      </w:r>
      <w:r w:rsidR="006D6D07">
        <w:t xml:space="preserve"> </w:t>
      </w:r>
      <w:r w:rsidR="006345AD">
        <w:t xml:space="preserve">Responses to </w:t>
      </w:r>
      <w:r w:rsidR="0042791F">
        <w:t>Q</w:t>
      </w:r>
      <w:r w:rsidR="006345AD">
        <w:t>uestion 4 tended to be sequenced chronologically as well, although some tried to differentiate between the ‘</w:t>
      </w:r>
      <w:proofErr w:type="gramStart"/>
      <w:r w:rsidR="006345AD">
        <w:t>experiences’</w:t>
      </w:r>
      <w:proofErr w:type="gramEnd"/>
      <w:r w:rsidR="006345AD">
        <w:t xml:space="preserve"> and the ‘commemoration’</w:t>
      </w:r>
      <w:r w:rsidR="001D1479">
        <w:t xml:space="preserve"> </w:t>
      </w:r>
      <w:r w:rsidR="006345AD">
        <w:t xml:space="preserve">of returned servicemen </w:t>
      </w:r>
      <w:r w:rsidR="001D1479">
        <w:t>and organise</w:t>
      </w:r>
      <w:r w:rsidR="0042791F">
        <w:t>d</w:t>
      </w:r>
      <w:r w:rsidR="001D1479">
        <w:t xml:space="preserve"> their discussion around these two concepts, </w:t>
      </w:r>
      <w:r w:rsidR="006345AD">
        <w:t xml:space="preserve">which </w:t>
      </w:r>
      <w:r w:rsidR="001D1479">
        <w:t>similarly required movement back and forth through time.</w:t>
      </w:r>
      <w:r w:rsidR="006D6D07">
        <w:t xml:space="preserve"> </w:t>
      </w:r>
    </w:p>
    <w:p w14:paraId="6C6BA9E3" w14:textId="77777777" w:rsidR="00E22285" w:rsidRPr="00EC084F" w:rsidRDefault="00E22285" w:rsidP="006D6D07">
      <w:pPr>
        <w:pStyle w:val="Heading2"/>
      </w:pPr>
      <w:r w:rsidRPr="00EC084F">
        <w:t>Question 1</w:t>
      </w:r>
    </w:p>
    <w:p w14:paraId="2FE3864B" w14:textId="594B43C8" w:rsidR="00E22285" w:rsidRDefault="003E6D7D" w:rsidP="00DF7107">
      <w:pPr>
        <w:pStyle w:val="BodyText"/>
      </w:pPr>
      <w:r>
        <w:t>Question 1 required students to discuss the statement that the natural environment of Australia has primarily been seen as a resource to be extracted or exploited for profit, with reference to the periods 60</w:t>
      </w:r>
      <w:r w:rsidR="0042791F">
        <w:t xml:space="preserve"> </w:t>
      </w:r>
      <w:r>
        <w:t>000 BCE – 1901 and 1950–2010.</w:t>
      </w:r>
      <w:r w:rsidR="006D6D07">
        <w:t xml:space="preserve"> </w:t>
      </w:r>
      <w:r w:rsidR="00D06354">
        <w:t>To challenge the premise of this question, many responses described Indigenous concepts of custodianship and sacred connection to the land.</w:t>
      </w:r>
      <w:r w:rsidR="006D6D07">
        <w:t xml:space="preserve"> </w:t>
      </w:r>
      <w:r w:rsidR="00D06354">
        <w:t>Responses commonly described early colonial views of the land as a resource to be use</w:t>
      </w:r>
      <w:r w:rsidR="00DA7349">
        <w:t>d for profit, such as through the pastoral industry, or extracted through the gold rushes of the 1800s.</w:t>
      </w:r>
      <w:r w:rsidR="006D6D07">
        <w:t xml:space="preserve"> </w:t>
      </w:r>
      <w:r w:rsidR="00DA7349">
        <w:t>Higher</w:t>
      </w:r>
      <w:r w:rsidR="0042791F">
        <w:t>-</w:t>
      </w:r>
      <w:r w:rsidR="00DA7349">
        <w:t>scoring responses also noted some nuance during this period, for example, through the creation of national parks.</w:t>
      </w:r>
      <w:r w:rsidR="006D6D07">
        <w:t xml:space="preserve"> </w:t>
      </w:r>
      <w:r w:rsidR="00DA7349">
        <w:t>Similarly, in challenge to the premise, many responses described environmental movements and protests that emerged during the period 1950 to 2010</w:t>
      </w:r>
      <w:r w:rsidR="00987EFB">
        <w:t>, which were based on conserving the environment itself or Indigenous connections.</w:t>
      </w:r>
      <w:r w:rsidR="006D6D07">
        <w:t xml:space="preserve"> </w:t>
      </w:r>
      <w:r w:rsidR="00987EFB">
        <w:t>Again, more nuanced answers also noted the</w:t>
      </w:r>
      <w:r w:rsidR="00D71E20">
        <w:t xml:space="preserve"> ongoing</w:t>
      </w:r>
      <w:r w:rsidR="00987EFB">
        <w:t xml:space="preserve"> tension with economic interests, for example, through new mining operations that </w:t>
      </w:r>
      <w:r w:rsidR="00E067F3">
        <w:t>opened</w:t>
      </w:r>
      <w:r w:rsidR="00D71E20">
        <w:t xml:space="preserve"> during the period</w:t>
      </w:r>
      <w:r w:rsidR="039E0D61">
        <w:t>.</w:t>
      </w:r>
    </w:p>
    <w:p w14:paraId="415243CC" w14:textId="2574E048" w:rsidR="00E067F3" w:rsidRDefault="00E067F3" w:rsidP="00E067F3">
      <w:pPr>
        <w:pStyle w:val="BodyText"/>
      </w:pPr>
      <w:r>
        <w:t>The following is an example of a high-scoring response</w:t>
      </w:r>
      <w:r w:rsidR="00D71E20">
        <w:t xml:space="preserve"> that provides both arguments for and against the premise at different points in time but also includes exceptions to those dominant arguments, for example, through </w:t>
      </w:r>
      <w:r w:rsidR="00727DB0">
        <w:t>19</w:t>
      </w:r>
      <w:r w:rsidR="00727DB0" w:rsidRPr="003F32E1">
        <w:t>th</w:t>
      </w:r>
      <w:r w:rsidR="0042791F">
        <w:t>-</w:t>
      </w:r>
      <w:r w:rsidR="00727DB0">
        <w:t>century colonists valuing the beauty of the land and creating national parks.</w:t>
      </w:r>
      <w:r w:rsidR="006D6D07">
        <w:t xml:space="preserve"> </w:t>
      </w:r>
    </w:p>
    <w:p w14:paraId="251C5FB0" w14:textId="467B46AE" w:rsidR="00C66E18" w:rsidRPr="00CA5021" w:rsidRDefault="00C66E18" w:rsidP="00CA5021">
      <w:pPr>
        <w:pStyle w:val="Studentsamples"/>
      </w:pPr>
      <w:r w:rsidRPr="00CA5021">
        <w:t>From 60</w:t>
      </w:r>
      <w:r w:rsidR="0042791F" w:rsidRPr="00CA5021">
        <w:t xml:space="preserve"> </w:t>
      </w:r>
      <w:r w:rsidRPr="00CA5021">
        <w:t>000 BCE to 1901, ideas surrounding the use of the environment shifted from a sense of custodianship and nuanced connection to country held by the Aboriginal and Torres Strait Islander people, to a perspective of land as being a lever for exploitation, yet at times, enlightenment during the colonist period (1788 – onwards).</w:t>
      </w:r>
      <w:r w:rsidR="006D6D07" w:rsidRPr="00CA5021">
        <w:t xml:space="preserve"> </w:t>
      </w:r>
      <w:r w:rsidRPr="00CA5021">
        <w:t>From 1950–2010 however, perspectives of the environment shifted dramatically, as environmental conservation began to be recognised for its importance.</w:t>
      </w:r>
    </w:p>
    <w:p w14:paraId="54A71008" w14:textId="70E036D9" w:rsidR="00C66E18" w:rsidRPr="00CA5021" w:rsidRDefault="00C66E18" w:rsidP="00CA5021">
      <w:pPr>
        <w:pStyle w:val="Studentsamples"/>
      </w:pPr>
      <w:r w:rsidRPr="00CA5021">
        <w:t>Prior to European colonisation, Aboriginal perspectives</w:t>
      </w:r>
      <w:r w:rsidR="009358A4" w:rsidRPr="00CA5021">
        <w:t xml:space="preserve"> of the land were that of mutual benefit and care.</w:t>
      </w:r>
      <w:r w:rsidR="006D6D07" w:rsidRPr="00CA5021">
        <w:t xml:space="preserve"> </w:t>
      </w:r>
      <w:r w:rsidR="009358A4" w:rsidRPr="00CA5021">
        <w:t>Essentially, they would reap the land of the resources they needed, and in return, care for and cultivate the land.</w:t>
      </w:r>
      <w:r w:rsidR="006D6D07" w:rsidRPr="00CA5021">
        <w:t xml:space="preserve"> </w:t>
      </w:r>
      <w:r w:rsidR="009358A4" w:rsidRPr="00CA5021">
        <w:t xml:space="preserve">Aboriginal and Torres Strait Islander people’s connection to the land was also spiritual, as many had </w:t>
      </w:r>
      <w:r w:rsidR="000B5B15" w:rsidRPr="00CA5021">
        <w:t>‘</w:t>
      </w:r>
      <w:r w:rsidR="009358A4" w:rsidRPr="00CA5021">
        <w:t>totems</w:t>
      </w:r>
      <w:r w:rsidR="000B5B15" w:rsidRPr="00CA5021">
        <w:t>’</w:t>
      </w:r>
      <w:r w:rsidR="009358A4" w:rsidRPr="00CA5021">
        <w:t>, which would often entail being unable to hunt or eat certain animals.</w:t>
      </w:r>
      <w:r w:rsidR="006D6D07" w:rsidRPr="00CA5021">
        <w:t xml:space="preserve"> </w:t>
      </w:r>
      <w:r w:rsidR="009358A4" w:rsidRPr="00CA5021">
        <w:t>Aboriginal custodians used a variety of land management techniques such as cultural burning, hydraulic engineering and stone quarrying, which utilised the land’s natural resources in efficient and non-wasteful manners to acquire food.</w:t>
      </w:r>
      <w:r w:rsidR="006D6D07" w:rsidRPr="00CA5021">
        <w:t xml:space="preserve"> </w:t>
      </w:r>
      <w:r w:rsidR="009358A4" w:rsidRPr="00CA5021">
        <w:t>Through their impact</w:t>
      </w:r>
      <w:r w:rsidR="006867C9" w:rsidRPr="00CA5021">
        <w:t xml:space="preserve"> on the land most notably recognised in their impact</w:t>
      </w:r>
      <w:r w:rsidR="009358A4" w:rsidRPr="00CA5021">
        <w:t xml:space="preserve"> upon the resistance of many plants</w:t>
      </w:r>
      <w:r w:rsidR="006867C9" w:rsidRPr="00CA5021">
        <w:t xml:space="preserve"> to fire as a result of cultural burning, Aboriginal land management practices allowed the land to maintain its lush and fertile nature, as evidence</w:t>
      </w:r>
      <w:r w:rsidR="0042791F" w:rsidRPr="00CA5021">
        <w:t>d</w:t>
      </w:r>
      <w:r w:rsidR="006867C9" w:rsidRPr="00CA5021">
        <w:t xml:space="preserve"> by Captain James Cook’s observation in 1770, where he documented having </w:t>
      </w:r>
      <w:r w:rsidR="000B5B15" w:rsidRPr="00CA5021">
        <w:t>‘</w:t>
      </w:r>
      <w:r w:rsidR="006867C9" w:rsidRPr="00CA5021">
        <w:t xml:space="preserve">never saw </w:t>
      </w:r>
      <w:r w:rsidR="0042791F" w:rsidRPr="00CA5021">
        <w:t>a</w:t>
      </w:r>
      <w:r w:rsidR="006867C9" w:rsidRPr="00CA5021">
        <w:t>n inch of cultivated land in the whole country</w:t>
      </w:r>
      <w:r w:rsidR="0042791F" w:rsidRPr="00CA5021">
        <w:t>’</w:t>
      </w:r>
      <w:r w:rsidR="006867C9" w:rsidRPr="00CA5021">
        <w:t>.</w:t>
      </w:r>
      <w:r w:rsidR="006D6D07" w:rsidRPr="00CA5021">
        <w:t xml:space="preserve"> </w:t>
      </w:r>
      <w:r w:rsidR="006867C9" w:rsidRPr="00CA5021">
        <w:t xml:space="preserve">Taken together, Aboriginal people perceived land as both a resource and an element to be cared for. </w:t>
      </w:r>
    </w:p>
    <w:p w14:paraId="0AD2CE27" w14:textId="4870AE24" w:rsidR="006867C9" w:rsidRPr="00CA5021" w:rsidRDefault="006867C9" w:rsidP="00CA5021">
      <w:pPr>
        <w:pStyle w:val="Studentsamples"/>
      </w:pPr>
      <w:r w:rsidRPr="00CA5021">
        <w:t>Colonial perspectives of land differed vastly to Aboriginal beliefs in custodianship and care for country.</w:t>
      </w:r>
      <w:r w:rsidR="006D6D07" w:rsidRPr="00CA5021">
        <w:t xml:space="preserve"> </w:t>
      </w:r>
      <w:r w:rsidRPr="00CA5021">
        <w:t>Many of Australia’s resources were wastefully farmed and perceived as existing for the purpose of financial gain.</w:t>
      </w:r>
      <w:r w:rsidR="006D6D07" w:rsidRPr="00CA5021">
        <w:t xml:space="preserve"> </w:t>
      </w:r>
      <w:r w:rsidRPr="00CA5021">
        <w:t xml:space="preserve">By 1844, Crown Lands Commissioner Foster </w:t>
      </w:r>
      <w:proofErr w:type="spellStart"/>
      <w:r w:rsidRPr="00CA5021">
        <w:t>Fyans</w:t>
      </w:r>
      <w:proofErr w:type="spellEnd"/>
      <w:r w:rsidR="00CE27D9" w:rsidRPr="00CA5021">
        <w:t xml:space="preserve"> noted that </w:t>
      </w:r>
      <w:r w:rsidR="000B5B15" w:rsidRPr="00CA5021">
        <w:t>‘</w:t>
      </w:r>
      <w:r w:rsidR="00CE27D9" w:rsidRPr="00CA5021">
        <w:t xml:space="preserve">the destruction of fine </w:t>
      </w:r>
      <w:r w:rsidR="00CE27D9" w:rsidRPr="00CA5021">
        <w:lastRenderedPageBreak/>
        <w:t>timber in every part where it is to be found is really worthy of notice</w:t>
      </w:r>
      <w:r w:rsidR="000B5B15" w:rsidRPr="00CA5021">
        <w:t>’</w:t>
      </w:r>
      <w:r w:rsidR="00CE27D9" w:rsidRPr="00CA5021">
        <w:t>, demonstrating the detrimental effect of colonial presence on the land in fewer than 50 years.</w:t>
      </w:r>
      <w:r w:rsidR="006D6D07" w:rsidRPr="00CA5021">
        <w:t xml:space="preserve"> </w:t>
      </w:r>
      <w:r w:rsidR="00CE27D9" w:rsidRPr="00CA5021">
        <w:t>While they did believe in land ownership, it differed from the Aboriginal belief of collective ownership and custodianship of land.</w:t>
      </w:r>
      <w:r w:rsidR="006D6D07" w:rsidRPr="00CA5021">
        <w:t xml:space="preserve"> </w:t>
      </w:r>
      <w:r w:rsidR="00CE27D9" w:rsidRPr="00CA5021">
        <w:t>Instead, setter perspectives of land were driven by the bible, which suggested that land and its resources existed for the benefit of man.</w:t>
      </w:r>
      <w:r w:rsidR="006D6D07" w:rsidRPr="00CA5021">
        <w:t xml:space="preserve"> </w:t>
      </w:r>
      <w:r w:rsidR="00CE27D9" w:rsidRPr="00CA5021">
        <w:t xml:space="preserve">In 1987, historian </w:t>
      </w:r>
      <w:r w:rsidR="002408C1" w:rsidRPr="00CA5021">
        <w:t xml:space="preserve">Keith Thomas summarised these beliefs as such </w:t>
      </w:r>
      <w:r w:rsidR="000B5B15" w:rsidRPr="00CA5021">
        <w:t>‘</w:t>
      </w:r>
      <w:r w:rsidR="002408C1" w:rsidRPr="00CA5021">
        <w:t>human civilisation indeed was virtually synonymous with the conquest of nature</w:t>
      </w:r>
      <w:r w:rsidR="000B5B15" w:rsidRPr="00CA5021">
        <w:t>’</w:t>
      </w:r>
      <w:r w:rsidR="002408C1" w:rsidRPr="00CA5021">
        <w:t xml:space="preserve">, and </w:t>
      </w:r>
      <w:r w:rsidR="000B5B15" w:rsidRPr="00CA5021">
        <w:t>‘</w:t>
      </w:r>
      <w:r w:rsidR="002408C1" w:rsidRPr="00CA5021">
        <w:t>man’s authority over the natural world was thus virtually unlimited</w:t>
      </w:r>
      <w:r w:rsidR="0042791F" w:rsidRPr="00CA5021">
        <w:t>’</w:t>
      </w:r>
      <w:r w:rsidR="002408C1" w:rsidRPr="00CA5021">
        <w:t>.</w:t>
      </w:r>
      <w:r w:rsidR="006D6D07" w:rsidRPr="00CA5021">
        <w:t xml:space="preserve"> </w:t>
      </w:r>
      <w:r w:rsidR="002408C1" w:rsidRPr="00CA5021">
        <w:t>Nonetheless, European settlers also acknowledged the value of land for its aesthetic purposes.</w:t>
      </w:r>
      <w:r w:rsidR="006D6D07" w:rsidRPr="00CA5021">
        <w:t xml:space="preserve"> </w:t>
      </w:r>
      <w:r w:rsidR="002408C1" w:rsidRPr="00CA5021">
        <w:t>In 1879, the first Australian national park (and the second in the world after Yellowstone) was established in New South Wales, in alignment with the increasing presence of tourism.</w:t>
      </w:r>
      <w:r w:rsidR="006D6D07" w:rsidRPr="00CA5021">
        <w:t xml:space="preserve"> </w:t>
      </w:r>
      <w:r w:rsidR="002408C1" w:rsidRPr="00CA5021">
        <w:t xml:space="preserve">Historian Julia Thorne described settler ideas of viewing nature as being </w:t>
      </w:r>
      <w:r w:rsidR="000B5B15" w:rsidRPr="00CA5021">
        <w:t>‘</w:t>
      </w:r>
      <w:r w:rsidR="002408C1" w:rsidRPr="00CA5021">
        <w:t>a source of inspiration and enlightenment</w:t>
      </w:r>
      <w:r w:rsidR="0042791F" w:rsidRPr="00CA5021">
        <w:t>’</w:t>
      </w:r>
      <w:r w:rsidR="002408C1" w:rsidRPr="00CA5021">
        <w:t>.</w:t>
      </w:r>
      <w:r w:rsidR="006D6D07" w:rsidRPr="00CA5021">
        <w:t xml:space="preserve"> </w:t>
      </w:r>
      <w:r w:rsidR="002408C1" w:rsidRPr="00CA5021">
        <w:t xml:space="preserve">She suggests that to be able to view and experience </w:t>
      </w:r>
      <w:r w:rsidR="007121B4" w:rsidRPr="00CA5021">
        <w:t xml:space="preserve">beautiful natural sights was a </w:t>
      </w:r>
      <w:r w:rsidR="000B5B15" w:rsidRPr="00CA5021">
        <w:t>‘</w:t>
      </w:r>
      <w:r w:rsidR="007121B4" w:rsidRPr="00CA5021">
        <w:t>pursuit of wonder</w:t>
      </w:r>
      <w:r w:rsidR="000B5B15" w:rsidRPr="00CA5021">
        <w:t>’</w:t>
      </w:r>
      <w:r w:rsidR="007121B4" w:rsidRPr="00CA5021">
        <w:t xml:space="preserve"> and </w:t>
      </w:r>
      <w:r w:rsidR="000B5B15" w:rsidRPr="00CA5021">
        <w:t>‘</w:t>
      </w:r>
      <w:r w:rsidR="007121B4" w:rsidRPr="00CA5021">
        <w:t>a matter of civic pride</w:t>
      </w:r>
      <w:r w:rsidR="0042791F" w:rsidRPr="00CA5021">
        <w:t>’</w:t>
      </w:r>
      <w:r w:rsidR="007121B4" w:rsidRPr="00CA5021">
        <w:t>.</w:t>
      </w:r>
      <w:r w:rsidR="006D6D07" w:rsidRPr="00CA5021">
        <w:t xml:space="preserve"> </w:t>
      </w:r>
      <w:r w:rsidR="007121B4" w:rsidRPr="00CA5021">
        <w:t>Thus, while colonial perspectives of land were largely driven by the desire to exploit it for profit, they also perceived land as important for its aesthetic purposes.</w:t>
      </w:r>
      <w:r w:rsidR="006D6D07" w:rsidRPr="00CA5021">
        <w:t xml:space="preserve"> </w:t>
      </w:r>
    </w:p>
    <w:p w14:paraId="25D38727" w14:textId="3320665B" w:rsidR="007121B4" w:rsidRPr="00CA5021" w:rsidRDefault="007121B4" w:rsidP="00CA5021">
      <w:pPr>
        <w:pStyle w:val="Studentsamples"/>
      </w:pPr>
      <w:r w:rsidRPr="00CA5021">
        <w:t>In the 20th century, namely from 1950 to 2010, perspectives of the use of land experienced a considerable shift from land as a resource to be exploited to natural habitats that were in need of protection.</w:t>
      </w:r>
      <w:r w:rsidR="006D6D07" w:rsidRPr="00CA5021">
        <w:t xml:space="preserve"> </w:t>
      </w:r>
      <w:r w:rsidRPr="00CA5021">
        <w:t xml:space="preserve">The Little Desert campaign was among the first of the environmental campaigns, and significantly, as historian Libby Robin describes in 1998, </w:t>
      </w:r>
      <w:r w:rsidR="000B5B15" w:rsidRPr="00CA5021">
        <w:t>‘</w:t>
      </w:r>
      <w:r w:rsidRPr="00CA5021">
        <w:t>was one of the first wilderness battles</w:t>
      </w:r>
      <w:r w:rsidR="000B5B15" w:rsidRPr="00CA5021">
        <w:t>’</w:t>
      </w:r>
      <w:r w:rsidRPr="00CA5021">
        <w:t xml:space="preserve"> that did not focus on a scenically remarkable area.</w:t>
      </w:r>
      <w:r w:rsidR="006D6D07" w:rsidRPr="00CA5021">
        <w:t xml:space="preserve"> </w:t>
      </w:r>
      <w:r w:rsidRPr="00CA5021">
        <w:t>The primary struggle of the protesters was to emphasise the value of conservation sites beyond their aesthetic purpose.</w:t>
      </w:r>
      <w:r w:rsidR="006D6D07" w:rsidRPr="00CA5021">
        <w:t xml:space="preserve"> </w:t>
      </w:r>
      <w:r w:rsidR="001045A1" w:rsidRPr="00CA5021">
        <w:t>Later environmental campaigns such as the Franklin Dam Campaign (1977–1983) also acknowledged the value of land as a historic Aboriginal site.</w:t>
      </w:r>
      <w:r w:rsidR="006D6D07" w:rsidRPr="00CA5021">
        <w:t xml:space="preserve"> </w:t>
      </w:r>
      <w:r w:rsidR="001045A1" w:rsidRPr="00CA5021">
        <w:t xml:space="preserve">Along the river existed the </w:t>
      </w:r>
      <w:proofErr w:type="spellStart"/>
      <w:r w:rsidR="001045A1" w:rsidRPr="00CA5021">
        <w:t>Kutikina</w:t>
      </w:r>
      <w:proofErr w:type="spellEnd"/>
      <w:r w:rsidR="001045A1" w:rsidRPr="00CA5021">
        <w:t xml:space="preserve"> Caves which significantly housed ancient Aboriginal memories.</w:t>
      </w:r>
      <w:r w:rsidR="006D6D07" w:rsidRPr="00CA5021">
        <w:t xml:space="preserve"> </w:t>
      </w:r>
      <w:r w:rsidR="001045A1" w:rsidRPr="00CA5021">
        <w:t>Thus, 20th century perspectives of land reintroduced the value of land in relation to Aboriginal custodianship.</w:t>
      </w:r>
      <w:r w:rsidR="006D6D07" w:rsidRPr="00CA5021">
        <w:t xml:space="preserve"> </w:t>
      </w:r>
      <w:r w:rsidR="000F18EF" w:rsidRPr="00CA5021">
        <w:t>In 1991, the Aboriginal Land Act was passed and in 1992, so was the Mabo decision, which in effect, denounced the terra nullius claim of ‘land belonging to no-one’.</w:t>
      </w:r>
      <w:r w:rsidR="006D6D07" w:rsidRPr="00CA5021">
        <w:t xml:space="preserve"> </w:t>
      </w:r>
      <w:r w:rsidR="000F18EF" w:rsidRPr="00CA5021">
        <w:t>For white Australians however the environmental movements presented new perspectives of relationships with land.</w:t>
      </w:r>
      <w:r w:rsidR="006D6D07" w:rsidRPr="00CA5021">
        <w:t xml:space="preserve"> </w:t>
      </w:r>
      <w:r w:rsidR="000F18EF" w:rsidRPr="00CA5021">
        <w:t xml:space="preserve">Historian Frank Bongiorno wrote of the Franklin campaign in 2015 as </w:t>
      </w:r>
      <w:r w:rsidR="000B5B15" w:rsidRPr="00CA5021">
        <w:t>‘</w:t>
      </w:r>
      <w:r w:rsidR="000F18EF" w:rsidRPr="00CA5021">
        <w:t xml:space="preserve">[signalling] for white Australians </w:t>
      </w:r>
      <w:r w:rsidR="008277F2" w:rsidRPr="00CA5021">
        <w:t>a new way of relating to place</w:t>
      </w:r>
      <w:r w:rsidR="000B5B15" w:rsidRPr="00CA5021">
        <w:t>’</w:t>
      </w:r>
      <w:r w:rsidR="008277F2" w:rsidRPr="00CA5021">
        <w:t xml:space="preserve"> that extended beyond colonist views of land.</w:t>
      </w:r>
      <w:r w:rsidR="006D6D07" w:rsidRPr="00CA5021">
        <w:t xml:space="preserve"> </w:t>
      </w:r>
      <w:r w:rsidR="008277F2" w:rsidRPr="00CA5021">
        <w:t>The formation of the Greens party following this campaign demonstrated the increased importance of the protection of the environmental and ecological preservation within the political landscape.</w:t>
      </w:r>
      <w:r w:rsidR="006D6D07" w:rsidRPr="00CA5021">
        <w:t xml:space="preserve"> </w:t>
      </w:r>
      <w:r w:rsidR="008277F2" w:rsidRPr="00CA5021">
        <w:t>Australia’s presence at the Earth Summit in 1992 and Prime Minister Kevin Rudd’s ratification of the Kyoto Protocol in 2007 further demonstrated the increasing value of environmental protection in both the policies of governments, and in the public consciousness.</w:t>
      </w:r>
      <w:r w:rsidR="006D6D07" w:rsidRPr="00CA5021">
        <w:t xml:space="preserve"> </w:t>
      </w:r>
      <w:r w:rsidR="008277F2" w:rsidRPr="00CA5021">
        <w:t xml:space="preserve">Historian Geoffrey Blainey summarises 20th century views of land as such; </w:t>
      </w:r>
      <w:r w:rsidR="000B5B15" w:rsidRPr="00CA5021">
        <w:t>‘</w:t>
      </w:r>
      <w:r w:rsidR="008277F2" w:rsidRPr="00CA5021">
        <w:t xml:space="preserve">for the first time, Australians don’t see undeveloped land as a </w:t>
      </w:r>
      <w:r w:rsidR="00CB1AF2" w:rsidRPr="00CA5021">
        <w:t>sin and rapid population growth as a saviour</w:t>
      </w:r>
      <w:r w:rsidR="001A63D6" w:rsidRPr="00CA5021">
        <w:t>’</w:t>
      </w:r>
      <w:r w:rsidR="00CB1AF2" w:rsidRPr="00CA5021">
        <w:t>.</w:t>
      </w:r>
    </w:p>
    <w:p w14:paraId="5CAFA3A6" w14:textId="047C4A5C" w:rsidR="00C66E18" w:rsidRPr="006D6D07" w:rsidRDefault="00CB1AF2" w:rsidP="00CA5021">
      <w:pPr>
        <w:pStyle w:val="Studentsamples"/>
        <w:rPr>
          <w:rStyle w:val="EmphasisBold"/>
          <w:b w:val="0"/>
          <w:i w:val="0"/>
          <w:iCs/>
        </w:rPr>
      </w:pPr>
      <w:r w:rsidRPr="00CA5021">
        <w:t>In essence, while the perspectives of land use during the colonist era primarily viewed land as a resource for extraction and exploitation, 20th century ideas of land began the process of remedying the injury caused to the land by human activity.</w:t>
      </w:r>
      <w:r w:rsidR="006D6D07" w:rsidRPr="00CA5021">
        <w:t xml:space="preserve"> </w:t>
      </w:r>
      <w:r w:rsidRPr="00CA5021">
        <w:t>Nonetheless, to suggest that land has primarily been viewed in this capitalistic, colonial manner is to disregard the centuries of Aboriginal presence and custodianship in Australia, during which Country was regarded as land to be cared for.</w:t>
      </w:r>
    </w:p>
    <w:p w14:paraId="1B1E409D" w14:textId="77777777" w:rsidR="00E22285" w:rsidRPr="00BA00B7" w:rsidRDefault="00E22285" w:rsidP="006D6D07">
      <w:pPr>
        <w:pStyle w:val="Heading2"/>
      </w:pPr>
      <w:r w:rsidRPr="00BA00B7">
        <w:t>Question 2</w:t>
      </w:r>
    </w:p>
    <w:p w14:paraId="599A9422" w14:textId="6F496A3B" w:rsidR="003E6D7D" w:rsidRDefault="003E6D7D" w:rsidP="003E6D7D">
      <w:pPr>
        <w:pStyle w:val="BodyText"/>
        <w:rPr>
          <w:rStyle w:val="EmphasisBold"/>
          <w:highlight w:val="lightGray"/>
        </w:rPr>
      </w:pPr>
      <w:r>
        <w:t>Question 2 required students to discuss the statement that</w:t>
      </w:r>
      <w:r w:rsidR="003500B9" w:rsidRPr="003500B9">
        <w:t xml:space="preserve"> </w:t>
      </w:r>
      <w:r w:rsidR="003500B9">
        <w:t>i</w:t>
      </w:r>
      <w:r w:rsidR="003500B9" w:rsidRPr="003500B9">
        <w:t>mmigration benefited Australian society more than it did the migrants</w:t>
      </w:r>
      <w:r>
        <w:t xml:space="preserve">, with reference to the </w:t>
      </w:r>
      <w:r w:rsidRPr="003E6D7D">
        <w:t xml:space="preserve">periods </w:t>
      </w:r>
      <w:r w:rsidR="003500B9" w:rsidRPr="003500B9">
        <w:t>1834</w:t>
      </w:r>
      <w:r w:rsidR="001A63D6">
        <w:t>–</w:t>
      </w:r>
      <w:r w:rsidR="003500B9" w:rsidRPr="003500B9">
        <w:t>1913 and 1945</w:t>
      </w:r>
      <w:r w:rsidR="001A63D6">
        <w:t>–</w:t>
      </w:r>
      <w:r w:rsidR="003500B9" w:rsidRPr="003500B9">
        <w:t>2008.</w:t>
      </w:r>
      <w:r w:rsidR="006D6D07">
        <w:t xml:space="preserve"> </w:t>
      </w:r>
      <w:r w:rsidR="00F67A3E">
        <w:t>Responses typically engaged well with this premise, describing and comparing the benefits of immigration to Australian society and to the migrants themselves at different points in time</w:t>
      </w:r>
      <w:r w:rsidR="00385398">
        <w:t>, typically finding, on balance, that it is society that has benefited more from the experience.</w:t>
      </w:r>
      <w:r w:rsidR="006D6D07">
        <w:t xml:space="preserve"> </w:t>
      </w:r>
      <w:r w:rsidR="00A8130A">
        <w:t xml:space="preserve">Many responses argued that mass migration during the gold rush era brought economic benefits and Chartist ideals, whereas many gold rush migrants were disappointed by </w:t>
      </w:r>
      <w:r w:rsidR="003E5961">
        <w:t>the outcomes of their endeavours.</w:t>
      </w:r>
      <w:r w:rsidR="006D6D07">
        <w:t xml:space="preserve"> </w:t>
      </w:r>
      <w:r w:rsidR="003E5961">
        <w:t>By contrast, many living in Australia in the latter stages of the 19</w:t>
      </w:r>
      <w:r w:rsidR="003E5961" w:rsidRPr="003F32E1">
        <w:t>th</w:t>
      </w:r>
      <w:r w:rsidR="003E5961">
        <w:t xml:space="preserve"> century enjoyed high standards of living </w:t>
      </w:r>
      <w:r w:rsidR="001A63D6">
        <w:t xml:space="preserve">compared to </w:t>
      </w:r>
      <w:r w:rsidR="003E5961">
        <w:t>those in other parts of the world.</w:t>
      </w:r>
      <w:r w:rsidR="006D6D07">
        <w:t xml:space="preserve"> </w:t>
      </w:r>
      <w:r w:rsidR="003E5961">
        <w:t xml:space="preserve">Similarly, responses tended to argue that Australia benefited from migration following World War </w:t>
      </w:r>
      <w:r w:rsidR="001A63D6">
        <w:t xml:space="preserve">II </w:t>
      </w:r>
      <w:r w:rsidR="003E5961">
        <w:t xml:space="preserve">when the belief was that the country needed to </w:t>
      </w:r>
      <w:r w:rsidR="000B5B15">
        <w:t>‘</w:t>
      </w:r>
      <w:r w:rsidR="003E5961">
        <w:t>populate or perish</w:t>
      </w:r>
      <w:r w:rsidR="000B5B15">
        <w:t>’</w:t>
      </w:r>
      <w:r w:rsidR="00721C10">
        <w:t xml:space="preserve">, although migrants themselves benefited from the security and freedom </w:t>
      </w:r>
      <w:r w:rsidR="001A63D6">
        <w:t xml:space="preserve">they </w:t>
      </w:r>
      <w:r w:rsidR="00721C10">
        <w:lastRenderedPageBreak/>
        <w:t>experienced in Australia.</w:t>
      </w:r>
      <w:r w:rsidR="006D6D07">
        <w:t xml:space="preserve"> </w:t>
      </w:r>
      <w:r w:rsidR="00721C10">
        <w:t>Both the economy and migrants benefited from the Snowy Hydro project.</w:t>
      </w:r>
      <w:r w:rsidR="006D6D07">
        <w:t xml:space="preserve"> </w:t>
      </w:r>
      <w:r w:rsidR="00721C10">
        <w:t>While Australia’s refugee intake increased following the Vietnam War, many responses noted the growing levels of prejudice experienced by migrants in the latter parts of the 20</w:t>
      </w:r>
      <w:r w:rsidR="00721C10" w:rsidRPr="003F32E1">
        <w:t>th</w:t>
      </w:r>
      <w:r w:rsidR="00721C10">
        <w:t xml:space="preserve"> century.</w:t>
      </w:r>
      <w:r w:rsidR="006D6D07">
        <w:t xml:space="preserve"> </w:t>
      </w:r>
    </w:p>
    <w:p w14:paraId="05B12A91" w14:textId="77777777" w:rsidR="001B5A92" w:rsidRDefault="001B5A92" w:rsidP="001B5A92">
      <w:pPr>
        <w:pStyle w:val="BodyText"/>
      </w:pPr>
      <w:r>
        <w:t>The following is an example of a high-scoring response:</w:t>
      </w:r>
    </w:p>
    <w:p w14:paraId="4A2C7507" w14:textId="589A02C2" w:rsidR="00AE4D9B" w:rsidRPr="00CA5021" w:rsidRDefault="00AE4D9B" w:rsidP="00CA5021">
      <w:pPr>
        <w:pStyle w:val="Studentsamples"/>
      </w:pPr>
      <w:r w:rsidRPr="00CA5021">
        <w:t xml:space="preserve">The process of immigration in Australia brought benefits to both the existing society, and the </w:t>
      </w:r>
      <w:proofErr w:type="gramStart"/>
      <w:r w:rsidRPr="00CA5021">
        <w:t>migrants</w:t>
      </w:r>
      <w:proofErr w:type="gramEnd"/>
      <w:r w:rsidRPr="00CA5021">
        <w:t xml:space="preserve"> product of such society.</w:t>
      </w:r>
      <w:r w:rsidR="006D6D07" w:rsidRPr="00CA5021">
        <w:t xml:space="preserve"> </w:t>
      </w:r>
      <w:r w:rsidRPr="00CA5021">
        <w:t>Although early colonial migration saw benefits, generated from migration exclusively, applied to the existing, dominant society.</w:t>
      </w:r>
      <w:r w:rsidR="006D6D07" w:rsidRPr="00CA5021">
        <w:t xml:space="preserve"> </w:t>
      </w:r>
      <w:r w:rsidRPr="00CA5021">
        <w:t>The influx of migrants stimulated by the gold rush in the 1850s</w:t>
      </w:r>
      <w:r w:rsidR="006A73EC" w:rsidRPr="00CA5021">
        <w:t xml:space="preserve"> saw radical democratic reform that benefited exclusively the white, male society.</w:t>
      </w:r>
      <w:r w:rsidR="006D6D07" w:rsidRPr="00CA5021">
        <w:t xml:space="preserve"> </w:t>
      </w:r>
      <w:r w:rsidR="006A73EC" w:rsidRPr="00CA5021">
        <w:t>In contrast, the necessitated broadening of migrant intake following WWII saw both society and the new arrived migrant population benefit</w:t>
      </w:r>
      <w:r w:rsidR="00F60CFC" w:rsidRPr="00CA5021">
        <w:t xml:space="preserve"> substantially.</w:t>
      </w:r>
      <w:r w:rsidR="006D6D07" w:rsidRPr="00CA5021">
        <w:t xml:space="preserve"> </w:t>
      </w:r>
      <w:r w:rsidR="00F60CFC" w:rsidRPr="00CA5021">
        <w:t>Finally, the progressive abolishment of the White Australia policy, enabling uninhibited immigrant intake, facilitated a degrading cohesion, and this did not initially benefit society or the migrants</w:t>
      </w:r>
    </w:p>
    <w:p w14:paraId="7E1458F8" w14:textId="05A0BC3B" w:rsidR="00F60CFC" w:rsidRPr="00CA5021" w:rsidRDefault="00F60CFC" w:rsidP="00CA5021">
      <w:pPr>
        <w:pStyle w:val="Studentsamples"/>
      </w:pPr>
      <w:r w:rsidRPr="00CA5021">
        <w:t xml:space="preserve">The radical democratic reform, product of early colonial migration, facilitated benefits applicable only to the dominant demographic </w:t>
      </w:r>
      <w:r w:rsidR="00E743EF" w:rsidRPr="00CA5021">
        <w:t>i</w:t>
      </w:r>
      <w:r w:rsidRPr="00CA5021">
        <w:t>n society.</w:t>
      </w:r>
      <w:r w:rsidR="006D6D07" w:rsidRPr="00CA5021">
        <w:t xml:space="preserve"> </w:t>
      </w:r>
      <w:r w:rsidR="00A338D0" w:rsidRPr="00CA5021">
        <w:t>Following Edward Hargreaves discovery of gold in Bathurst in 1851, an influx of primarily young, white British males immigrated toward Australia – carrying the ideals of British Chartist movement, a large majority of the 600</w:t>
      </w:r>
      <w:r w:rsidR="00E743EF" w:rsidRPr="00CA5021">
        <w:t xml:space="preserve"> </w:t>
      </w:r>
      <w:r w:rsidR="00A338D0" w:rsidRPr="00CA5021">
        <w:t>000 found themselves subject to ‘the tyranny of a governmental exploitation’</w:t>
      </w:r>
      <w:r w:rsidR="00AB69A6" w:rsidRPr="00CA5021">
        <w:t xml:space="preserve"> (</w:t>
      </w:r>
      <w:proofErr w:type="spellStart"/>
      <w:r w:rsidR="00AB69A6" w:rsidRPr="00CA5021">
        <w:t>Hummfray</w:t>
      </w:r>
      <w:proofErr w:type="spellEnd"/>
      <w:r w:rsidR="00AB69A6" w:rsidRPr="00CA5021">
        <w:t>) through the mining license fee imposed in 1851.</w:t>
      </w:r>
      <w:r w:rsidR="006D6D07" w:rsidRPr="00CA5021">
        <w:t xml:space="preserve"> </w:t>
      </w:r>
      <w:r w:rsidR="00AB69A6" w:rsidRPr="00CA5021">
        <w:t>As a result, the Ballarat R</w:t>
      </w:r>
      <w:r w:rsidR="0096495B" w:rsidRPr="00CA5021">
        <w:t xml:space="preserve">eform League under John </w:t>
      </w:r>
      <w:proofErr w:type="spellStart"/>
      <w:r w:rsidR="0096495B" w:rsidRPr="00CA5021">
        <w:t>Hummfray</w:t>
      </w:r>
      <w:proofErr w:type="spellEnd"/>
      <w:r w:rsidR="0096495B" w:rsidRPr="00CA5021">
        <w:t xml:space="preserve">, established themselves in 1853 as a movement towards attaining </w:t>
      </w:r>
      <w:r w:rsidR="000B5B15" w:rsidRPr="00CA5021">
        <w:t>‘</w:t>
      </w:r>
      <w:r w:rsidR="0096495B" w:rsidRPr="00CA5021">
        <w:t>the inalienable right of every citizen to have a voice</w:t>
      </w:r>
      <w:r w:rsidR="000B5B15" w:rsidRPr="00CA5021">
        <w:t>’</w:t>
      </w:r>
      <w:r w:rsidR="0096495B" w:rsidRPr="00CA5021">
        <w:t xml:space="preserve"> (Charter)</w:t>
      </w:r>
      <w:r w:rsidR="00BA7587" w:rsidRPr="00CA5021">
        <w:t>, calling on the American ideas of ‘taxation with representation’ and a universal, anonymous</w:t>
      </w:r>
      <w:r w:rsidR="006D6D07" w:rsidRPr="00CA5021">
        <w:t xml:space="preserve"> </w:t>
      </w:r>
      <w:r w:rsidR="00BA7587" w:rsidRPr="00CA5021">
        <w:t>ballot</w:t>
      </w:r>
      <w:r w:rsidR="00E743EF" w:rsidRPr="00CA5021">
        <w:t>.</w:t>
      </w:r>
      <w:r w:rsidR="006D6D07" w:rsidRPr="00CA5021">
        <w:t xml:space="preserve"> </w:t>
      </w:r>
      <w:r w:rsidR="00BA7587" w:rsidRPr="00CA5021">
        <w:t>Following the culmination of disillusionment, manifested in the Eureka Stockade on the 3rd December 1854, the Legislative Assembly of Vic</w:t>
      </w:r>
      <w:r w:rsidR="00E743EF" w:rsidRPr="00CA5021">
        <w:t>t</w:t>
      </w:r>
      <w:r w:rsidR="00BA7587" w:rsidRPr="00CA5021">
        <w:t xml:space="preserve">oria passed the </w:t>
      </w:r>
      <w:r w:rsidR="00A3161D" w:rsidRPr="00CA5021">
        <w:t>Electoral Acts of 1855 and 1856, granting universal and secret suffrage.</w:t>
      </w:r>
      <w:r w:rsidR="006D6D07" w:rsidRPr="00CA5021">
        <w:t xml:space="preserve"> </w:t>
      </w:r>
      <w:r w:rsidR="00A3161D" w:rsidRPr="00CA5021">
        <w:t xml:space="preserve">Although providing an immense benefit of </w:t>
      </w:r>
      <w:r w:rsidR="000B5B15" w:rsidRPr="00CA5021">
        <w:t>‘</w:t>
      </w:r>
      <w:r w:rsidR="00A3161D" w:rsidRPr="00CA5021">
        <w:t>radical democratic progression</w:t>
      </w:r>
      <w:r w:rsidR="000B5B15" w:rsidRPr="00CA5021">
        <w:t>’</w:t>
      </w:r>
      <w:r w:rsidR="00A3161D" w:rsidRPr="00CA5021">
        <w:t xml:space="preserve"> (Bolton), and seeing the </w:t>
      </w:r>
      <w:r w:rsidR="000B5B15" w:rsidRPr="00CA5021">
        <w:t>‘</w:t>
      </w:r>
      <w:r w:rsidR="00A3161D" w:rsidRPr="00CA5021">
        <w:t>the highest wages in the world</w:t>
      </w:r>
      <w:r w:rsidR="000B5B15" w:rsidRPr="00CA5021">
        <w:t>’</w:t>
      </w:r>
      <w:r w:rsidR="00A3161D" w:rsidRPr="00CA5021">
        <w:t xml:space="preserve"> (Dingle), such benefits were limited to the white male population, disregarding the women and Chinese immigrants who remained disenfranchised and subject to discrimination.</w:t>
      </w:r>
      <w:r w:rsidR="006D6D07" w:rsidRPr="00CA5021">
        <w:t xml:space="preserve"> </w:t>
      </w:r>
      <w:r w:rsidR="00A3161D" w:rsidRPr="00CA5021">
        <w:t>Indeed, although the gold rush facilitate</w:t>
      </w:r>
      <w:r w:rsidR="00E743EF" w:rsidRPr="00CA5021">
        <w:t>d</w:t>
      </w:r>
      <w:r w:rsidR="00A3161D" w:rsidRPr="00CA5021">
        <w:t xml:space="preserve"> </w:t>
      </w:r>
      <w:r w:rsidR="000B5B15" w:rsidRPr="00CA5021">
        <w:t>‘</w:t>
      </w:r>
      <w:r w:rsidR="00F9753C" w:rsidRPr="00CA5021">
        <w:t>sandstone palaces</w:t>
      </w:r>
      <w:r w:rsidR="00E743EF" w:rsidRPr="00CA5021">
        <w:t xml:space="preserve"> .</w:t>
      </w:r>
      <w:r w:rsidR="00F9753C" w:rsidRPr="00CA5021">
        <w:t>.. the great Melbourne Library</w:t>
      </w:r>
      <w:r w:rsidR="000B5B15" w:rsidRPr="00CA5021">
        <w:t>’</w:t>
      </w:r>
      <w:r w:rsidR="00F9753C" w:rsidRPr="00CA5021">
        <w:t xml:space="preserve"> (Hunt) and painted Australia as ‘democratic pace setters for the world</w:t>
      </w:r>
      <w:r w:rsidR="000B5B15" w:rsidRPr="00CA5021">
        <w:t>’</w:t>
      </w:r>
      <w:r w:rsidR="00F9753C" w:rsidRPr="00CA5021">
        <w:t xml:space="preserve"> (Wright), it reduced the marginalised even more, creating </w:t>
      </w:r>
      <w:r w:rsidR="000B5B15" w:rsidRPr="00CA5021">
        <w:t>‘</w:t>
      </w:r>
      <w:r w:rsidR="00F9753C" w:rsidRPr="00CA5021">
        <w:t>a ruinous inundation</w:t>
      </w:r>
      <w:r w:rsidR="000B5B15" w:rsidRPr="00CA5021">
        <w:t>’</w:t>
      </w:r>
      <w:r w:rsidR="00F9753C" w:rsidRPr="00CA5021">
        <w:t xml:space="preserve"> (Macintyre)</w:t>
      </w:r>
      <w:r w:rsidR="00945184" w:rsidRPr="00CA5021">
        <w:t>.</w:t>
      </w:r>
      <w:r w:rsidR="006D6D07" w:rsidRPr="00CA5021">
        <w:t xml:space="preserve"> </w:t>
      </w:r>
      <w:r w:rsidR="00945184" w:rsidRPr="00CA5021">
        <w:t>As such, although the migrant influx of the gold rush brought immense economic and political benefit to the white, male society, it reinforced gender codes (Tav</w:t>
      </w:r>
      <w:r w:rsidR="00EF7336" w:rsidRPr="00CA5021">
        <w:t>a</w:t>
      </w:r>
      <w:r w:rsidR="00945184" w:rsidRPr="00CA5021">
        <w:t xml:space="preserve">n) and </w:t>
      </w:r>
      <w:r w:rsidR="000B5B15" w:rsidRPr="00CA5021">
        <w:t>‘</w:t>
      </w:r>
      <w:r w:rsidR="00945184" w:rsidRPr="00CA5021">
        <w:t>solidified</w:t>
      </w:r>
      <w:r w:rsidR="000B5B15" w:rsidRPr="00CA5021">
        <w:t>’</w:t>
      </w:r>
      <w:r w:rsidR="00945184" w:rsidRPr="00CA5021">
        <w:t xml:space="preserve"> the division between the British and the Chinese, thus benefiting a portion of society.</w:t>
      </w:r>
    </w:p>
    <w:p w14:paraId="40200668" w14:textId="37743496" w:rsidR="007250F4" w:rsidRPr="00CA5021" w:rsidRDefault="007250F4" w:rsidP="00CA5021">
      <w:pPr>
        <w:pStyle w:val="Studentsamples"/>
      </w:pPr>
      <w:r w:rsidRPr="00CA5021">
        <w:t>In contrast, the migrant surge following WWII, necessitated by economic pressures, brought immense economic amelioration to both the existing society and the newly accepted immigrants.</w:t>
      </w:r>
      <w:r w:rsidR="006D6D07" w:rsidRPr="00CA5021">
        <w:t xml:space="preserve"> </w:t>
      </w:r>
      <w:r w:rsidRPr="00CA5021">
        <w:t xml:space="preserve">Immigration minister, Arthur Calwell’s claim that </w:t>
      </w:r>
      <w:r w:rsidR="000B5B15" w:rsidRPr="00CA5021">
        <w:t>‘</w:t>
      </w:r>
      <w:r w:rsidRPr="00CA5021">
        <w:t>the flag of the White Australian policy will not be lowered</w:t>
      </w:r>
      <w:r w:rsidR="000B5B15" w:rsidRPr="00CA5021">
        <w:t>’</w:t>
      </w:r>
      <w:r w:rsidRPr="00CA5021">
        <w:t xml:space="preserve"> following WWII, saw the gentle loosening of restrictions to enable ‘Balts’ </w:t>
      </w:r>
      <w:r w:rsidR="000A15EA" w:rsidRPr="00CA5021">
        <w:t>and eastern Europeans into Australia, and equally over 120</w:t>
      </w:r>
      <w:r w:rsidR="00E743EF" w:rsidRPr="00CA5021">
        <w:t xml:space="preserve"> </w:t>
      </w:r>
      <w:r w:rsidR="000A15EA" w:rsidRPr="00CA5021">
        <w:t>000 displaced persons by 1951.</w:t>
      </w:r>
      <w:r w:rsidR="006D6D07" w:rsidRPr="00CA5021">
        <w:t xml:space="preserve"> </w:t>
      </w:r>
      <w:r w:rsidR="000A15EA" w:rsidRPr="00CA5021">
        <w:t xml:space="preserve">Although social divisions born of the </w:t>
      </w:r>
      <w:r w:rsidR="000B5B15" w:rsidRPr="00CA5021">
        <w:t>‘</w:t>
      </w:r>
      <w:r w:rsidR="000A15EA" w:rsidRPr="00CA5021">
        <w:t>obsession with racial purity</w:t>
      </w:r>
      <w:r w:rsidR="000B5B15" w:rsidRPr="00CA5021">
        <w:t>’</w:t>
      </w:r>
      <w:r w:rsidR="000A15EA" w:rsidRPr="00CA5021">
        <w:t xml:space="preserve"> (Day) lingered between the incoming Europeans and existing Australian soc</w:t>
      </w:r>
      <w:r w:rsidR="00A90E15" w:rsidRPr="00CA5021">
        <w:t xml:space="preserve">iety, it was the </w:t>
      </w:r>
      <w:r w:rsidR="000B5B15" w:rsidRPr="00CA5021">
        <w:t>‘</w:t>
      </w:r>
      <w:r w:rsidR="00A90E15" w:rsidRPr="00CA5021">
        <w:t>mineral discoveries of the 50s and 60s</w:t>
      </w:r>
      <w:r w:rsidR="000B5B15" w:rsidRPr="00CA5021">
        <w:t>’</w:t>
      </w:r>
      <w:r w:rsidR="00A90E15" w:rsidRPr="00CA5021">
        <w:t xml:space="preserve"> and subsequent </w:t>
      </w:r>
      <w:r w:rsidR="000B5B15" w:rsidRPr="00CA5021">
        <w:t>‘</w:t>
      </w:r>
      <w:r w:rsidR="00A90E15" w:rsidRPr="00CA5021">
        <w:t>development binge</w:t>
      </w:r>
      <w:r w:rsidR="000B5B15" w:rsidRPr="00CA5021">
        <w:t>’</w:t>
      </w:r>
      <w:r w:rsidR="00A90E15" w:rsidRPr="00CA5021">
        <w:t xml:space="preserve"> (Day) that facilitated smoother integration.</w:t>
      </w:r>
      <w:r w:rsidR="006D6D07" w:rsidRPr="00CA5021">
        <w:t xml:space="preserve"> </w:t>
      </w:r>
      <w:r w:rsidR="00A90E15" w:rsidRPr="00CA5021">
        <w:t>With over 65</w:t>
      </w:r>
      <w:r w:rsidR="00E743EF" w:rsidRPr="00CA5021">
        <w:t xml:space="preserve"> </w:t>
      </w:r>
      <w:r w:rsidR="00A90E15" w:rsidRPr="00CA5021">
        <w:t xml:space="preserve">000 immigrants operating on the Snowy Hydro Scheme from 1948, which powered the </w:t>
      </w:r>
      <w:r w:rsidR="000B5B15" w:rsidRPr="00CA5021">
        <w:t>‘</w:t>
      </w:r>
      <w:r w:rsidR="00A90E15" w:rsidRPr="00CA5021">
        <w:t>industrial and developmental boom of the 60s</w:t>
      </w:r>
      <w:r w:rsidR="000B5B15" w:rsidRPr="00CA5021">
        <w:t>’</w:t>
      </w:r>
      <w:r w:rsidR="00A90E15" w:rsidRPr="00CA5021">
        <w:t xml:space="preserve"> (Day), and </w:t>
      </w:r>
      <w:r w:rsidR="009A062C" w:rsidRPr="00CA5021">
        <w:t xml:space="preserve">unemployment dropped to 3% by 1960, </w:t>
      </w:r>
      <w:r w:rsidR="000B5B15" w:rsidRPr="00CA5021">
        <w:t>‘</w:t>
      </w:r>
      <w:r w:rsidR="009A062C" w:rsidRPr="00CA5021">
        <w:t>unemployment became a fear of the distance pre-war past</w:t>
      </w:r>
      <w:r w:rsidR="000B5B15" w:rsidRPr="00CA5021">
        <w:t>’</w:t>
      </w:r>
      <w:r w:rsidR="009A062C" w:rsidRPr="00CA5021">
        <w:t xml:space="preserve"> (Day), and Australia was afforded </w:t>
      </w:r>
      <w:r w:rsidR="000B5B15" w:rsidRPr="00CA5021">
        <w:t>‘</w:t>
      </w:r>
      <w:r w:rsidR="009A062C" w:rsidRPr="00CA5021">
        <w:t>prosperous complacency</w:t>
      </w:r>
      <w:r w:rsidR="000B5B15" w:rsidRPr="00CA5021">
        <w:t>’</w:t>
      </w:r>
      <w:r w:rsidR="009A062C" w:rsidRPr="00CA5021">
        <w:t xml:space="preserve"> (Bolton).</w:t>
      </w:r>
      <w:r w:rsidR="006D6D07" w:rsidRPr="00CA5021">
        <w:t xml:space="preserve"> </w:t>
      </w:r>
      <w:r w:rsidR="009A062C" w:rsidRPr="00CA5021">
        <w:t>Additionally, with over 55</w:t>
      </w:r>
      <w:r w:rsidR="00E743EF" w:rsidRPr="00CA5021">
        <w:t xml:space="preserve"> </w:t>
      </w:r>
      <w:r w:rsidR="009A062C" w:rsidRPr="00CA5021">
        <w:t xml:space="preserve">000 immigrants working on Sydney’s highway development becoming </w:t>
      </w:r>
      <w:r w:rsidR="000B5B15" w:rsidRPr="00CA5021">
        <w:t>‘</w:t>
      </w:r>
      <w:r w:rsidR="009A062C" w:rsidRPr="00CA5021">
        <w:t>a striking symbol of Sydney’s growth and maturity</w:t>
      </w:r>
      <w:r w:rsidR="000B5B15" w:rsidRPr="00CA5021">
        <w:t>’</w:t>
      </w:r>
      <w:r w:rsidR="009A062C" w:rsidRPr="00CA5021">
        <w:t xml:space="preserve"> (Day), the benefits delivered by the broadening of immigrant intake </w:t>
      </w:r>
      <w:r w:rsidR="000B5B15" w:rsidRPr="00CA5021">
        <w:t>‘</w:t>
      </w:r>
      <w:r w:rsidR="009A062C" w:rsidRPr="00CA5021">
        <w:t>overcoming prejudice by careful selection</w:t>
      </w:r>
      <w:r w:rsidR="000B5B15" w:rsidRPr="00CA5021">
        <w:t>’</w:t>
      </w:r>
      <w:r w:rsidR="009A062C" w:rsidRPr="00CA5021">
        <w:t xml:space="preserve"> (W.D. Forsyth), were now applicable for both the existing society and the new wave of immigrants as </w:t>
      </w:r>
      <w:r w:rsidR="000B5B15" w:rsidRPr="00CA5021">
        <w:t>‘</w:t>
      </w:r>
      <w:r w:rsidR="009A062C" w:rsidRPr="00CA5021">
        <w:t>owning a house… a car</w:t>
      </w:r>
      <w:r w:rsidR="00E743EF" w:rsidRPr="00CA5021">
        <w:t xml:space="preserve"> .</w:t>
      </w:r>
      <w:r w:rsidR="009A062C" w:rsidRPr="00CA5021">
        <w:t>.. once luxuries, was now normal</w:t>
      </w:r>
      <w:r w:rsidR="000B5B15" w:rsidRPr="00CA5021">
        <w:t>’</w:t>
      </w:r>
      <w:r w:rsidR="009A062C" w:rsidRPr="00CA5021">
        <w:t xml:space="preserve"> (Carrodus)</w:t>
      </w:r>
      <w:r w:rsidR="00E20162" w:rsidRPr="00CA5021">
        <w:t>.</w:t>
      </w:r>
      <w:r w:rsidR="006D6D07" w:rsidRPr="00CA5021">
        <w:t xml:space="preserve"> </w:t>
      </w:r>
      <w:r w:rsidR="00E20162" w:rsidRPr="00CA5021">
        <w:t>As such, the developmental boom born from the increased immigration intake of the 1950s enabled such benefits to apply to both the dominant ‘Australian-Briton’ society and the incoming migrants of eastern and southern European origin.</w:t>
      </w:r>
    </w:p>
    <w:p w14:paraId="59383036" w14:textId="21D2988B" w:rsidR="00E20162" w:rsidRPr="00CA5021" w:rsidRDefault="00E20162" w:rsidP="00CA5021">
      <w:pPr>
        <w:pStyle w:val="Studentsamples"/>
      </w:pPr>
      <w:r w:rsidRPr="00CA5021">
        <w:t>Yet subsequent progressions in the legislative abolishment of the White Australia Policy, which aligned with an economic downturn, enabled incoming migrants to not only be denied the benefits of an economic boom, but face lingering prejudices.</w:t>
      </w:r>
      <w:r w:rsidR="006D6D07" w:rsidRPr="00CA5021">
        <w:t xml:space="preserve"> </w:t>
      </w:r>
      <w:r w:rsidRPr="00CA5021">
        <w:t xml:space="preserve">Following the 1958 Migration </w:t>
      </w:r>
      <w:r w:rsidR="00E743EF" w:rsidRPr="00CA5021">
        <w:t>A</w:t>
      </w:r>
      <w:r w:rsidRPr="00CA5021">
        <w:t xml:space="preserve">ct which removed the </w:t>
      </w:r>
      <w:r w:rsidR="008173B6" w:rsidRPr="00CA5021">
        <w:t xml:space="preserve">archaic dictation </w:t>
      </w:r>
      <w:r w:rsidR="008173B6" w:rsidRPr="00CA5021">
        <w:lastRenderedPageBreak/>
        <w:t xml:space="preserve">test which </w:t>
      </w:r>
      <w:r w:rsidR="000B5B15" w:rsidRPr="00CA5021">
        <w:t>‘</w:t>
      </w:r>
      <w:r w:rsidR="008173B6" w:rsidRPr="00CA5021">
        <w:t>tainted our good name in the eyes of the world</w:t>
      </w:r>
      <w:r w:rsidR="000B5B15" w:rsidRPr="00CA5021">
        <w:t>’</w:t>
      </w:r>
      <w:r w:rsidR="008173B6" w:rsidRPr="00CA5021">
        <w:t xml:space="preserve"> (Downer), and Hubert Opperman’s 1966 Migration Act which formally ended the White Australia Policy, the efforts of Al Grassby and Gough Whitlam to facilitate a cosmopolitan society including free university for all citizens, in</w:t>
      </w:r>
      <w:r w:rsidR="009A3B66" w:rsidRPr="00CA5021">
        <w:t>duced</w:t>
      </w:r>
      <w:r w:rsidR="008173B6" w:rsidRPr="00CA5021">
        <w:t xml:space="preserve"> an economic downturn. </w:t>
      </w:r>
      <w:r w:rsidR="009A3B66" w:rsidRPr="00CA5021">
        <w:t xml:space="preserve">Although initially support for Grassby’s claims that the </w:t>
      </w:r>
      <w:r w:rsidR="000B5B15" w:rsidRPr="00CA5021">
        <w:t>‘</w:t>
      </w:r>
      <w:r w:rsidR="009A3B66" w:rsidRPr="00CA5021">
        <w:t>White Australia policy is dead</w:t>
      </w:r>
      <w:r w:rsidR="000B5B15" w:rsidRPr="00CA5021">
        <w:t>’</w:t>
      </w:r>
      <w:r w:rsidR="009A3B66" w:rsidRPr="00CA5021">
        <w:t xml:space="preserve"> and that </w:t>
      </w:r>
      <w:r w:rsidR="000B5B15" w:rsidRPr="00CA5021">
        <w:t>‘</w:t>
      </w:r>
      <w:r w:rsidR="009A3B66" w:rsidRPr="00CA5021">
        <w:t>I want to be proud in any language to say I am Australian</w:t>
      </w:r>
      <w:r w:rsidR="000B5B15" w:rsidRPr="00CA5021">
        <w:t>’</w:t>
      </w:r>
      <w:r w:rsidR="009A3B66" w:rsidRPr="00CA5021">
        <w:t xml:space="preserve"> was broad, the stagflation of the 1970s facilitated a new wave of anti-immigration.</w:t>
      </w:r>
      <w:r w:rsidR="006D6D07" w:rsidRPr="00CA5021">
        <w:t xml:space="preserve"> </w:t>
      </w:r>
      <w:r w:rsidR="009A3B66" w:rsidRPr="00CA5021">
        <w:t xml:space="preserve">Labelling Australia </w:t>
      </w:r>
      <w:r w:rsidR="000B5B15" w:rsidRPr="00CA5021">
        <w:t>‘</w:t>
      </w:r>
      <w:r w:rsidR="009A3B66" w:rsidRPr="00CA5021">
        <w:t xml:space="preserve">a </w:t>
      </w:r>
      <w:r w:rsidR="00D44DAC" w:rsidRPr="00CA5021">
        <w:t>coffee coloured mess</w:t>
      </w:r>
      <w:r w:rsidR="000B5B15" w:rsidRPr="00CA5021">
        <w:t>’</w:t>
      </w:r>
      <w:r w:rsidR="00D44DAC" w:rsidRPr="00CA5021">
        <w:t xml:space="preserve">, institutions such as the Immigration Control Association </w:t>
      </w:r>
      <w:r w:rsidR="0091618E" w:rsidRPr="00CA5021">
        <w:t>relit rhetoric that discriminated against the now diverse immigrant intake.</w:t>
      </w:r>
      <w:r w:rsidR="006D6D07" w:rsidRPr="00CA5021">
        <w:t xml:space="preserve"> </w:t>
      </w:r>
      <w:r w:rsidR="0091618E" w:rsidRPr="00CA5021">
        <w:t xml:space="preserve">These effects compounded, with Geoffrey Blainey noting in 1984 that </w:t>
      </w:r>
      <w:r w:rsidR="000B5B15" w:rsidRPr="00CA5021">
        <w:t>‘</w:t>
      </w:r>
      <w:r w:rsidR="0091618E" w:rsidRPr="00CA5021">
        <w:t>we have now turned the White Australia policy inside out</w:t>
      </w:r>
      <w:r w:rsidR="000B5B15" w:rsidRPr="00CA5021">
        <w:t>’</w:t>
      </w:r>
      <w:r w:rsidR="0091618E" w:rsidRPr="00CA5021">
        <w:t>, which gave a voice to a hive of resentment that felt that increased immigration was the cause of such economic struggles.</w:t>
      </w:r>
      <w:r w:rsidR="006D6D07" w:rsidRPr="00CA5021">
        <w:t xml:space="preserve"> </w:t>
      </w:r>
      <w:r w:rsidR="0091618E" w:rsidRPr="00CA5021">
        <w:t xml:space="preserve">This rhetoric was further compounded through the 1990s with Hanson noting </w:t>
      </w:r>
      <w:r w:rsidR="000B5B15" w:rsidRPr="00CA5021">
        <w:t>‘</w:t>
      </w:r>
      <w:r w:rsidR="0091618E" w:rsidRPr="00CA5021">
        <w:t>we are in danger of being swamped by Asians</w:t>
      </w:r>
      <w:r w:rsidR="000B5B15" w:rsidRPr="00CA5021">
        <w:t>’</w:t>
      </w:r>
      <w:r w:rsidR="0091618E" w:rsidRPr="00CA5021">
        <w:t xml:space="preserve">, and Prime Minister John Howard noting </w:t>
      </w:r>
      <w:r w:rsidR="000B5B15" w:rsidRPr="00CA5021">
        <w:t>‘</w:t>
      </w:r>
      <w:r w:rsidR="0091618E" w:rsidRPr="00CA5021">
        <w:t>the rate of Asian immigration should be slowed</w:t>
      </w:r>
      <w:r w:rsidR="000B5B15" w:rsidRPr="00CA5021">
        <w:t>’</w:t>
      </w:r>
      <w:r w:rsidR="0091618E" w:rsidRPr="00CA5021">
        <w:t xml:space="preserve">, indicating that migration not only was blamed for the worsening </w:t>
      </w:r>
      <w:r w:rsidR="00D9407F" w:rsidRPr="00CA5021">
        <w:t>of Australia’s economy, but immigrants equally faced discrimination of being scapegoats for worsening economic effects.</w:t>
      </w:r>
    </w:p>
    <w:p w14:paraId="3A9533B6" w14:textId="6B79542B" w:rsidR="00D9407F" w:rsidRPr="00CA5021" w:rsidRDefault="00D9407F" w:rsidP="00CA5021">
      <w:pPr>
        <w:pStyle w:val="Studentsamples"/>
        <w:rPr>
          <w:highlight w:val="lightGray"/>
        </w:rPr>
      </w:pPr>
      <w:r w:rsidRPr="00CA5021">
        <w:t>The convoluted dynamics of immigration and its impact on colonial society, collides with the benefit immigrants received on arrival.</w:t>
      </w:r>
      <w:r w:rsidR="006D6D07" w:rsidRPr="00CA5021">
        <w:t xml:space="preserve"> </w:t>
      </w:r>
      <w:r w:rsidRPr="00CA5021">
        <w:t>Although colonial society unequivocally benefited from migration, only a portion of society benefited and those migrants who constituted a marginalised demographic often didn’t.</w:t>
      </w:r>
      <w:r w:rsidR="006D6D07" w:rsidRPr="00CA5021">
        <w:t xml:space="preserve"> </w:t>
      </w:r>
      <w:r w:rsidRPr="00CA5021">
        <w:t>In contrast, the ‘populate or perish’ beliefs of the post WWII rebuild facilitated economic and social benefits that ameliorated both the existing society and the newly arrived migrants.</w:t>
      </w:r>
      <w:r w:rsidR="006D6D07" w:rsidRPr="00CA5021">
        <w:t xml:space="preserve"> </w:t>
      </w:r>
      <w:r w:rsidRPr="00CA5021">
        <w:t>Yet, it was the economic downturn of the 1970s</w:t>
      </w:r>
      <w:r w:rsidR="00A868FD" w:rsidRPr="00CA5021">
        <w:t xml:space="preserve"> that saw society, it was widely believed, to be damaged by </w:t>
      </w:r>
      <w:r w:rsidR="00190C5B" w:rsidRPr="00CA5021">
        <w:t>t</w:t>
      </w:r>
      <w:r w:rsidR="00A868FD" w:rsidRPr="00CA5021">
        <w:t>he immigrations with migrants suffering discrimination as a result.</w:t>
      </w:r>
      <w:r w:rsidR="006D6D07" w:rsidRPr="00CA5021">
        <w:t xml:space="preserve"> </w:t>
      </w:r>
    </w:p>
    <w:p w14:paraId="468078BE" w14:textId="77777777" w:rsidR="00E22285" w:rsidRPr="00BA00B7" w:rsidRDefault="00E22285" w:rsidP="00D923D6">
      <w:pPr>
        <w:pStyle w:val="Heading2"/>
        <w:keepNext/>
      </w:pPr>
      <w:r w:rsidRPr="00BA00B7">
        <w:t>Question 3</w:t>
      </w:r>
    </w:p>
    <w:p w14:paraId="793D9E79" w14:textId="65FA8589" w:rsidR="0018135B" w:rsidRPr="006D6D07" w:rsidRDefault="003E6D7D" w:rsidP="006D6D07">
      <w:pPr>
        <w:pStyle w:val="BodyText"/>
      </w:pPr>
      <w:r w:rsidRPr="006D6D07">
        <w:t xml:space="preserve">Question 3 required students to discuss the statement </w:t>
      </w:r>
      <w:r w:rsidR="003500B9" w:rsidRPr="006D6D07">
        <w:t>that changes to power and authority for Aboriginal and Torres Strait Islander peoples have mainly been achieved through the court system and legislation</w:t>
      </w:r>
      <w:r w:rsidRPr="006D6D07">
        <w:t xml:space="preserve">, with reference to the periods </w:t>
      </w:r>
      <w:r w:rsidR="003500B9" w:rsidRPr="006D6D07">
        <w:t>1788</w:t>
      </w:r>
      <w:r w:rsidR="00190C5B">
        <w:t>–</w:t>
      </w:r>
      <w:r w:rsidR="003500B9" w:rsidRPr="006D6D07">
        <w:t>1913 and 1957</w:t>
      </w:r>
      <w:r w:rsidR="00190C5B">
        <w:t>–</w:t>
      </w:r>
      <w:r w:rsidR="003500B9" w:rsidRPr="006D6D07">
        <w:t>1998</w:t>
      </w:r>
      <w:r w:rsidRPr="006D6D07">
        <w:t>.</w:t>
      </w:r>
      <w:r w:rsidR="006D6D07" w:rsidRPr="006D6D07">
        <w:t xml:space="preserve"> </w:t>
      </w:r>
      <w:r w:rsidR="0018135B" w:rsidRPr="006D6D07">
        <w:t>This was the most commonly chosen essay topic.</w:t>
      </w:r>
      <w:r w:rsidR="006D6D07" w:rsidRPr="006D6D07">
        <w:t xml:space="preserve"> </w:t>
      </w:r>
      <w:r w:rsidR="001E60A7" w:rsidRPr="006D6D07">
        <w:t xml:space="preserve">In reference to the earlier time period, most responses described either the diminishment of power for Aboriginal and Torres Strait Islander peoples as a result of colonisation or </w:t>
      </w:r>
      <w:r w:rsidR="00E600AE">
        <w:t xml:space="preserve">how </w:t>
      </w:r>
      <w:r w:rsidR="001E60A7" w:rsidRPr="006D6D07">
        <w:t xml:space="preserve">the impact of their ongoing violent resistance </w:t>
      </w:r>
      <w:r w:rsidR="00917CF1" w:rsidRPr="006D6D07">
        <w:t>slowed the process of colonisation and caused fear.</w:t>
      </w:r>
      <w:r w:rsidR="006D6D07" w:rsidRPr="006D6D07">
        <w:t xml:space="preserve"> </w:t>
      </w:r>
      <w:r w:rsidR="00917CF1" w:rsidRPr="006D6D07">
        <w:t>Furthermore, some higher</w:t>
      </w:r>
      <w:r w:rsidR="00E600AE">
        <w:t>-</w:t>
      </w:r>
      <w:r w:rsidR="00917CF1" w:rsidRPr="006D6D07">
        <w:t>scoring responses noted that the outcome of the Myall Creek murders case reflected a shift in power and authority when European men were hanged for the murders of Aboriginal</w:t>
      </w:r>
      <w:r w:rsidR="006D6D07" w:rsidRPr="006D6D07">
        <w:t xml:space="preserve"> </w:t>
      </w:r>
      <w:r w:rsidR="00917CF1" w:rsidRPr="006D6D07">
        <w:t>people.</w:t>
      </w:r>
      <w:r w:rsidR="006D6D07" w:rsidRPr="006D6D07">
        <w:t xml:space="preserve"> </w:t>
      </w:r>
      <w:r w:rsidR="00EA06EC" w:rsidRPr="006D6D07">
        <w:t>Similarly, some higher</w:t>
      </w:r>
      <w:r w:rsidR="00E600AE">
        <w:t>-</w:t>
      </w:r>
      <w:r w:rsidR="00EA06EC" w:rsidRPr="006D6D07">
        <w:t xml:space="preserve">scoring responses noted the damaging impact of colonial laws during the 19th century such as the </w:t>
      </w:r>
      <w:r w:rsidR="00EA06EC" w:rsidRPr="0017038D">
        <w:rPr>
          <w:rStyle w:val="Emphasis"/>
        </w:rPr>
        <w:t>Aboriginal Protection Act</w:t>
      </w:r>
      <w:r w:rsidR="004359AC" w:rsidRPr="0017038D">
        <w:rPr>
          <w:rStyle w:val="Emphasis"/>
        </w:rPr>
        <w:t xml:space="preserve"> 1869</w:t>
      </w:r>
      <w:r w:rsidR="004359AC" w:rsidRPr="006D6D07">
        <w:t xml:space="preserve"> in Victoria.</w:t>
      </w:r>
      <w:r w:rsidR="006D6D07" w:rsidRPr="006D6D07">
        <w:t xml:space="preserve"> </w:t>
      </w:r>
      <w:r w:rsidR="004359AC" w:rsidRPr="006D6D07">
        <w:t xml:space="preserve">When analysing the second time period, students were able to describe key court findings such as Mabo or Wik, in addition to legislative changes such as the </w:t>
      </w:r>
      <w:r w:rsidR="004359AC" w:rsidRPr="0017038D">
        <w:rPr>
          <w:rStyle w:val="Emphasis"/>
        </w:rPr>
        <w:t>Racial Discrimination Act 1975</w:t>
      </w:r>
      <w:r w:rsidR="004359AC" w:rsidRPr="006D6D07">
        <w:t xml:space="preserve">, the </w:t>
      </w:r>
      <w:r w:rsidR="004359AC" w:rsidRPr="0017038D">
        <w:rPr>
          <w:rStyle w:val="Emphasis"/>
        </w:rPr>
        <w:t xml:space="preserve">Aboriginal Land Rights </w:t>
      </w:r>
      <w:r w:rsidR="00191841" w:rsidRPr="0017038D">
        <w:rPr>
          <w:rStyle w:val="Emphasis"/>
        </w:rPr>
        <w:t xml:space="preserve">(Northern Territory) </w:t>
      </w:r>
      <w:r w:rsidR="004359AC" w:rsidRPr="0017038D">
        <w:rPr>
          <w:rStyle w:val="Emphasis"/>
        </w:rPr>
        <w:t>Act 1976</w:t>
      </w:r>
      <w:r w:rsidR="00E600AE">
        <w:t xml:space="preserve"> </w:t>
      </w:r>
      <w:r w:rsidR="004359AC" w:rsidRPr="006D6D07">
        <w:t xml:space="preserve">and the </w:t>
      </w:r>
      <w:r w:rsidR="004359AC" w:rsidRPr="0017038D">
        <w:rPr>
          <w:rStyle w:val="Emphasis"/>
        </w:rPr>
        <w:t>Native Title Act 1993</w:t>
      </w:r>
      <w:r w:rsidR="00A27698" w:rsidRPr="006D6D07">
        <w:t>, and some higher</w:t>
      </w:r>
      <w:r w:rsidR="00E600AE">
        <w:t>-</w:t>
      </w:r>
      <w:r w:rsidR="00A27698" w:rsidRPr="006D6D07">
        <w:t xml:space="preserve">scoring responses noted that legislation was used to wind back Aboriginal power and authority, for example, through the </w:t>
      </w:r>
      <w:r w:rsidR="00A27698" w:rsidRPr="0017038D">
        <w:rPr>
          <w:rStyle w:val="Emphasis"/>
        </w:rPr>
        <w:t>Native Title Amendment Act 1998</w:t>
      </w:r>
      <w:r w:rsidR="004359AC" w:rsidRPr="006D6D07">
        <w:t>.</w:t>
      </w:r>
      <w:r w:rsidR="006D6D07" w:rsidRPr="006D6D07">
        <w:t xml:space="preserve"> </w:t>
      </w:r>
      <w:r w:rsidR="004359AC" w:rsidRPr="006D6D07">
        <w:t>By contrast, many responses also noted the important role played by protest movements such as the Gurindji walk</w:t>
      </w:r>
      <w:r w:rsidR="000B6351">
        <w:t>-</w:t>
      </w:r>
      <w:r w:rsidR="004359AC" w:rsidRPr="006D6D07">
        <w:t>off</w:t>
      </w:r>
      <w:r w:rsidR="00A27698" w:rsidRPr="006D6D07">
        <w:t xml:space="preserve"> and the Aboriginal Tent Embassy, which further contributed to national awareness and demands for change.</w:t>
      </w:r>
      <w:r w:rsidR="006D6D07" w:rsidRPr="006D6D07">
        <w:t xml:space="preserve"> </w:t>
      </w:r>
      <w:r w:rsidR="00917CF1" w:rsidRPr="006D6D07">
        <w:t xml:space="preserve"> </w:t>
      </w:r>
    </w:p>
    <w:p w14:paraId="128D7D31" w14:textId="268A846E" w:rsidR="004A43F4" w:rsidRPr="006D6D07" w:rsidRDefault="004A43F4" w:rsidP="006D6D07">
      <w:pPr>
        <w:pStyle w:val="BodyText"/>
      </w:pPr>
      <w:r w:rsidRPr="006D6D07">
        <w:t>The following high</w:t>
      </w:r>
      <w:r w:rsidR="00E600AE">
        <w:t>-</w:t>
      </w:r>
      <w:r w:rsidRPr="006D6D07">
        <w:t xml:space="preserve">scoring response used a </w:t>
      </w:r>
      <w:r w:rsidR="00E600AE">
        <w:t>large number</w:t>
      </w:r>
      <w:r w:rsidR="00E600AE" w:rsidRPr="006D6D07">
        <w:t xml:space="preserve"> </w:t>
      </w:r>
      <w:r w:rsidRPr="006D6D07">
        <w:t xml:space="preserve">of words and is provided here as an example of precise detail and coherent argument, rather than </w:t>
      </w:r>
      <w:r w:rsidR="00E600AE">
        <w:t xml:space="preserve">as an indication of </w:t>
      </w:r>
      <w:r w:rsidRPr="006D6D07">
        <w:t>the number of words required to score at a high level.</w:t>
      </w:r>
      <w:r w:rsidR="006D6D07" w:rsidRPr="006D6D07">
        <w:t xml:space="preserve"> </w:t>
      </w:r>
      <w:r w:rsidR="004B0880" w:rsidRPr="006D6D07">
        <w:t>This student has thoughtfully engaged with the question directly and consistently throughout their response.</w:t>
      </w:r>
      <w:r w:rsidR="006D6D07" w:rsidRPr="006D6D07">
        <w:t xml:space="preserve"> </w:t>
      </w:r>
    </w:p>
    <w:p w14:paraId="2C4D4B4A" w14:textId="060C759A" w:rsidR="002031D0" w:rsidRPr="00CA5021" w:rsidRDefault="002031D0" w:rsidP="00CA5021">
      <w:pPr>
        <w:pStyle w:val="Studentsamples"/>
      </w:pPr>
      <w:r w:rsidRPr="00CA5021">
        <w:t>Although significant changes to power and authority of Aboriginal and Torres Strait Islander people can be observed on the</w:t>
      </w:r>
      <w:r w:rsidR="006D6D07" w:rsidRPr="00CA5021">
        <w:t xml:space="preserve"> </w:t>
      </w:r>
      <w:r w:rsidRPr="00CA5021">
        <w:t>basis of achievement visible through the court system and legislation, it is also true that other means of Aboriginal resistance can be credited in regards to these changes in power and authority.</w:t>
      </w:r>
      <w:r w:rsidR="006D6D07" w:rsidRPr="00CA5021">
        <w:t xml:space="preserve"> </w:t>
      </w:r>
      <w:r w:rsidRPr="00CA5021">
        <w:t>To say they were mainly achieved by just the court system and legislation would unfairly discredit the resistance established from settlement to 1998.</w:t>
      </w:r>
      <w:r w:rsidR="006D6D07" w:rsidRPr="00CA5021">
        <w:t xml:space="preserve"> </w:t>
      </w:r>
      <w:r w:rsidRPr="00CA5021">
        <w:t xml:space="preserve">Exhibited through both violent and economic </w:t>
      </w:r>
      <w:r w:rsidRPr="00CA5021">
        <w:lastRenderedPageBreak/>
        <w:t>resistance, assimilation and countless protests, for instance, the Tent Embassy, which may not have enacted clear immediate change but established the grounds for this legislative change.</w:t>
      </w:r>
    </w:p>
    <w:p w14:paraId="6B555654" w14:textId="0EDCC43C" w:rsidR="002031D0" w:rsidRPr="00CA5021" w:rsidRDefault="002031D0" w:rsidP="00CA5021">
      <w:pPr>
        <w:pStyle w:val="Studentsamples"/>
      </w:pPr>
      <w:r w:rsidRPr="00CA5021">
        <w:t xml:space="preserve">The impact of the court systems in the significant change </w:t>
      </w:r>
      <w:r w:rsidR="00C5638C" w:rsidRPr="00CA5021">
        <w:t>of dynamics is evident through both early court judgements (the finding of the 1838 Myall Creek massacre), and legislation that clearly changed the rights of Indigenous Australians such as the 1992 Mabo decision and 1993 Native Title Act.</w:t>
      </w:r>
      <w:r w:rsidR="006D6D07" w:rsidRPr="00CA5021">
        <w:t xml:space="preserve"> </w:t>
      </w:r>
      <w:r w:rsidR="00C5638C" w:rsidRPr="00CA5021">
        <w:t>The Myall Creek massacre is one of the first instances of change in dynamic, and respect towards Indigenous Australians.</w:t>
      </w:r>
      <w:r w:rsidR="006D6D07" w:rsidRPr="00CA5021">
        <w:t xml:space="preserve"> </w:t>
      </w:r>
      <w:r w:rsidR="00C5638C" w:rsidRPr="00CA5021">
        <w:t>In 1838, after some Gamilaraay people had relocated, 11 British settlers (many of them convicts) brutally and horrifically slaughtered the Gamilaraay people (many of them women and children) at Myall Creek station.</w:t>
      </w:r>
      <w:r w:rsidR="006D6D07" w:rsidRPr="00CA5021">
        <w:t xml:space="preserve"> </w:t>
      </w:r>
      <w:r w:rsidR="00C5638C" w:rsidRPr="00CA5021">
        <w:t>What makes this case considerably different than other cases of massacres on Aboriginal Australians is that it was the first time they were recognised as people with some basis of rights.</w:t>
      </w:r>
      <w:r w:rsidR="006D6D07" w:rsidRPr="00CA5021">
        <w:t xml:space="preserve"> </w:t>
      </w:r>
      <w:r w:rsidR="00C5638C" w:rsidRPr="00CA5021">
        <w:t>After an initial not guilty ruling, a second tri</w:t>
      </w:r>
      <w:r w:rsidR="00842E10" w:rsidRPr="00CA5021">
        <w:t>a</w:t>
      </w:r>
      <w:r w:rsidR="00C5638C" w:rsidRPr="00CA5021">
        <w:t>l saw the men found guilty, with 7 of the 11 hanged for their crimes.</w:t>
      </w:r>
      <w:r w:rsidR="006D6D07" w:rsidRPr="00CA5021">
        <w:t xml:space="preserve"> </w:t>
      </w:r>
      <w:r w:rsidR="00C5638C" w:rsidRPr="00CA5021">
        <w:t>Chief Justice James Downing stated</w:t>
      </w:r>
      <w:r w:rsidR="00842E10" w:rsidRPr="00CA5021">
        <w:t xml:space="preserve"> a newfound ideal that a small few now held, stating </w:t>
      </w:r>
      <w:r w:rsidR="000B5B15" w:rsidRPr="00CA5021">
        <w:t>‘</w:t>
      </w:r>
      <w:r w:rsidR="00842E10" w:rsidRPr="00CA5021">
        <w:t>the life of a black is just as precious in the eyes of the law as the highest noble in the land</w:t>
      </w:r>
      <w:r w:rsidR="000B5B15" w:rsidRPr="00CA5021">
        <w:t>’</w:t>
      </w:r>
      <w:r w:rsidR="00842E10" w:rsidRPr="00CA5021">
        <w:t>.</w:t>
      </w:r>
      <w:r w:rsidR="006D6D07" w:rsidRPr="00CA5021">
        <w:t xml:space="preserve"> </w:t>
      </w:r>
      <w:r w:rsidR="00842E10" w:rsidRPr="00CA5021">
        <w:t xml:space="preserve">Although many still held a racist superiority, with the Sydney Morning Herald describing Indigenous Australians as a </w:t>
      </w:r>
      <w:r w:rsidR="000B5B15" w:rsidRPr="00CA5021">
        <w:t>‘</w:t>
      </w:r>
      <w:r w:rsidR="00842E10" w:rsidRPr="00CA5021">
        <w:t>gang of black animals</w:t>
      </w:r>
      <w:r w:rsidR="000B5B15" w:rsidRPr="00CA5021">
        <w:t>’</w:t>
      </w:r>
      <w:r w:rsidR="00842E10" w:rsidRPr="00CA5021">
        <w:t>, this judicial decision marked the first instance of an identifiable switch</w:t>
      </w:r>
      <w:r w:rsidR="001206AA" w:rsidRPr="00CA5021">
        <w:t>, paving the way for broader Indigenous acceptance and power granted.</w:t>
      </w:r>
      <w:r w:rsidR="006D6D07" w:rsidRPr="00CA5021">
        <w:t xml:space="preserve"> </w:t>
      </w:r>
      <w:r w:rsidR="001206AA" w:rsidRPr="00CA5021">
        <w:t>This example depicts how when Aboriginal and Torres Strait Islander people are acknowledged through the law it inspires future reform, for instance when during the first world war some Indigenous men were able to serve.</w:t>
      </w:r>
      <w:r w:rsidR="006D6D07" w:rsidRPr="00CA5021">
        <w:t xml:space="preserve"> </w:t>
      </w:r>
      <w:r w:rsidR="001206AA" w:rsidRPr="00CA5021">
        <w:t>Each piece of legislation clearly brought closer a higher power and authority.</w:t>
      </w:r>
      <w:r w:rsidR="006D6D07" w:rsidRPr="00CA5021">
        <w:t xml:space="preserve"> </w:t>
      </w:r>
    </w:p>
    <w:p w14:paraId="031FE5B0" w14:textId="2B0725B0" w:rsidR="001206AA" w:rsidRPr="00CA5021" w:rsidRDefault="001206AA" w:rsidP="00CA5021">
      <w:pPr>
        <w:pStyle w:val="Studentsamples"/>
      </w:pPr>
      <w:r w:rsidRPr="00CA5021">
        <w:t>Furthermore, the 1993 Native Title Act brought what had been anticipated for a long time.</w:t>
      </w:r>
      <w:r w:rsidR="006D6D07" w:rsidRPr="00CA5021">
        <w:t xml:space="preserve"> </w:t>
      </w:r>
      <w:r w:rsidRPr="00CA5021">
        <w:t xml:space="preserve">The legislation which abolished terra nullius, a term which had previously limited the power of Indigenous Australians as Pratt et al outline </w:t>
      </w:r>
      <w:r w:rsidR="000B5B15" w:rsidRPr="00CA5021">
        <w:t>‘</w:t>
      </w:r>
      <w:r w:rsidRPr="00CA5021">
        <w:t xml:space="preserve">The concept that they had no inherent right over the land they had been nurturing for thousands of </w:t>
      </w:r>
      <w:proofErr w:type="gramStart"/>
      <w:r w:rsidRPr="00CA5021">
        <w:t>years</w:t>
      </w:r>
      <w:r w:rsidR="000B5B15" w:rsidRPr="00CA5021">
        <w:t>’</w:t>
      </w:r>
      <w:proofErr w:type="gramEnd"/>
      <w:r w:rsidRPr="00CA5021">
        <w:t>.</w:t>
      </w:r>
      <w:r w:rsidR="006D6D07" w:rsidRPr="00CA5021">
        <w:t xml:space="preserve"> </w:t>
      </w:r>
      <w:r w:rsidRPr="00CA5021">
        <w:t>With this legislation, they gained an outlet to demand their land back, therefore providing an immense amount of authority never previously acknowledged.</w:t>
      </w:r>
      <w:r w:rsidR="006D6D07" w:rsidRPr="00CA5021">
        <w:t xml:space="preserve"> </w:t>
      </w:r>
      <w:r w:rsidRPr="00CA5021">
        <w:t xml:space="preserve">It would not be for the </w:t>
      </w:r>
      <w:r w:rsidR="006B51C7" w:rsidRPr="00CA5021">
        <w:t>judicial finding of the 1992 Mabo decision and 1993 Native Title Act that Indigenous Australians would have a genuine authority.</w:t>
      </w:r>
      <w:r w:rsidR="006D6D07" w:rsidRPr="00CA5021">
        <w:t xml:space="preserve"> </w:t>
      </w:r>
      <w:r w:rsidR="006B51C7" w:rsidRPr="00CA5021">
        <w:t xml:space="preserve">As Paul Keating outlined in his 1992 Redfern, Sydney, speech </w:t>
      </w:r>
      <w:r w:rsidR="000B5B15" w:rsidRPr="00CA5021">
        <w:t>‘</w:t>
      </w:r>
      <w:r w:rsidR="006B51C7" w:rsidRPr="00CA5021">
        <w:t>recognition that it was us who did the dispossessing</w:t>
      </w:r>
      <w:r w:rsidR="00264BA3" w:rsidRPr="00CA5021">
        <w:t xml:space="preserve"> </w:t>
      </w:r>
      <w:r w:rsidR="006B51C7" w:rsidRPr="00CA5021">
        <w:t>… we brought the diseases, the alcohol</w:t>
      </w:r>
      <w:r w:rsidR="000B5B15" w:rsidRPr="00CA5021">
        <w:t>’</w:t>
      </w:r>
      <w:r w:rsidR="006B51C7" w:rsidRPr="00CA5021">
        <w:t xml:space="preserve">, it’s only through this legislation that the power to demand accountability, and secure the land they had been fighting for </w:t>
      </w:r>
      <w:proofErr w:type="spellStart"/>
      <w:r w:rsidR="006B51C7" w:rsidRPr="00CA5021">
        <w:t>for</w:t>
      </w:r>
      <w:proofErr w:type="spellEnd"/>
      <w:r w:rsidR="006B51C7" w:rsidRPr="00CA5021">
        <w:t xml:space="preserve"> years could occur.</w:t>
      </w:r>
      <w:r w:rsidR="006D6D07" w:rsidRPr="00CA5021">
        <w:t xml:space="preserve"> </w:t>
      </w:r>
      <w:r w:rsidR="006B51C7" w:rsidRPr="00CA5021">
        <w:t>This does depict how crucial legislation is.</w:t>
      </w:r>
      <w:r w:rsidR="006D6D07" w:rsidRPr="00CA5021">
        <w:t xml:space="preserve"> </w:t>
      </w:r>
    </w:p>
    <w:p w14:paraId="6EF0FD89" w14:textId="68CFD2DA" w:rsidR="004A43F4" w:rsidRPr="00CA5021" w:rsidRDefault="004A43F4" w:rsidP="00CA5021">
      <w:pPr>
        <w:pStyle w:val="Studentsamples"/>
      </w:pPr>
      <w:proofErr w:type="gramStart"/>
      <w:r w:rsidRPr="00CA5021">
        <w:t>However</w:t>
      </w:r>
      <w:proofErr w:type="gramEnd"/>
      <w:r w:rsidRPr="00CA5021">
        <w:t xml:space="preserve"> it would be a misjudgement to say that legislation is the only thing that contributed to Indigenous Australians gaining further autonomy and power.</w:t>
      </w:r>
      <w:r w:rsidR="006D6D07" w:rsidRPr="00CA5021">
        <w:t xml:space="preserve"> </w:t>
      </w:r>
      <w:r w:rsidRPr="00CA5021">
        <w:t>Indigenous resistance and decisions in both time periods also had a substantial effect.</w:t>
      </w:r>
      <w:r w:rsidR="006D6D07" w:rsidRPr="00CA5021">
        <w:t xml:space="preserve"> </w:t>
      </w:r>
      <w:r w:rsidRPr="00CA5021">
        <w:t xml:space="preserve">When settlers invaded their </w:t>
      </w:r>
      <w:r w:rsidR="00B93F4C" w:rsidRPr="00CA5021">
        <w:t>homeland, Indigenous Australians utilised both violent and economic means to resist, and therefore establishing a power over settlers.</w:t>
      </w:r>
      <w:r w:rsidR="006D6D07" w:rsidRPr="00CA5021">
        <w:t xml:space="preserve"> </w:t>
      </w:r>
      <w:r w:rsidR="00B93F4C" w:rsidRPr="00CA5021">
        <w:t xml:space="preserve">Henry Reynolds describes this violence as with </w:t>
      </w:r>
      <w:r w:rsidR="000B5B15" w:rsidRPr="00CA5021">
        <w:t>‘</w:t>
      </w:r>
      <w:r w:rsidR="00B93F4C" w:rsidRPr="00CA5021">
        <w:t>brutality and great loss of life</w:t>
      </w:r>
      <w:r w:rsidR="000B5B15" w:rsidRPr="00CA5021">
        <w:t>’</w:t>
      </w:r>
      <w:r w:rsidR="00B93F4C" w:rsidRPr="00CA5021">
        <w:t xml:space="preserve"> concluding that </w:t>
      </w:r>
      <w:r w:rsidR="000B5B15" w:rsidRPr="00CA5021">
        <w:t>‘</w:t>
      </w:r>
      <w:r w:rsidR="00B93F4C" w:rsidRPr="00CA5021">
        <w:t>indigenous tribes did not acquiesce in the invasion of their homelands</w:t>
      </w:r>
      <w:r w:rsidR="000B5B15" w:rsidRPr="00CA5021">
        <w:t>’</w:t>
      </w:r>
      <w:r w:rsidR="00B93F4C" w:rsidRPr="00CA5021">
        <w:t>.</w:t>
      </w:r>
      <w:r w:rsidR="006D6D07" w:rsidRPr="00CA5021">
        <w:t xml:space="preserve"> </w:t>
      </w:r>
      <w:r w:rsidR="00B93F4C" w:rsidRPr="00CA5021">
        <w:t>By acting in this violent way ensured that they were feared and held some extent of authority over white settlers.</w:t>
      </w:r>
      <w:r w:rsidR="006D6D07" w:rsidRPr="00CA5021">
        <w:t xml:space="preserve"> </w:t>
      </w:r>
      <w:r w:rsidR="00B93F4C" w:rsidRPr="00CA5021">
        <w:t xml:space="preserve">Similarly, as Richard Broome </w:t>
      </w:r>
      <w:proofErr w:type="gramStart"/>
      <w:r w:rsidR="00B93F4C" w:rsidRPr="00CA5021">
        <w:t>outlines</w:t>
      </w:r>
      <w:proofErr w:type="gramEnd"/>
      <w:r w:rsidR="00B93F4C" w:rsidRPr="00CA5021">
        <w:t xml:space="preserve"> they </w:t>
      </w:r>
      <w:r w:rsidR="000B5B15" w:rsidRPr="00CA5021">
        <w:t>‘</w:t>
      </w:r>
      <w:r w:rsidR="00B93F4C" w:rsidRPr="00CA5021">
        <w:t>raided pastoral stations</w:t>
      </w:r>
      <w:r w:rsidR="00264BA3" w:rsidRPr="00CA5021">
        <w:t xml:space="preserve"> </w:t>
      </w:r>
      <w:r w:rsidR="00B93F4C" w:rsidRPr="00CA5021">
        <w:t>… and farms</w:t>
      </w:r>
      <w:r w:rsidR="000B5B15" w:rsidRPr="00CA5021">
        <w:t>’</w:t>
      </w:r>
      <w:r w:rsidR="00B93F4C" w:rsidRPr="00CA5021">
        <w:t>, allowing them to cause numerous issues for settlers when establishing a life.</w:t>
      </w:r>
      <w:r w:rsidR="006D6D07" w:rsidRPr="00CA5021">
        <w:t xml:space="preserve"> </w:t>
      </w:r>
      <w:r w:rsidR="00B93F4C" w:rsidRPr="00CA5021">
        <w:t xml:space="preserve">Taking settlers resources also gave them some amounts of </w:t>
      </w:r>
      <w:proofErr w:type="gramStart"/>
      <w:r w:rsidR="00B93F4C" w:rsidRPr="00CA5021">
        <w:t>power,</w:t>
      </w:r>
      <w:proofErr w:type="gramEnd"/>
      <w:r w:rsidR="00B93F4C" w:rsidRPr="00CA5021">
        <w:t xml:space="preserve"> due to their superior bushcraft and knowledge of the land they could also further be undetectable.</w:t>
      </w:r>
    </w:p>
    <w:p w14:paraId="4899A62A" w14:textId="7C12163B" w:rsidR="00246185" w:rsidRPr="00CA5021" w:rsidRDefault="00B93F4C" w:rsidP="00CA5021">
      <w:pPr>
        <w:pStyle w:val="Studentsamples"/>
      </w:pPr>
      <w:r w:rsidRPr="00CA5021">
        <w:t>Another instance of Aboriginal resistance that may not have necessarily sparked immediate legislative</w:t>
      </w:r>
      <w:r w:rsidR="00264BA3" w:rsidRPr="00CA5021">
        <w:t xml:space="preserve"> </w:t>
      </w:r>
      <w:r w:rsidRPr="00CA5021">
        <w:t>change but still made a notable impact on the power of Indigenous</w:t>
      </w:r>
      <w:r w:rsidR="00632287" w:rsidRPr="00CA5021">
        <w:t xml:space="preserve"> Australians is the Aboriginal Tent Embassy of 1972.</w:t>
      </w:r>
      <w:r w:rsidR="006D6D07" w:rsidRPr="00CA5021">
        <w:t xml:space="preserve"> </w:t>
      </w:r>
      <w:r w:rsidR="00632287" w:rsidRPr="00CA5021">
        <w:t xml:space="preserve">When four men, Michael Anderson, Tony </w:t>
      </w:r>
      <w:proofErr w:type="spellStart"/>
      <w:r w:rsidR="00632287" w:rsidRPr="00CA5021">
        <w:t>Coorey</w:t>
      </w:r>
      <w:proofErr w:type="spellEnd"/>
      <w:r w:rsidR="00632287" w:rsidRPr="00CA5021">
        <w:t>, Bertie Williams and Billy Craigue drove from Redfern, Sydney, to Parliament House, they pitched a beach umbrella and demanded land rights.</w:t>
      </w:r>
      <w:r w:rsidR="006D6D07" w:rsidRPr="00CA5021">
        <w:t xml:space="preserve"> </w:t>
      </w:r>
      <w:r w:rsidR="00632287" w:rsidRPr="00CA5021">
        <w:t xml:space="preserve">Their signs read </w:t>
      </w:r>
      <w:r w:rsidR="000B5B15" w:rsidRPr="00CA5021">
        <w:t>‘</w:t>
      </w:r>
      <w:r w:rsidR="00632287" w:rsidRPr="00CA5021">
        <w:t>land rights or blood shed</w:t>
      </w:r>
      <w:r w:rsidR="000B5B15" w:rsidRPr="00CA5021">
        <w:t>’</w:t>
      </w:r>
      <w:r w:rsidR="00632287" w:rsidRPr="00CA5021">
        <w:t>, standing as a symbol of defiance.</w:t>
      </w:r>
      <w:r w:rsidR="006D6D07" w:rsidRPr="00CA5021">
        <w:t xml:space="preserve"> </w:t>
      </w:r>
      <w:r w:rsidR="00632287" w:rsidRPr="00CA5021">
        <w:t xml:space="preserve">This defiance would </w:t>
      </w:r>
      <w:r w:rsidR="00246185" w:rsidRPr="00CA5021">
        <w:t>i</w:t>
      </w:r>
      <w:r w:rsidR="00632287" w:rsidRPr="00CA5021">
        <w:t>nfluence and continue to influence undeniable change.</w:t>
      </w:r>
      <w:r w:rsidR="006D6D07" w:rsidRPr="00CA5021">
        <w:t xml:space="preserve"> </w:t>
      </w:r>
      <w:r w:rsidR="00246185" w:rsidRPr="00CA5021">
        <w:t>The Embassy attracted an immense amount of attention from the media with opposition leader Gough Whitlam visiting the site.</w:t>
      </w:r>
      <w:r w:rsidR="006D6D07" w:rsidRPr="00CA5021">
        <w:t xml:space="preserve"> </w:t>
      </w:r>
      <w:r w:rsidR="00246185" w:rsidRPr="00CA5021">
        <w:t>The Embassy can be credited for influencing Whitlam’s later reforms when elected in December of 1972 where he would increase the power of Indigenous Australians, for instance abolishing assimilation and creating the Consultative Committee for Aboriginal Affairs.</w:t>
      </w:r>
      <w:r w:rsidR="006D6D07" w:rsidRPr="00CA5021">
        <w:t xml:space="preserve"> </w:t>
      </w:r>
      <w:r w:rsidR="00246185" w:rsidRPr="00CA5021">
        <w:t>This movement paved the way for later legislative changes such as the 1993 Native Title Act which theoretically may not have occurred if not for the actions of the Aboriginal Tent Embassy.</w:t>
      </w:r>
    </w:p>
    <w:p w14:paraId="455042B9" w14:textId="00123A0F" w:rsidR="00246185" w:rsidRPr="00CA5021" w:rsidRDefault="00246185" w:rsidP="00CA5021">
      <w:pPr>
        <w:pStyle w:val="Studentsamples"/>
      </w:pPr>
      <w:r w:rsidRPr="00CA5021">
        <w:lastRenderedPageBreak/>
        <w:t>These instances of resistance prove that although change often happens with legislation, that’s not necessarily the only it is achieved as much of this legislation would not be possible without the bravery and tenacity of these acts of resistance, which equally affected the power</w:t>
      </w:r>
      <w:r w:rsidR="004B0880" w:rsidRPr="00CA5021">
        <w:t xml:space="preserve"> and ideas of Indigenous Australians.</w:t>
      </w:r>
    </w:p>
    <w:p w14:paraId="6D1C9C2B" w14:textId="77777777" w:rsidR="00E22285" w:rsidRPr="00BA00B7" w:rsidRDefault="00E22285" w:rsidP="006D6D07">
      <w:pPr>
        <w:pStyle w:val="Heading2"/>
      </w:pPr>
      <w:r w:rsidRPr="00BA00B7">
        <w:t>Question 4</w:t>
      </w:r>
    </w:p>
    <w:p w14:paraId="530D43F7" w14:textId="10DEEDEE" w:rsidR="00542B41" w:rsidRPr="006D6D07" w:rsidRDefault="003E6D7D" w:rsidP="006D6D07">
      <w:pPr>
        <w:pStyle w:val="BodyText"/>
      </w:pPr>
      <w:r w:rsidRPr="006D6D07">
        <w:t xml:space="preserve">Question 4 required students to discuss the statement that </w:t>
      </w:r>
      <w:r w:rsidR="003500B9" w:rsidRPr="006D6D07">
        <w:t>the experiences and the commemoration of returned Australian soldiers have largely been positive</w:t>
      </w:r>
      <w:r w:rsidRPr="006D6D07">
        <w:t xml:space="preserve">, with reference to the periods </w:t>
      </w:r>
      <w:r w:rsidR="00DA6FCD" w:rsidRPr="006D6D07">
        <w:t>1909–1950 and 1950</w:t>
      </w:r>
      <w:r w:rsidR="00264BA3">
        <w:t>–</w:t>
      </w:r>
      <w:r w:rsidR="00DA6FCD" w:rsidRPr="006D6D07">
        <w:t>1992.</w:t>
      </w:r>
      <w:r w:rsidR="006D6D07" w:rsidRPr="006D6D07">
        <w:t xml:space="preserve"> </w:t>
      </w:r>
      <w:r w:rsidR="003024D4" w:rsidRPr="006D6D07">
        <w:t xml:space="preserve">Most responses focused on the experience and commemoration of </w:t>
      </w:r>
      <w:r w:rsidR="00264BA3" w:rsidRPr="006D6D07">
        <w:t>World War</w:t>
      </w:r>
      <w:r w:rsidR="00264BA3">
        <w:t xml:space="preserve"> I</w:t>
      </w:r>
      <w:r w:rsidR="003024D4" w:rsidRPr="006D6D07">
        <w:t xml:space="preserve"> veterans and Vietnam veterans especially.</w:t>
      </w:r>
      <w:r w:rsidR="006D6D07" w:rsidRPr="006D6D07">
        <w:t xml:space="preserve"> </w:t>
      </w:r>
      <w:r w:rsidR="003024D4" w:rsidRPr="006D6D07">
        <w:t xml:space="preserve">This involved consideration of </w:t>
      </w:r>
      <w:r w:rsidR="00264BA3">
        <w:t xml:space="preserve">the </w:t>
      </w:r>
      <w:r w:rsidR="003024D4" w:rsidRPr="006D6D07">
        <w:t>heroism of the Anzac legend</w:t>
      </w:r>
      <w:r w:rsidR="00A634EA" w:rsidRPr="006D6D07">
        <w:t xml:space="preserve"> and the creation of Anzac Day to commemorate those who had served</w:t>
      </w:r>
      <w:r w:rsidR="003024D4" w:rsidRPr="006D6D07">
        <w:t xml:space="preserve">, but also the dissonance between </w:t>
      </w:r>
      <w:r w:rsidR="00264BA3">
        <w:t xml:space="preserve">the </w:t>
      </w:r>
      <w:r w:rsidR="003024D4" w:rsidRPr="006D6D07">
        <w:t>expectations built by the Anzac legend and the men who returned ill or injured.</w:t>
      </w:r>
      <w:r w:rsidR="006D6D07" w:rsidRPr="006D6D07">
        <w:t xml:space="preserve"> </w:t>
      </w:r>
      <w:r w:rsidR="003024D4" w:rsidRPr="006D6D07">
        <w:t>Higher</w:t>
      </w:r>
      <w:r w:rsidR="00264BA3">
        <w:t>-</w:t>
      </w:r>
      <w:r w:rsidR="003024D4" w:rsidRPr="006D6D07">
        <w:t xml:space="preserve">scoring responses were able to describe government initiatives that sought to support returned servicemen after World War </w:t>
      </w:r>
      <w:r w:rsidR="00264BA3">
        <w:t>I</w:t>
      </w:r>
      <w:r w:rsidR="003024D4" w:rsidRPr="006D6D07">
        <w:t xml:space="preserve"> such as the soldier settlement scheme or preferential employment.</w:t>
      </w:r>
      <w:r w:rsidR="006D6D07" w:rsidRPr="006D6D07">
        <w:t xml:space="preserve"> </w:t>
      </w:r>
      <w:r w:rsidR="00A634EA" w:rsidRPr="006D6D07">
        <w:t>Higher</w:t>
      </w:r>
      <w:r w:rsidR="00264BA3">
        <w:t>-</w:t>
      </w:r>
      <w:r w:rsidR="00A634EA" w:rsidRPr="006D6D07">
        <w:t>scoring responses also noted the support in terms of education and training for soldiers who returned from W</w:t>
      </w:r>
      <w:r w:rsidR="00264BA3">
        <w:t xml:space="preserve">orld </w:t>
      </w:r>
      <w:r w:rsidR="00A634EA" w:rsidRPr="006D6D07">
        <w:t>W</w:t>
      </w:r>
      <w:r w:rsidR="00264BA3">
        <w:t>ar II</w:t>
      </w:r>
      <w:r w:rsidR="00A634EA" w:rsidRPr="006D6D07">
        <w:t>.</w:t>
      </w:r>
      <w:r w:rsidR="006D6D07" w:rsidRPr="006D6D07">
        <w:t xml:space="preserve"> </w:t>
      </w:r>
      <w:r w:rsidR="003024D4" w:rsidRPr="006D6D07">
        <w:t>M</w:t>
      </w:r>
      <w:r w:rsidR="00A634EA" w:rsidRPr="006D6D07">
        <w:t xml:space="preserve">ost </w:t>
      </w:r>
      <w:r w:rsidR="003024D4" w:rsidRPr="006D6D07">
        <w:t>responses described the trauma experienced by returned soldiers</w:t>
      </w:r>
      <w:r w:rsidR="00A634EA" w:rsidRPr="006D6D07">
        <w:t xml:space="preserve"> </w:t>
      </w:r>
      <w:r w:rsidR="00A335A7" w:rsidRPr="006D6D07">
        <w:t>from each conflict that Australia was involved with during the time periods specified</w:t>
      </w:r>
      <w:r w:rsidR="00A634EA" w:rsidRPr="006D6D07">
        <w:t>.</w:t>
      </w:r>
      <w:r w:rsidR="006D6D07" w:rsidRPr="006D6D07">
        <w:t xml:space="preserve"> </w:t>
      </w:r>
    </w:p>
    <w:p w14:paraId="30BB4932" w14:textId="70780C19" w:rsidR="00A634EA" w:rsidRPr="006D6D07" w:rsidRDefault="00A634EA" w:rsidP="006D6D07">
      <w:pPr>
        <w:pStyle w:val="BodyText"/>
      </w:pPr>
      <w:r w:rsidRPr="006D6D07">
        <w:t>Additionally, much was written about the experience</w:t>
      </w:r>
      <w:r w:rsidR="00202193" w:rsidRPr="006D6D07">
        <w:t xml:space="preserve"> of Vietnam veterans, who often felt rejected by their local RSL and derided by Australian society due to the decreasing popularity of the Vietnam War.</w:t>
      </w:r>
      <w:r w:rsidR="006D6D07" w:rsidRPr="006D6D07">
        <w:t xml:space="preserve"> </w:t>
      </w:r>
      <w:r w:rsidR="00202193" w:rsidRPr="006D6D07">
        <w:t>Although there were many</w:t>
      </w:r>
      <w:r w:rsidR="00A335A7" w:rsidRPr="006D6D07">
        <w:t xml:space="preserve"> welcome home parades, the broader feeling was one of rejection, symbolised by</w:t>
      </w:r>
      <w:r w:rsidR="000C7EAB" w:rsidRPr="006D6D07">
        <w:t xml:space="preserve"> an incident when Nadine Jensen doused herself in red paint and disrupted a 1966 parade.</w:t>
      </w:r>
      <w:r w:rsidR="006D6D07" w:rsidRPr="006D6D07">
        <w:t xml:space="preserve"> </w:t>
      </w:r>
      <w:r w:rsidR="000C7EAB" w:rsidRPr="006D6D07">
        <w:t>Finally, many responses describe</w:t>
      </w:r>
      <w:r w:rsidR="00264BA3">
        <w:t>d</w:t>
      </w:r>
      <w:r w:rsidR="000C7EAB" w:rsidRPr="006D6D07">
        <w:t xml:space="preserve"> the positive reaction to the 1987 Welcome Home Parade that was held in Sydney to address these feelings of rejection and exclusion by Vietnam veterans.</w:t>
      </w:r>
    </w:p>
    <w:p w14:paraId="4350CBE2" w14:textId="769D5DC0" w:rsidR="00BF1AF1" w:rsidRPr="006D6D07" w:rsidRDefault="000C7EAB" w:rsidP="006D6D07">
      <w:pPr>
        <w:pStyle w:val="BodyText"/>
      </w:pPr>
      <w:r w:rsidRPr="006D6D07">
        <w:t xml:space="preserve">Although </w:t>
      </w:r>
      <w:r w:rsidR="00716504" w:rsidRPr="006D6D07">
        <w:t>featured rarely in student responses, description</w:t>
      </w:r>
      <w:r w:rsidR="00990E85">
        <w:t>s</w:t>
      </w:r>
      <w:r w:rsidR="00716504" w:rsidRPr="006D6D07">
        <w:t xml:space="preserve"> of the experience</w:t>
      </w:r>
      <w:r w:rsidR="00990E85">
        <w:t>s</w:t>
      </w:r>
      <w:r w:rsidR="00716504" w:rsidRPr="006D6D07">
        <w:t xml:space="preserve"> of returned LGBTQIA+ servicemen and Indigenous servicemen also added depth to arguments.</w:t>
      </w:r>
    </w:p>
    <w:p w14:paraId="47ACB91B" w14:textId="77777777" w:rsidR="00716504" w:rsidRPr="006D6D07" w:rsidRDefault="00716504" w:rsidP="006D6D07">
      <w:pPr>
        <w:pStyle w:val="BodyText"/>
      </w:pPr>
      <w:r w:rsidRPr="006D6D07">
        <w:t>The following is an example of a high-scoring response:</w:t>
      </w:r>
    </w:p>
    <w:p w14:paraId="1AC88330" w14:textId="622BF565" w:rsidR="00542B41" w:rsidRPr="00CA5021" w:rsidRDefault="00542B41" w:rsidP="00CA5021">
      <w:pPr>
        <w:pStyle w:val="Studentsamples"/>
      </w:pPr>
      <w:r w:rsidRPr="00CA5021">
        <w:t>Throughout the period of 1909–1992, countless Australian soldiers participated in a variety of conflicts.</w:t>
      </w:r>
      <w:r w:rsidR="006D6D07" w:rsidRPr="00CA5021">
        <w:t xml:space="preserve"> </w:t>
      </w:r>
      <w:r w:rsidRPr="00CA5021">
        <w:t xml:space="preserve">Upon return of these soldiers, as evident through 1909–1950, they experienced positive homecomings through the recognition and celebration of the </w:t>
      </w:r>
      <w:proofErr w:type="spellStart"/>
      <w:r w:rsidRPr="00CA5021">
        <w:t>homefront</w:t>
      </w:r>
      <w:proofErr w:type="spellEnd"/>
      <w:r w:rsidRPr="00CA5021">
        <w:t xml:space="preserve"> as well as the government responses to commemorate the efforts of soldiers</w:t>
      </w:r>
      <w:r w:rsidR="0066623E" w:rsidRPr="00CA5021">
        <w:t>.</w:t>
      </w:r>
      <w:r w:rsidR="006D6D07" w:rsidRPr="00CA5021">
        <w:t xml:space="preserve"> </w:t>
      </w:r>
      <w:r w:rsidRPr="00CA5021">
        <w:t>Nevertheless, not all returning soldiers through 1950–1992 were welcomed in a positive way, as veterans were often isolated upon return. However, there is prominent continuity across 1909–1992 of those suffering from mental illness</w:t>
      </w:r>
      <w:r w:rsidR="00BF1AF1" w:rsidRPr="00CA5021">
        <w:t xml:space="preserve"> not being met with positive experiences, as this disdain was not remedied.</w:t>
      </w:r>
    </w:p>
    <w:p w14:paraId="171B7CB5" w14:textId="4874FF90" w:rsidR="00BF1AF1" w:rsidRPr="00CA5021" w:rsidRDefault="00BF1AF1" w:rsidP="00CA5021">
      <w:pPr>
        <w:pStyle w:val="Studentsamples"/>
      </w:pPr>
      <w:r w:rsidRPr="00CA5021">
        <w:t xml:space="preserve">From 1909–1992, Australian soldiers were able to experience positive homecomings </w:t>
      </w:r>
      <w:r w:rsidR="00736652" w:rsidRPr="00CA5021">
        <w:t xml:space="preserve">to the </w:t>
      </w:r>
      <w:proofErr w:type="spellStart"/>
      <w:r w:rsidR="00736652" w:rsidRPr="00CA5021">
        <w:t>homefront</w:t>
      </w:r>
      <w:proofErr w:type="spellEnd"/>
      <w:r w:rsidR="00736652" w:rsidRPr="00CA5021">
        <w:t>.</w:t>
      </w:r>
      <w:r w:rsidR="006D6D07" w:rsidRPr="00CA5021">
        <w:t xml:space="preserve"> </w:t>
      </w:r>
      <w:r w:rsidR="00736652" w:rsidRPr="00CA5021">
        <w:t xml:space="preserve">From the end of the first world war in 1918, Australians felt an emerging sense of </w:t>
      </w:r>
      <w:r w:rsidR="000B5B15" w:rsidRPr="00CA5021">
        <w:t>‘</w:t>
      </w:r>
      <w:r w:rsidR="00736652" w:rsidRPr="00CA5021">
        <w:t>national identity [associated] with service (Bongiorno).</w:t>
      </w:r>
      <w:r w:rsidR="006D6D07" w:rsidRPr="00CA5021">
        <w:t xml:space="preserve"> </w:t>
      </w:r>
      <w:r w:rsidR="00736652" w:rsidRPr="00CA5021">
        <w:t>This was reflected</w:t>
      </w:r>
      <w:r w:rsidR="006D6D07" w:rsidRPr="00CA5021">
        <w:t xml:space="preserve"> </w:t>
      </w:r>
      <w:r w:rsidR="00736652" w:rsidRPr="00CA5021">
        <w:t xml:space="preserve">in the countless homecoming parades held on the </w:t>
      </w:r>
      <w:proofErr w:type="spellStart"/>
      <w:r w:rsidR="00736652" w:rsidRPr="00CA5021">
        <w:t>homefront</w:t>
      </w:r>
      <w:proofErr w:type="spellEnd"/>
      <w:r w:rsidR="00736652" w:rsidRPr="00CA5021">
        <w:t xml:space="preserve">, as Australians were </w:t>
      </w:r>
      <w:r w:rsidR="000B5B15" w:rsidRPr="00CA5021">
        <w:t>‘</w:t>
      </w:r>
      <w:r w:rsidR="00736652" w:rsidRPr="00CA5021">
        <w:t>anxious to show their praise and pride for the Anzacs</w:t>
      </w:r>
      <w:r w:rsidR="000B5B15" w:rsidRPr="00CA5021">
        <w:t>’</w:t>
      </w:r>
      <w:r w:rsidR="00736652" w:rsidRPr="00CA5021">
        <w:t xml:space="preserve"> (Ham).</w:t>
      </w:r>
      <w:r w:rsidR="006D6D07" w:rsidRPr="00CA5021">
        <w:t xml:space="preserve"> </w:t>
      </w:r>
      <w:r w:rsidR="00736652" w:rsidRPr="00CA5021">
        <w:t xml:space="preserve">Thus, this reflected in the celebration of Anzac Day by all states by 1921, which echoed the </w:t>
      </w:r>
      <w:r w:rsidR="000907AC" w:rsidRPr="00CA5021">
        <w:t xml:space="preserve">returning servicemen being </w:t>
      </w:r>
      <w:r w:rsidR="000B5B15" w:rsidRPr="00CA5021">
        <w:t>‘</w:t>
      </w:r>
      <w:r w:rsidR="000907AC" w:rsidRPr="00CA5021">
        <w:t>labelled as heroes</w:t>
      </w:r>
      <w:r w:rsidR="000B5B15" w:rsidRPr="00CA5021">
        <w:t>’</w:t>
      </w:r>
      <w:r w:rsidR="000907AC" w:rsidRPr="00CA5021">
        <w:t xml:space="preserve"> (Hughes), as this commemoration was made a national day in 1927 – known as Anzac Day.</w:t>
      </w:r>
      <w:r w:rsidR="006D6D07" w:rsidRPr="00CA5021">
        <w:t xml:space="preserve"> </w:t>
      </w:r>
      <w:r w:rsidR="000907AC" w:rsidRPr="00CA5021">
        <w:t>This positive experience was prominent throughout 1939–1945, as soldiers were celebrated upon homecoming for their contributions to not only the war but to national identity.</w:t>
      </w:r>
      <w:r w:rsidR="006D6D07" w:rsidRPr="00CA5021">
        <w:t xml:space="preserve"> </w:t>
      </w:r>
      <w:r w:rsidR="000907AC" w:rsidRPr="00CA5021">
        <w:t>This was underscored by the commemoration of WWII soldiers within Anzac Day. Despite this</w:t>
      </w:r>
      <w:r w:rsidR="00AD4321" w:rsidRPr="00CA5021">
        <w:t>, soldiers who returned home from the Vietnam War in 1973 were not met with this positivity.</w:t>
      </w:r>
      <w:r w:rsidR="006D6D07" w:rsidRPr="00CA5021">
        <w:t xml:space="preserve"> </w:t>
      </w:r>
      <w:r w:rsidR="00AD4321" w:rsidRPr="00CA5021">
        <w:t xml:space="preserve">Although there was evidence of warm homecomings, Vietnam veterans described their experience as </w:t>
      </w:r>
      <w:r w:rsidR="000B5B15" w:rsidRPr="00CA5021">
        <w:t>‘</w:t>
      </w:r>
      <w:r w:rsidR="00AD4321" w:rsidRPr="00CA5021">
        <w:t>leave a war to return to another</w:t>
      </w:r>
      <w:r w:rsidR="000B5B15" w:rsidRPr="00CA5021">
        <w:t>’</w:t>
      </w:r>
      <w:r w:rsidR="00AD4321" w:rsidRPr="00CA5021">
        <w:t xml:space="preserve"> (Ham).</w:t>
      </w:r>
      <w:r w:rsidR="006D6D07" w:rsidRPr="00CA5021">
        <w:t xml:space="preserve"> </w:t>
      </w:r>
      <w:r w:rsidR="00AD4321" w:rsidRPr="00CA5021">
        <w:t xml:space="preserve">This was mirrored in homecoming parades, as a Vietnam veteran recalls </w:t>
      </w:r>
      <w:r w:rsidR="000B5B15" w:rsidRPr="00CA5021">
        <w:t>‘</w:t>
      </w:r>
      <w:r w:rsidR="00AD4321" w:rsidRPr="00CA5021">
        <w:t>we were pelted with tomatoes and spat on</w:t>
      </w:r>
      <w:r w:rsidR="000B5B15" w:rsidRPr="00CA5021">
        <w:t>’</w:t>
      </w:r>
      <w:r w:rsidR="00AD4321" w:rsidRPr="00CA5021">
        <w:t>.</w:t>
      </w:r>
      <w:r w:rsidR="006D6D07" w:rsidRPr="00CA5021">
        <w:t xml:space="preserve"> </w:t>
      </w:r>
      <w:r w:rsidR="00AD4321" w:rsidRPr="00CA5021">
        <w:t xml:space="preserve">This ultimately left veterans </w:t>
      </w:r>
      <w:r w:rsidR="000B5B15" w:rsidRPr="00CA5021">
        <w:t>‘</w:t>
      </w:r>
      <w:r w:rsidR="00AD4321" w:rsidRPr="00CA5021">
        <w:t>isolated from their communities</w:t>
      </w:r>
      <w:r w:rsidR="000B5B15" w:rsidRPr="00CA5021">
        <w:t>’</w:t>
      </w:r>
      <w:r w:rsidR="00AD4321" w:rsidRPr="00CA5021">
        <w:t xml:space="preserve"> (Ham) and society.</w:t>
      </w:r>
      <w:r w:rsidR="006D6D07" w:rsidRPr="00CA5021">
        <w:t xml:space="preserve"> </w:t>
      </w:r>
      <w:r w:rsidR="00AD4321" w:rsidRPr="00CA5021">
        <w:t xml:space="preserve">The attempts to remedy this </w:t>
      </w:r>
      <w:r w:rsidR="00115EDF" w:rsidRPr="00CA5021">
        <w:t>discontent was prominent through the 1987 Welcome Home Parade, which saw over 200 media outlets stream the marching of Australian soldiers from Vietnam.</w:t>
      </w:r>
      <w:r w:rsidR="006D6D07" w:rsidRPr="00CA5021">
        <w:t xml:space="preserve"> </w:t>
      </w:r>
      <w:r w:rsidR="00115EDF" w:rsidRPr="00CA5021">
        <w:t xml:space="preserve">This </w:t>
      </w:r>
      <w:proofErr w:type="gramStart"/>
      <w:r w:rsidR="00115EDF" w:rsidRPr="00CA5021">
        <w:lastRenderedPageBreak/>
        <w:t>commemorate</w:t>
      </w:r>
      <w:proofErr w:type="gramEnd"/>
      <w:r w:rsidR="00115EDF" w:rsidRPr="00CA5021">
        <w:t xml:space="preserve"> enabled veterans to </w:t>
      </w:r>
      <w:r w:rsidR="000B5B15" w:rsidRPr="00CA5021">
        <w:t>‘</w:t>
      </w:r>
      <w:r w:rsidR="00115EDF" w:rsidRPr="00CA5021">
        <w:t>face Vietnam</w:t>
      </w:r>
      <w:r w:rsidR="000B5B15" w:rsidRPr="00CA5021">
        <w:t>’</w:t>
      </w:r>
      <w:r w:rsidR="00115EDF" w:rsidRPr="00CA5021">
        <w:t xml:space="preserve"> which thus enabled a remedy to the negative homecoming experience.</w:t>
      </w:r>
      <w:r w:rsidR="006D6D07" w:rsidRPr="00CA5021">
        <w:t xml:space="preserve"> </w:t>
      </w:r>
      <w:r w:rsidR="00115EDF" w:rsidRPr="00CA5021">
        <w:t>Thus, there is a continuity of soldiers experiencing positive homecomings.</w:t>
      </w:r>
    </w:p>
    <w:p w14:paraId="2A1A419D" w14:textId="08466F57" w:rsidR="00115EDF" w:rsidRPr="00CA5021" w:rsidRDefault="00115EDF" w:rsidP="00CA5021">
      <w:pPr>
        <w:pStyle w:val="Studentsamples"/>
      </w:pPr>
      <w:r w:rsidRPr="00CA5021">
        <w:t>Moreover, returning veterans from war in 1909–1992 were able to have positive experiences through government responses.</w:t>
      </w:r>
      <w:r w:rsidR="006D6D07" w:rsidRPr="00CA5021">
        <w:t xml:space="preserve"> </w:t>
      </w:r>
      <w:r w:rsidRPr="00CA5021">
        <w:t xml:space="preserve">The return of soldiers in WW1 were </w:t>
      </w:r>
      <w:r w:rsidR="000B5B15" w:rsidRPr="00CA5021">
        <w:t>‘</w:t>
      </w:r>
      <w:r w:rsidRPr="00CA5021">
        <w:t>arguably</w:t>
      </w:r>
      <w:r w:rsidR="005129E2" w:rsidRPr="00CA5021">
        <w:t xml:space="preserve"> offered more than any other countries</w:t>
      </w:r>
      <w:r w:rsidR="000B5B15" w:rsidRPr="00CA5021">
        <w:t>’</w:t>
      </w:r>
      <w:r w:rsidR="005129E2" w:rsidRPr="00CA5021">
        <w:t xml:space="preserve"> (Mirams) as soldiers were remedied through social contracts.</w:t>
      </w:r>
      <w:r w:rsidR="006D6D07" w:rsidRPr="00CA5021">
        <w:t xml:space="preserve"> </w:t>
      </w:r>
      <w:r w:rsidR="005129E2" w:rsidRPr="00CA5021">
        <w:t>This was prominent in the introduction of the soldier settlement scheme, which provided 40</w:t>
      </w:r>
      <w:r w:rsidR="00A3651E" w:rsidRPr="00CA5021">
        <w:t xml:space="preserve"> </w:t>
      </w:r>
      <w:r w:rsidR="005129E2" w:rsidRPr="00CA5021">
        <w:t>000 soldiers with farms to live on post the war.</w:t>
      </w:r>
      <w:r w:rsidR="006D6D07" w:rsidRPr="00CA5021">
        <w:t xml:space="preserve"> </w:t>
      </w:r>
      <w:r w:rsidR="005129E2" w:rsidRPr="00CA5021">
        <w:t xml:space="preserve">This positive government response was echoed in World War II, as soldiers returned to a post war life that aimed to be </w:t>
      </w:r>
      <w:r w:rsidR="000B5B15" w:rsidRPr="00CA5021">
        <w:t>‘</w:t>
      </w:r>
      <w:r w:rsidR="005129E2" w:rsidRPr="00CA5021">
        <w:t>equitable, prosperous and stable</w:t>
      </w:r>
      <w:r w:rsidR="000B5B15" w:rsidRPr="00CA5021">
        <w:t>’</w:t>
      </w:r>
      <w:r w:rsidR="005129E2" w:rsidRPr="00CA5021">
        <w:t xml:space="preserve"> (Ham).</w:t>
      </w:r>
      <w:r w:rsidR="006D6D07" w:rsidRPr="00CA5021">
        <w:t xml:space="preserve"> </w:t>
      </w:r>
      <w:r w:rsidR="005129E2" w:rsidRPr="00CA5021">
        <w:t xml:space="preserve">As such was established through </w:t>
      </w:r>
      <w:r w:rsidR="005126FD" w:rsidRPr="00CA5021">
        <w:t>the development of the Australian National University (1941), which provided a postgraduate institution for soldiers to attain an education.</w:t>
      </w:r>
      <w:r w:rsidR="006D6D07" w:rsidRPr="00CA5021">
        <w:t xml:space="preserve"> </w:t>
      </w:r>
      <w:r w:rsidR="005126FD" w:rsidRPr="00CA5021">
        <w:t>These two responses underscore the positive attempts to commemorate the work of soldiers.</w:t>
      </w:r>
      <w:r w:rsidR="006D6D07" w:rsidRPr="00CA5021">
        <w:t xml:space="preserve"> </w:t>
      </w:r>
      <w:r w:rsidR="005126FD" w:rsidRPr="00CA5021">
        <w:t>However, as such was not evident for returning soldiers from the Vietnam War, as ultimately there was limited support.</w:t>
      </w:r>
      <w:r w:rsidR="006D6D07" w:rsidRPr="00CA5021">
        <w:t xml:space="preserve"> </w:t>
      </w:r>
      <w:r w:rsidR="005126FD" w:rsidRPr="00CA5021">
        <w:t>The government’s denial of the impact of Agent Orange</w:t>
      </w:r>
      <w:r w:rsidR="006D6D07" w:rsidRPr="00CA5021">
        <w:t xml:space="preserve"> </w:t>
      </w:r>
      <w:r w:rsidR="005126FD" w:rsidRPr="00CA5021">
        <w:t>in Vietnam underscored the negative experiences for veterans.</w:t>
      </w:r>
      <w:r w:rsidR="006D6D07" w:rsidRPr="00CA5021">
        <w:t xml:space="preserve"> </w:t>
      </w:r>
      <w:r w:rsidR="005126FD" w:rsidRPr="00CA5021">
        <w:t xml:space="preserve">This ultimately </w:t>
      </w:r>
      <w:r w:rsidR="00212802" w:rsidRPr="00CA5021">
        <w:t>left veterans isolated, as the RSL denied commemoration and support to soldiers.</w:t>
      </w:r>
      <w:r w:rsidR="006D6D07" w:rsidRPr="00CA5021">
        <w:t xml:space="preserve"> </w:t>
      </w:r>
      <w:r w:rsidR="00212802" w:rsidRPr="00CA5021">
        <w:t>As a result, this left Vietnam veterans with negative experiences that required the establishment of industrial organisations such as the Vietnam Veterans Association in the 1980s.</w:t>
      </w:r>
      <w:r w:rsidR="006D6D07" w:rsidRPr="00CA5021">
        <w:t xml:space="preserve"> </w:t>
      </w:r>
      <w:r w:rsidR="00212802" w:rsidRPr="00CA5021">
        <w:t>Thus, this resulted in not all returning soldiers having positive experiences and commemorations throughout 1909–1992.</w:t>
      </w:r>
    </w:p>
    <w:p w14:paraId="0ED80B23" w14:textId="2558D13B" w:rsidR="009E1648" w:rsidRPr="00CA5021" w:rsidRDefault="009E1648" w:rsidP="00CA5021">
      <w:pPr>
        <w:pStyle w:val="Studentsamples"/>
      </w:pPr>
      <w:r w:rsidRPr="00CA5021">
        <w:t>Nevertheless, there is prominent continuity across 1909–1992 of returned servicemen having negative experience with mental illness. The lack of recognition of the suffering of mental illnesses throughout 1909–1992 left soldiers isolated due to a lack of resources.</w:t>
      </w:r>
      <w:r w:rsidR="006D6D07" w:rsidRPr="00CA5021">
        <w:t xml:space="preserve"> </w:t>
      </w:r>
      <w:r w:rsidR="00DF58D7" w:rsidRPr="00CA5021">
        <w:t xml:space="preserve">This was prominent in WWI and WWII, as </w:t>
      </w:r>
      <w:r w:rsidR="000B5B15" w:rsidRPr="00CA5021">
        <w:t>‘</w:t>
      </w:r>
      <w:r w:rsidR="00DF58D7" w:rsidRPr="00CA5021">
        <w:t>shellshocked veterans were ultimately left isolated</w:t>
      </w:r>
      <w:r w:rsidR="000B5B15" w:rsidRPr="00CA5021">
        <w:t>’</w:t>
      </w:r>
      <w:r w:rsidR="00DF58D7" w:rsidRPr="00CA5021">
        <w:t xml:space="preserve"> and </w:t>
      </w:r>
      <w:r w:rsidR="000B5B15" w:rsidRPr="00CA5021">
        <w:t>‘</w:t>
      </w:r>
      <w:r w:rsidR="00DF58D7" w:rsidRPr="00CA5021">
        <w:t>struggled to find their feet in civilised life</w:t>
      </w:r>
      <w:r w:rsidR="000B5B15" w:rsidRPr="00CA5021">
        <w:t>’</w:t>
      </w:r>
      <w:r w:rsidR="00DF58D7" w:rsidRPr="00CA5021">
        <w:t xml:space="preserve"> (Ham).</w:t>
      </w:r>
      <w:r w:rsidR="006D6D07" w:rsidRPr="00CA5021">
        <w:t xml:space="preserve"> </w:t>
      </w:r>
      <w:proofErr w:type="gramStart"/>
      <w:r w:rsidR="00DF58D7" w:rsidRPr="00CA5021">
        <w:t>This left soldiers</w:t>
      </w:r>
      <w:proofErr w:type="gramEnd"/>
      <w:r w:rsidR="00DF58D7" w:rsidRPr="00CA5021">
        <w:t xml:space="preserve"> isolated from accessing resources.</w:t>
      </w:r>
      <w:r w:rsidR="006D6D07" w:rsidRPr="00CA5021">
        <w:t xml:space="preserve"> </w:t>
      </w:r>
      <w:r w:rsidR="00DF58D7" w:rsidRPr="00CA5021">
        <w:t>Moreover, as a result of isolation from the community and war trauma, Vietnam veterans were recorded to be three times more likely to suffer illness.</w:t>
      </w:r>
    </w:p>
    <w:p w14:paraId="606A6E4A" w14:textId="79768C94" w:rsidR="00DF58D7" w:rsidRPr="00CA5021" w:rsidRDefault="00DF58D7" w:rsidP="00CA5021">
      <w:pPr>
        <w:pStyle w:val="Studentsamples"/>
      </w:pPr>
      <w:r w:rsidRPr="00CA5021">
        <w:t xml:space="preserve">Overall, throughout 1909–1992, </w:t>
      </w:r>
      <w:r w:rsidR="00264A28" w:rsidRPr="00CA5021">
        <w:t xml:space="preserve">many </w:t>
      </w:r>
      <w:r w:rsidRPr="00CA5021">
        <w:t>soldiers experienced a</w:t>
      </w:r>
      <w:r w:rsidR="00264A28" w:rsidRPr="00CA5021">
        <w:t xml:space="preserve"> positive homecoming through </w:t>
      </w:r>
      <w:proofErr w:type="spellStart"/>
      <w:r w:rsidR="00264A28" w:rsidRPr="00CA5021">
        <w:t>homefront</w:t>
      </w:r>
      <w:proofErr w:type="spellEnd"/>
      <w:r w:rsidR="00264A28" w:rsidRPr="00CA5021">
        <w:t xml:space="preserve"> and government responses. Despite this, soldiers were not always met with positive responses.</w:t>
      </w:r>
    </w:p>
    <w:sectPr w:rsidR="00DF58D7" w:rsidRPr="00CA5021"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236C376C" w:rsidR="00FD29D3" w:rsidRPr="002B0664" w:rsidRDefault="007A675B"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22285">
          <w:rPr>
            <w:color w:val="auto"/>
          </w:rPr>
          <w:t>2025 VCE Australian History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E384C"/>
    <w:multiLevelType w:val="hybridMultilevel"/>
    <w:tmpl w:val="E5EC1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E2038"/>
    <w:multiLevelType w:val="hybridMultilevel"/>
    <w:tmpl w:val="E7B0EE70"/>
    <w:lvl w:ilvl="0" w:tplc="D4508BB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09D0E0D"/>
    <w:multiLevelType w:val="hybridMultilevel"/>
    <w:tmpl w:val="AD8090C6"/>
    <w:lvl w:ilvl="0" w:tplc="121279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A638E3"/>
    <w:multiLevelType w:val="hybridMultilevel"/>
    <w:tmpl w:val="C61E29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893C3E"/>
    <w:multiLevelType w:val="hybridMultilevel"/>
    <w:tmpl w:val="AD4CC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A92E6B"/>
    <w:multiLevelType w:val="hybridMultilevel"/>
    <w:tmpl w:val="170ED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B51D1C"/>
    <w:multiLevelType w:val="hybridMultilevel"/>
    <w:tmpl w:val="2CE0FF2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3E0FB2"/>
    <w:multiLevelType w:val="hybridMultilevel"/>
    <w:tmpl w:val="9A98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72B6C"/>
    <w:multiLevelType w:val="hybridMultilevel"/>
    <w:tmpl w:val="3F7A88F4"/>
    <w:lvl w:ilvl="0" w:tplc="92F4495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23"/>
  </w:num>
  <w:num w:numId="2" w16cid:durableId="1678000311">
    <w:abstractNumId w:val="20"/>
  </w:num>
  <w:num w:numId="3" w16cid:durableId="1018848057">
    <w:abstractNumId w:val="13"/>
  </w:num>
  <w:num w:numId="4" w16cid:durableId="1304190575">
    <w:abstractNumId w:val="11"/>
  </w:num>
  <w:num w:numId="5" w16cid:durableId="2057312338">
    <w:abstractNumId w:val="21"/>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9"/>
  </w:num>
  <w:num w:numId="17" w16cid:durableId="579759203">
    <w:abstractNumId w:val="12"/>
  </w:num>
  <w:num w:numId="18" w16cid:durableId="1553688012">
    <w:abstractNumId w:val="18"/>
  </w:num>
  <w:num w:numId="19" w16cid:durableId="354238108">
    <w:abstractNumId w:val="22"/>
  </w:num>
  <w:num w:numId="20" w16cid:durableId="280964339">
    <w:abstractNumId w:val="14"/>
  </w:num>
  <w:num w:numId="21" w16cid:durableId="1263369432">
    <w:abstractNumId w:val="17"/>
  </w:num>
  <w:num w:numId="22" w16cid:durableId="357968018">
    <w:abstractNumId w:val="15"/>
  </w:num>
  <w:num w:numId="23" w16cid:durableId="775246591">
    <w:abstractNumId w:val="16"/>
  </w:num>
  <w:num w:numId="24" w16cid:durableId="1276669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2D8"/>
    <w:rsid w:val="00003885"/>
    <w:rsid w:val="000074AD"/>
    <w:rsid w:val="00007548"/>
    <w:rsid w:val="0003204E"/>
    <w:rsid w:val="00050EC0"/>
    <w:rsid w:val="0005780E"/>
    <w:rsid w:val="00060F1D"/>
    <w:rsid w:val="00063CCC"/>
    <w:rsid w:val="00065CC6"/>
    <w:rsid w:val="000739AB"/>
    <w:rsid w:val="00076EF0"/>
    <w:rsid w:val="000829A1"/>
    <w:rsid w:val="000907AC"/>
    <w:rsid w:val="000945A5"/>
    <w:rsid w:val="00095263"/>
    <w:rsid w:val="0009770C"/>
    <w:rsid w:val="000A15EA"/>
    <w:rsid w:val="000A71F7"/>
    <w:rsid w:val="000B5B15"/>
    <w:rsid w:val="000B6351"/>
    <w:rsid w:val="000B64F0"/>
    <w:rsid w:val="000C4A5C"/>
    <w:rsid w:val="000C7EAB"/>
    <w:rsid w:val="000D1438"/>
    <w:rsid w:val="000E6E8B"/>
    <w:rsid w:val="000F031C"/>
    <w:rsid w:val="000F09E4"/>
    <w:rsid w:val="000F16FD"/>
    <w:rsid w:val="000F18EF"/>
    <w:rsid w:val="000F5AAF"/>
    <w:rsid w:val="00101210"/>
    <w:rsid w:val="00102ED4"/>
    <w:rsid w:val="00103EA5"/>
    <w:rsid w:val="001045A1"/>
    <w:rsid w:val="00107911"/>
    <w:rsid w:val="00115EDF"/>
    <w:rsid w:val="0011617C"/>
    <w:rsid w:val="001206AA"/>
    <w:rsid w:val="00142593"/>
    <w:rsid w:val="00143520"/>
    <w:rsid w:val="0014596F"/>
    <w:rsid w:val="00153AD2"/>
    <w:rsid w:val="00164718"/>
    <w:rsid w:val="00165901"/>
    <w:rsid w:val="0017038D"/>
    <w:rsid w:val="001710CC"/>
    <w:rsid w:val="001779EA"/>
    <w:rsid w:val="0018135B"/>
    <w:rsid w:val="0018493D"/>
    <w:rsid w:val="00190C5B"/>
    <w:rsid w:val="00191841"/>
    <w:rsid w:val="00193223"/>
    <w:rsid w:val="001A3E82"/>
    <w:rsid w:val="001A51C7"/>
    <w:rsid w:val="001A63D6"/>
    <w:rsid w:val="001B5A92"/>
    <w:rsid w:val="001C0489"/>
    <w:rsid w:val="001C10E9"/>
    <w:rsid w:val="001C60A9"/>
    <w:rsid w:val="001D1479"/>
    <w:rsid w:val="001D2D28"/>
    <w:rsid w:val="001D3246"/>
    <w:rsid w:val="001E2C64"/>
    <w:rsid w:val="001E60A7"/>
    <w:rsid w:val="001F7512"/>
    <w:rsid w:val="00201768"/>
    <w:rsid w:val="00201C1A"/>
    <w:rsid w:val="00202193"/>
    <w:rsid w:val="002031D0"/>
    <w:rsid w:val="00212802"/>
    <w:rsid w:val="00222D90"/>
    <w:rsid w:val="002279BA"/>
    <w:rsid w:val="002329F3"/>
    <w:rsid w:val="002408C1"/>
    <w:rsid w:val="00243F0D"/>
    <w:rsid w:val="00246185"/>
    <w:rsid w:val="00246EF5"/>
    <w:rsid w:val="00253A74"/>
    <w:rsid w:val="002577B0"/>
    <w:rsid w:val="00260767"/>
    <w:rsid w:val="00263580"/>
    <w:rsid w:val="00263A76"/>
    <w:rsid w:val="002647BB"/>
    <w:rsid w:val="00264A28"/>
    <w:rsid w:val="00264BA3"/>
    <w:rsid w:val="00264DAA"/>
    <w:rsid w:val="00271DAB"/>
    <w:rsid w:val="0027504A"/>
    <w:rsid w:val="002754C1"/>
    <w:rsid w:val="00280EAD"/>
    <w:rsid w:val="00281E2A"/>
    <w:rsid w:val="002841C8"/>
    <w:rsid w:val="0028516B"/>
    <w:rsid w:val="002B0664"/>
    <w:rsid w:val="002B111C"/>
    <w:rsid w:val="002B410E"/>
    <w:rsid w:val="002C6F90"/>
    <w:rsid w:val="002D7FD6"/>
    <w:rsid w:val="002E2212"/>
    <w:rsid w:val="002E4FB5"/>
    <w:rsid w:val="002E59DF"/>
    <w:rsid w:val="002F4435"/>
    <w:rsid w:val="002F584B"/>
    <w:rsid w:val="003024D4"/>
    <w:rsid w:val="00302FB8"/>
    <w:rsid w:val="00304EA1"/>
    <w:rsid w:val="00305B1E"/>
    <w:rsid w:val="00314D81"/>
    <w:rsid w:val="0032248D"/>
    <w:rsid w:val="00322FC6"/>
    <w:rsid w:val="003279EC"/>
    <w:rsid w:val="00327B6E"/>
    <w:rsid w:val="00331C86"/>
    <w:rsid w:val="00340FDF"/>
    <w:rsid w:val="003500B9"/>
    <w:rsid w:val="0035293F"/>
    <w:rsid w:val="003632ED"/>
    <w:rsid w:val="00370398"/>
    <w:rsid w:val="003724FE"/>
    <w:rsid w:val="003737B6"/>
    <w:rsid w:val="00381C75"/>
    <w:rsid w:val="003834FD"/>
    <w:rsid w:val="00385398"/>
    <w:rsid w:val="00391986"/>
    <w:rsid w:val="00396F38"/>
    <w:rsid w:val="003A00B4"/>
    <w:rsid w:val="003A06B2"/>
    <w:rsid w:val="003B35DB"/>
    <w:rsid w:val="003B3696"/>
    <w:rsid w:val="003C1C5D"/>
    <w:rsid w:val="003C5E71"/>
    <w:rsid w:val="003D59F6"/>
    <w:rsid w:val="003E15AB"/>
    <w:rsid w:val="003E5961"/>
    <w:rsid w:val="003E6D7D"/>
    <w:rsid w:val="003F2829"/>
    <w:rsid w:val="003F32E1"/>
    <w:rsid w:val="003F7D2F"/>
    <w:rsid w:val="004040AD"/>
    <w:rsid w:val="004120D6"/>
    <w:rsid w:val="00414B0E"/>
    <w:rsid w:val="00417AA3"/>
    <w:rsid w:val="0042056A"/>
    <w:rsid w:val="00425705"/>
    <w:rsid w:val="00425DFE"/>
    <w:rsid w:val="00426425"/>
    <w:rsid w:val="0042791F"/>
    <w:rsid w:val="0043183C"/>
    <w:rsid w:val="00434B9A"/>
    <w:rsid w:val="00434EDB"/>
    <w:rsid w:val="00434F91"/>
    <w:rsid w:val="004359AC"/>
    <w:rsid w:val="00440B32"/>
    <w:rsid w:val="00446635"/>
    <w:rsid w:val="00447E4B"/>
    <w:rsid w:val="004539F3"/>
    <w:rsid w:val="00454955"/>
    <w:rsid w:val="00455BF8"/>
    <w:rsid w:val="00455CC3"/>
    <w:rsid w:val="0046078D"/>
    <w:rsid w:val="004727FC"/>
    <w:rsid w:val="0048143D"/>
    <w:rsid w:val="00490D0D"/>
    <w:rsid w:val="00493F9B"/>
    <w:rsid w:val="0049500D"/>
    <w:rsid w:val="00495C80"/>
    <w:rsid w:val="00496DF0"/>
    <w:rsid w:val="004A14C2"/>
    <w:rsid w:val="004A2B1C"/>
    <w:rsid w:val="004A2ED8"/>
    <w:rsid w:val="004A43F4"/>
    <w:rsid w:val="004B0880"/>
    <w:rsid w:val="004B09A4"/>
    <w:rsid w:val="004C61BD"/>
    <w:rsid w:val="004D78F1"/>
    <w:rsid w:val="004E19C4"/>
    <w:rsid w:val="004E7EAA"/>
    <w:rsid w:val="004F5BDA"/>
    <w:rsid w:val="005126FD"/>
    <w:rsid w:val="005129E2"/>
    <w:rsid w:val="0051631E"/>
    <w:rsid w:val="00531DDC"/>
    <w:rsid w:val="00537A1F"/>
    <w:rsid w:val="00542B41"/>
    <w:rsid w:val="00552D62"/>
    <w:rsid w:val="00553A05"/>
    <w:rsid w:val="00566029"/>
    <w:rsid w:val="00572BAA"/>
    <w:rsid w:val="00573F94"/>
    <w:rsid w:val="00576794"/>
    <w:rsid w:val="00580103"/>
    <w:rsid w:val="005923CB"/>
    <w:rsid w:val="005944C1"/>
    <w:rsid w:val="005965D7"/>
    <w:rsid w:val="005B391B"/>
    <w:rsid w:val="005B5412"/>
    <w:rsid w:val="005B726B"/>
    <w:rsid w:val="005B7511"/>
    <w:rsid w:val="005C0962"/>
    <w:rsid w:val="005C554F"/>
    <w:rsid w:val="005D3D78"/>
    <w:rsid w:val="005E2EF0"/>
    <w:rsid w:val="005F4092"/>
    <w:rsid w:val="00601E9D"/>
    <w:rsid w:val="006077F0"/>
    <w:rsid w:val="006125B9"/>
    <w:rsid w:val="00615047"/>
    <w:rsid w:val="00617618"/>
    <w:rsid w:val="00632287"/>
    <w:rsid w:val="006345AD"/>
    <w:rsid w:val="0063768C"/>
    <w:rsid w:val="00643777"/>
    <w:rsid w:val="00653ABB"/>
    <w:rsid w:val="00656844"/>
    <w:rsid w:val="0066623E"/>
    <w:rsid w:val="0066737D"/>
    <w:rsid w:val="006758BC"/>
    <w:rsid w:val="00675EE9"/>
    <w:rsid w:val="00681E17"/>
    <w:rsid w:val="0068471E"/>
    <w:rsid w:val="00684F98"/>
    <w:rsid w:val="006867C9"/>
    <w:rsid w:val="00687A16"/>
    <w:rsid w:val="00693FFD"/>
    <w:rsid w:val="006A73EC"/>
    <w:rsid w:val="006B0DB1"/>
    <w:rsid w:val="006B51C7"/>
    <w:rsid w:val="006B6D28"/>
    <w:rsid w:val="006D1FD9"/>
    <w:rsid w:val="006D2159"/>
    <w:rsid w:val="006D6D07"/>
    <w:rsid w:val="006E04F3"/>
    <w:rsid w:val="006E42F0"/>
    <w:rsid w:val="006E4489"/>
    <w:rsid w:val="006E7FBA"/>
    <w:rsid w:val="006F2C24"/>
    <w:rsid w:val="006F787C"/>
    <w:rsid w:val="00702636"/>
    <w:rsid w:val="007056BE"/>
    <w:rsid w:val="007121B4"/>
    <w:rsid w:val="00716504"/>
    <w:rsid w:val="00721C10"/>
    <w:rsid w:val="00722A14"/>
    <w:rsid w:val="00724493"/>
    <w:rsid w:val="00724507"/>
    <w:rsid w:val="007250F4"/>
    <w:rsid w:val="0072583F"/>
    <w:rsid w:val="007267BA"/>
    <w:rsid w:val="00727DB0"/>
    <w:rsid w:val="00734F7E"/>
    <w:rsid w:val="00736652"/>
    <w:rsid w:val="00740773"/>
    <w:rsid w:val="0074174C"/>
    <w:rsid w:val="00752E3D"/>
    <w:rsid w:val="00766865"/>
    <w:rsid w:val="0076732C"/>
    <w:rsid w:val="007730FD"/>
    <w:rsid w:val="00773E6C"/>
    <w:rsid w:val="0077733A"/>
    <w:rsid w:val="00781FB1"/>
    <w:rsid w:val="007A675B"/>
    <w:rsid w:val="007B17B8"/>
    <w:rsid w:val="007B4F54"/>
    <w:rsid w:val="007B62C4"/>
    <w:rsid w:val="007D1B6D"/>
    <w:rsid w:val="007D2B1A"/>
    <w:rsid w:val="007E5B70"/>
    <w:rsid w:val="008068E0"/>
    <w:rsid w:val="00807249"/>
    <w:rsid w:val="00813C37"/>
    <w:rsid w:val="0081482A"/>
    <w:rsid w:val="008154B5"/>
    <w:rsid w:val="008173B6"/>
    <w:rsid w:val="0082182B"/>
    <w:rsid w:val="00822CB6"/>
    <w:rsid w:val="00823962"/>
    <w:rsid w:val="008277F2"/>
    <w:rsid w:val="00833E2C"/>
    <w:rsid w:val="00834A93"/>
    <w:rsid w:val="00837738"/>
    <w:rsid w:val="00842E10"/>
    <w:rsid w:val="00843D29"/>
    <w:rsid w:val="00850410"/>
    <w:rsid w:val="00851B05"/>
    <w:rsid w:val="00852719"/>
    <w:rsid w:val="00860115"/>
    <w:rsid w:val="008601E8"/>
    <w:rsid w:val="00870A89"/>
    <w:rsid w:val="00876C34"/>
    <w:rsid w:val="0088783C"/>
    <w:rsid w:val="008A0B24"/>
    <w:rsid w:val="008A341D"/>
    <w:rsid w:val="008A39A2"/>
    <w:rsid w:val="008A6A4D"/>
    <w:rsid w:val="008C4D2A"/>
    <w:rsid w:val="008C701B"/>
    <w:rsid w:val="008D6C92"/>
    <w:rsid w:val="008D7599"/>
    <w:rsid w:val="008E4592"/>
    <w:rsid w:val="009077FE"/>
    <w:rsid w:val="00912852"/>
    <w:rsid w:val="009132B1"/>
    <w:rsid w:val="0091618E"/>
    <w:rsid w:val="00917CF1"/>
    <w:rsid w:val="00917D6F"/>
    <w:rsid w:val="00927387"/>
    <w:rsid w:val="009358A4"/>
    <w:rsid w:val="009370BC"/>
    <w:rsid w:val="00945184"/>
    <w:rsid w:val="00950D2B"/>
    <w:rsid w:val="009510D7"/>
    <w:rsid w:val="0095387F"/>
    <w:rsid w:val="00957022"/>
    <w:rsid w:val="0096278D"/>
    <w:rsid w:val="009648A4"/>
    <w:rsid w:val="0096495B"/>
    <w:rsid w:val="00970580"/>
    <w:rsid w:val="0098739B"/>
    <w:rsid w:val="00987EFB"/>
    <w:rsid w:val="00990A40"/>
    <w:rsid w:val="00990E85"/>
    <w:rsid w:val="009A062C"/>
    <w:rsid w:val="009A0E86"/>
    <w:rsid w:val="009A282C"/>
    <w:rsid w:val="009A3A8D"/>
    <w:rsid w:val="009A3B66"/>
    <w:rsid w:val="009B61E5"/>
    <w:rsid w:val="009D084F"/>
    <w:rsid w:val="009D1A87"/>
    <w:rsid w:val="009D1E89"/>
    <w:rsid w:val="009D28DE"/>
    <w:rsid w:val="009D3B4B"/>
    <w:rsid w:val="009E1648"/>
    <w:rsid w:val="009E5707"/>
    <w:rsid w:val="009E59B1"/>
    <w:rsid w:val="00A13BAE"/>
    <w:rsid w:val="00A17661"/>
    <w:rsid w:val="00A208FC"/>
    <w:rsid w:val="00A216ED"/>
    <w:rsid w:val="00A24B2D"/>
    <w:rsid w:val="00A27698"/>
    <w:rsid w:val="00A3161D"/>
    <w:rsid w:val="00A335A7"/>
    <w:rsid w:val="00A338D0"/>
    <w:rsid w:val="00A3651E"/>
    <w:rsid w:val="00A37B0D"/>
    <w:rsid w:val="00A40966"/>
    <w:rsid w:val="00A46771"/>
    <w:rsid w:val="00A56989"/>
    <w:rsid w:val="00A634EA"/>
    <w:rsid w:val="00A8130A"/>
    <w:rsid w:val="00A815E0"/>
    <w:rsid w:val="00A84CA2"/>
    <w:rsid w:val="00A868FD"/>
    <w:rsid w:val="00A90E15"/>
    <w:rsid w:val="00A921E0"/>
    <w:rsid w:val="00A922F4"/>
    <w:rsid w:val="00A961E7"/>
    <w:rsid w:val="00AA472D"/>
    <w:rsid w:val="00AA53CC"/>
    <w:rsid w:val="00AA5C38"/>
    <w:rsid w:val="00AA764F"/>
    <w:rsid w:val="00AA7A2C"/>
    <w:rsid w:val="00AB029E"/>
    <w:rsid w:val="00AB69A6"/>
    <w:rsid w:val="00AC2D50"/>
    <w:rsid w:val="00AC6FD8"/>
    <w:rsid w:val="00AD4321"/>
    <w:rsid w:val="00AE15FD"/>
    <w:rsid w:val="00AE4D9B"/>
    <w:rsid w:val="00AE5526"/>
    <w:rsid w:val="00AF051B"/>
    <w:rsid w:val="00AF140F"/>
    <w:rsid w:val="00B01578"/>
    <w:rsid w:val="00B04B6C"/>
    <w:rsid w:val="00B0738F"/>
    <w:rsid w:val="00B13D3B"/>
    <w:rsid w:val="00B2091E"/>
    <w:rsid w:val="00B20A9F"/>
    <w:rsid w:val="00B230DB"/>
    <w:rsid w:val="00B26601"/>
    <w:rsid w:val="00B41951"/>
    <w:rsid w:val="00B5232F"/>
    <w:rsid w:val="00B53229"/>
    <w:rsid w:val="00B62480"/>
    <w:rsid w:val="00B81B70"/>
    <w:rsid w:val="00B8766E"/>
    <w:rsid w:val="00B93F4C"/>
    <w:rsid w:val="00BA7587"/>
    <w:rsid w:val="00BB2ECB"/>
    <w:rsid w:val="00BB3BAB"/>
    <w:rsid w:val="00BC0D23"/>
    <w:rsid w:val="00BC0D50"/>
    <w:rsid w:val="00BC2EE1"/>
    <w:rsid w:val="00BD0724"/>
    <w:rsid w:val="00BD2B91"/>
    <w:rsid w:val="00BD5708"/>
    <w:rsid w:val="00BE5521"/>
    <w:rsid w:val="00BF11C4"/>
    <w:rsid w:val="00BF1AF1"/>
    <w:rsid w:val="00BF6C23"/>
    <w:rsid w:val="00C171B6"/>
    <w:rsid w:val="00C22353"/>
    <w:rsid w:val="00C277C8"/>
    <w:rsid w:val="00C325FE"/>
    <w:rsid w:val="00C33E8D"/>
    <w:rsid w:val="00C53263"/>
    <w:rsid w:val="00C5638C"/>
    <w:rsid w:val="00C623B2"/>
    <w:rsid w:val="00C63849"/>
    <w:rsid w:val="00C64250"/>
    <w:rsid w:val="00C6539A"/>
    <w:rsid w:val="00C66E18"/>
    <w:rsid w:val="00C75916"/>
    <w:rsid w:val="00C75F1D"/>
    <w:rsid w:val="00C837DC"/>
    <w:rsid w:val="00C84605"/>
    <w:rsid w:val="00C849E1"/>
    <w:rsid w:val="00C867E8"/>
    <w:rsid w:val="00C95156"/>
    <w:rsid w:val="00C9555A"/>
    <w:rsid w:val="00CA0DC2"/>
    <w:rsid w:val="00CA3DA6"/>
    <w:rsid w:val="00CA5021"/>
    <w:rsid w:val="00CB1AF2"/>
    <w:rsid w:val="00CB35E9"/>
    <w:rsid w:val="00CB47F3"/>
    <w:rsid w:val="00CB5AED"/>
    <w:rsid w:val="00CB68E8"/>
    <w:rsid w:val="00CC7884"/>
    <w:rsid w:val="00CE27D9"/>
    <w:rsid w:val="00CE413F"/>
    <w:rsid w:val="00D04F01"/>
    <w:rsid w:val="00D06354"/>
    <w:rsid w:val="00D06414"/>
    <w:rsid w:val="00D0784D"/>
    <w:rsid w:val="00D24011"/>
    <w:rsid w:val="00D24E5A"/>
    <w:rsid w:val="00D275DF"/>
    <w:rsid w:val="00D300C0"/>
    <w:rsid w:val="00D338E4"/>
    <w:rsid w:val="00D35098"/>
    <w:rsid w:val="00D36441"/>
    <w:rsid w:val="00D44DAC"/>
    <w:rsid w:val="00D51947"/>
    <w:rsid w:val="00D532F0"/>
    <w:rsid w:val="00D538D9"/>
    <w:rsid w:val="00D56E0F"/>
    <w:rsid w:val="00D66441"/>
    <w:rsid w:val="00D71E20"/>
    <w:rsid w:val="00D7598A"/>
    <w:rsid w:val="00D76E10"/>
    <w:rsid w:val="00D76F57"/>
    <w:rsid w:val="00D77413"/>
    <w:rsid w:val="00D82759"/>
    <w:rsid w:val="00D8632E"/>
    <w:rsid w:val="00D86DE4"/>
    <w:rsid w:val="00D923D6"/>
    <w:rsid w:val="00D93671"/>
    <w:rsid w:val="00D9407F"/>
    <w:rsid w:val="00DA56F4"/>
    <w:rsid w:val="00DA6FCD"/>
    <w:rsid w:val="00DA7349"/>
    <w:rsid w:val="00DD0C09"/>
    <w:rsid w:val="00DE1909"/>
    <w:rsid w:val="00DE51DB"/>
    <w:rsid w:val="00DE66E1"/>
    <w:rsid w:val="00DF2719"/>
    <w:rsid w:val="00DF58D7"/>
    <w:rsid w:val="00DF7107"/>
    <w:rsid w:val="00E049F0"/>
    <w:rsid w:val="00E067F3"/>
    <w:rsid w:val="00E20162"/>
    <w:rsid w:val="00E208DF"/>
    <w:rsid w:val="00E21B87"/>
    <w:rsid w:val="00E22285"/>
    <w:rsid w:val="00E23F1D"/>
    <w:rsid w:val="00E247AF"/>
    <w:rsid w:val="00E30E05"/>
    <w:rsid w:val="00E34222"/>
    <w:rsid w:val="00E36361"/>
    <w:rsid w:val="00E40403"/>
    <w:rsid w:val="00E4565D"/>
    <w:rsid w:val="00E45D16"/>
    <w:rsid w:val="00E5382F"/>
    <w:rsid w:val="00E545B1"/>
    <w:rsid w:val="00E55AE9"/>
    <w:rsid w:val="00E600AE"/>
    <w:rsid w:val="00E61660"/>
    <w:rsid w:val="00E668D5"/>
    <w:rsid w:val="00E71100"/>
    <w:rsid w:val="00E7229D"/>
    <w:rsid w:val="00E743EF"/>
    <w:rsid w:val="00E80B40"/>
    <w:rsid w:val="00E83E0A"/>
    <w:rsid w:val="00E946B3"/>
    <w:rsid w:val="00E94CC6"/>
    <w:rsid w:val="00E9534C"/>
    <w:rsid w:val="00EA06EC"/>
    <w:rsid w:val="00EA4A38"/>
    <w:rsid w:val="00EA54FA"/>
    <w:rsid w:val="00EB0C84"/>
    <w:rsid w:val="00EB2938"/>
    <w:rsid w:val="00EB76AB"/>
    <w:rsid w:val="00EC13CB"/>
    <w:rsid w:val="00EC442E"/>
    <w:rsid w:val="00ED01FA"/>
    <w:rsid w:val="00ED2A77"/>
    <w:rsid w:val="00EF7336"/>
    <w:rsid w:val="00F1515C"/>
    <w:rsid w:val="00F17FDE"/>
    <w:rsid w:val="00F27549"/>
    <w:rsid w:val="00F3023F"/>
    <w:rsid w:val="00F37C47"/>
    <w:rsid w:val="00F40D53"/>
    <w:rsid w:val="00F4525C"/>
    <w:rsid w:val="00F50D86"/>
    <w:rsid w:val="00F60CFC"/>
    <w:rsid w:val="00F6235D"/>
    <w:rsid w:val="00F66D53"/>
    <w:rsid w:val="00F67A3E"/>
    <w:rsid w:val="00F7619A"/>
    <w:rsid w:val="00F82D44"/>
    <w:rsid w:val="00F87509"/>
    <w:rsid w:val="00F913B1"/>
    <w:rsid w:val="00F92FEC"/>
    <w:rsid w:val="00F9725E"/>
    <w:rsid w:val="00F9753C"/>
    <w:rsid w:val="00FC35C7"/>
    <w:rsid w:val="00FD18BE"/>
    <w:rsid w:val="00FD29D3"/>
    <w:rsid w:val="00FE3F0B"/>
    <w:rsid w:val="00FE4018"/>
    <w:rsid w:val="00FF3C7C"/>
    <w:rsid w:val="00FF49BB"/>
    <w:rsid w:val="00FF4CA4"/>
    <w:rsid w:val="039E0D61"/>
    <w:rsid w:val="0499F22D"/>
    <w:rsid w:val="0ADD2990"/>
    <w:rsid w:val="12EADDAD"/>
    <w:rsid w:val="16593466"/>
    <w:rsid w:val="187BE339"/>
    <w:rsid w:val="1BF5E710"/>
    <w:rsid w:val="1E853EDD"/>
    <w:rsid w:val="201EF763"/>
    <w:rsid w:val="47063B31"/>
    <w:rsid w:val="542E86A9"/>
    <w:rsid w:val="5FFE2F22"/>
    <w:rsid w:val="63D0BF34"/>
    <w:rsid w:val="670F785A"/>
    <w:rsid w:val="6BAF5761"/>
    <w:rsid w:val="6BC2B2BC"/>
    <w:rsid w:val="710393AF"/>
    <w:rsid w:val="7F66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63768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aliases w:val="MCQ Answer Option"/>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Heading2">
    <w:name w:val="VCAA Heading 2"/>
    <w:next w:val="Normal"/>
    <w:qFormat/>
    <w:rsid w:val="00E22285"/>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E22285"/>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F66D53"/>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F66D53"/>
    <w:pPr>
      <w:keepNext/>
      <w:keepLines/>
      <w:tabs>
        <w:tab w:val="left" w:pos="425"/>
      </w:tabs>
      <w:spacing w:before="60" w:after="60"/>
      <w:ind w:left="425" w:hanging="425"/>
      <w:contextualSpacing/>
    </w:pPr>
    <w:rPr>
      <w:rFonts w:eastAsia="Arial"/>
      <w:color w:val="auto"/>
      <w:kern w:val="22"/>
      <w:lang w:val="en-GB" w:eastAsia="ja-JP"/>
    </w:rPr>
  </w:style>
  <w:style w:type="character" w:customStyle="1" w:styleId="VCAAbodyChar">
    <w:name w:val="VCAA body Char"/>
    <w:basedOn w:val="DefaultParagraphFont"/>
    <w:link w:val="VCAAbody"/>
    <w:rsid w:val="00F66D53"/>
    <w:rPr>
      <w:rFonts w:ascii="Arial" w:hAnsi="Arial" w:cs="Arial"/>
      <w:color w:val="000000" w:themeColor="text1"/>
      <w:sz w:val="20"/>
    </w:rPr>
  </w:style>
  <w:style w:type="character" w:customStyle="1" w:styleId="ListParagraphChar">
    <w:name w:val="List Paragraph Char"/>
    <w:aliases w:val="MCQ Answer Option Char"/>
    <w:link w:val="ListParagraph"/>
    <w:uiPriority w:val="34"/>
    <w:locked/>
    <w:rsid w:val="00F66D53"/>
  </w:style>
  <w:style w:type="character" w:styleId="Emphasis">
    <w:name w:val="Emphasis"/>
    <w:basedOn w:val="DefaultParagraphFont"/>
    <w:uiPriority w:val="20"/>
    <w:qFormat/>
    <w:rsid w:val="006D6D07"/>
    <w:rPr>
      <w:i/>
      <w:iC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15E0"/>
    <w:pPr>
      <w:spacing w:after="0" w:line="240" w:lineRule="auto"/>
    </w:pPr>
  </w:style>
  <w:style w:type="paragraph" w:customStyle="1" w:styleId="VCAAtablecondensed">
    <w:name w:val="VCAA table condensed"/>
    <w:qFormat/>
    <w:rsid w:val="004E7EAA"/>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4E7EAA"/>
    <w:rPr>
      <w:color w:val="FFFFFF" w:themeColor="background1"/>
    </w:rPr>
  </w:style>
  <w:style w:type="paragraph" w:customStyle="1" w:styleId="VCAAnumbers">
    <w:name w:val="VCAA numbers"/>
    <w:basedOn w:val="VCAAbullet"/>
    <w:qFormat/>
    <w:rsid w:val="004E7EAA"/>
    <w:rPr>
      <w:lang w:val="en-US"/>
    </w:rPr>
  </w:style>
  <w:style w:type="paragraph" w:customStyle="1" w:styleId="VCAAtablecondensedbullet">
    <w:name w:val="VCAA table condensed bullet"/>
    <w:basedOn w:val="Normal"/>
    <w:qFormat/>
    <w:rsid w:val="004E7EAA"/>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table" w:customStyle="1" w:styleId="VCAATableClosed">
    <w:name w:val="VCAA Table Closed"/>
    <w:basedOn w:val="TableNormal"/>
    <w:uiPriority w:val="99"/>
    <w:rsid w:val="004E7EAA"/>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Studentsamples">
    <w:name w:val="Student samples"/>
    <w:basedOn w:val="BodyText"/>
    <w:qFormat/>
    <w:rsid w:val="00CA5021"/>
    <w:pPr>
      <w:ind w:left="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C0489"/>
    <w:rsid w:val="002B111C"/>
    <w:rsid w:val="00323BF8"/>
    <w:rsid w:val="003B20DA"/>
    <w:rsid w:val="003E17FE"/>
    <w:rsid w:val="00425F90"/>
    <w:rsid w:val="004900A2"/>
    <w:rsid w:val="004F5C2A"/>
    <w:rsid w:val="005965D7"/>
    <w:rsid w:val="00615047"/>
    <w:rsid w:val="0074174C"/>
    <w:rsid w:val="007F3E66"/>
    <w:rsid w:val="009325D2"/>
    <w:rsid w:val="00947BE6"/>
    <w:rsid w:val="009D084F"/>
    <w:rsid w:val="00C867E8"/>
    <w:rsid w:val="00E5382F"/>
    <w:rsid w:val="00E71100"/>
    <w:rsid w:val="00E770BD"/>
    <w:rsid w:val="00ED01FA"/>
    <w:rsid w:val="00F05983"/>
    <w:rsid w:val="00F97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f77e68f7-c052-4667-a1a6-124cfe860c79"/>
    <ds:schemaRef ds:uri="http://schemas.microsoft.com/office/infopath/2007/PartnerControls"/>
    <ds:schemaRef ds:uri="91390586-87fb-46cf-92ab-e8c7138719eb"/>
    <ds:schemaRef ds:uri="http://www.w3.org/XML/1998/namespace"/>
    <ds:schemaRef ds:uri="http://purl.org/dc/dcmitype/"/>
    <ds:schemaRef ds:uri="5e91c720-40cf-4a29-a59b-798f72d42987"/>
    <ds:schemaRef ds:uri="e9ccb2cb-7aa8-4bc9-a094-f008dabcc21d"/>
  </ds:schemaRefs>
</ds:datastoreItem>
</file>

<file path=customXml/itemProps3.xml><?xml version="1.0" encoding="utf-8"?>
<ds:datastoreItem xmlns:ds="http://schemas.openxmlformats.org/officeDocument/2006/customXml" ds:itemID="{D40E472F-95FC-4271-ADB4-1889F84F8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11101</Words>
  <Characters>60279</Characters>
  <Application>Microsoft Office Word</Application>
  <DocSecurity>0</DocSecurity>
  <Lines>1095</Lines>
  <Paragraphs>575</Paragraphs>
  <ScaleCrop>false</ScaleCrop>
  <HeadingPairs>
    <vt:vector size="2" baseType="variant">
      <vt:variant>
        <vt:lpstr>Title</vt:lpstr>
      </vt:variant>
      <vt:variant>
        <vt:i4>1</vt:i4>
      </vt:variant>
    </vt:vector>
  </HeadingPairs>
  <TitlesOfParts>
    <vt:vector size="1" baseType="lpstr">
      <vt:lpstr>2025 VCE Australian History external assessment report</vt:lpstr>
    </vt:vector>
  </TitlesOfParts>
  <Manager/>
  <Company/>
  <LinksUpToDate>false</LinksUpToDate>
  <CharactersWithSpaces>70805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Australian History external assessment report</dc:title>
  <dc:subject/>
  <dc:creator/>
  <cp:keywords/>
  <dc:description/>
  <cp:lastModifiedBy/>
  <cp:revision>3</cp:revision>
  <cp:lastPrinted>2026-01-01T05:40:00Z</cp:lastPrinted>
  <dcterms:created xsi:type="dcterms:W3CDTF">2026-01-29T20:53:00Z</dcterms:created>
  <dcterms:modified xsi:type="dcterms:W3CDTF">2026-01-29T20:59:00Z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