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42896760" w:rsidR="00F4525C" w:rsidRPr="00870A89" w:rsidRDefault="00DF7107" w:rsidP="00E7229D">
      <w:pPr>
        <w:pStyle w:val="Title"/>
      </w:pPr>
      <w:r>
        <w:t xml:space="preserve">2025 VCE </w:t>
      </w:r>
      <w:r w:rsidR="00945034">
        <w:t>English Language</w:t>
      </w:r>
      <w:r>
        <w:t xml:space="preserve"> external assessment report</w:t>
      </w:r>
    </w:p>
    <w:p w14:paraId="74AB6926" w14:textId="06959142" w:rsidR="005C5641" w:rsidRDefault="005C5641" w:rsidP="00DF7107">
      <w:pPr>
        <w:pStyle w:val="BodyText"/>
      </w:pPr>
      <w:bookmarkStart w:id="0" w:name="TemplateOverview"/>
      <w:bookmarkStart w:id="1" w:name="_Hlk221179563"/>
      <w:bookmarkEnd w:id="0"/>
      <w:r>
        <w:t xml:space="preserve">Student responses reproduced in this report have not been corrected for grammar, spelling or </w:t>
      </w:r>
      <w:proofErr w:type="gramStart"/>
      <w:r>
        <w:t>factual information</w:t>
      </w:r>
      <w:proofErr w:type="gramEnd"/>
      <w:r>
        <w:t>.</w:t>
      </w:r>
    </w:p>
    <w:bookmarkEnd w:id="1"/>
    <w:p w14:paraId="59D26C60" w14:textId="31BE82C4" w:rsidR="00DF7107" w:rsidRDefault="00DF7107" w:rsidP="00DF7107">
      <w:pPr>
        <w:pStyle w:val="BodyText"/>
      </w:pPr>
      <w:r>
        <w:t>This report provides sample answers</w:t>
      </w:r>
      <w:r w:rsidR="005C5641">
        <w:t>,</w:t>
      </w:r>
      <w:r>
        <w:t xml:space="preserve"> or an indication of what answers may have</w:t>
      </w:r>
      <w:r w:rsidR="005C5641">
        <w:t xml:space="preserve"> been</w:t>
      </w:r>
      <w:r>
        <w:t xml:space="preserve"> included. Unless otherwise stated, these are not intended to be exemplary or complete responses.</w:t>
      </w:r>
      <w:r>
        <w:rPr>
          <w:highlight w:val="lightGray"/>
        </w:rPr>
        <w:t xml:space="preserve"> </w:t>
      </w:r>
    </w:p>
    <w:p w14:paraId="78948898" w14:textId="680DA85A" w:rsidR="00DF7107" w:rsidRDefault="00DF7107" w:rsidP="00DF7107">
      <w:pPr>
        <w:pStyle w:val="BodyText"/>
      </w:pPr>
      <w:r>
        <w:t>The statistics in this report may be subject to rounding</w:t>
      </w:r>
      <w:r w:rsidR="005C5641">
        <w:t>,</w:t>
      </w:r>
      <w:r>
        <w:t xml:space="preserve"> resulting in a total more or less than 100 per cent.</w:t>
      </w:r>
    </w:p>
    <w:p w14:paraId="58A8945D" w14:textId="67A4C0A9" w:rsidR="00467E0D" w:rsidRPr="00C25F6E" w:rsidRDefault="00467E0D" w:rsidP="0088613A">
      <w:pPr>
        <w:pStyle w:val="Heading1"/>
      </w:pPr>
      <w:r w:rsidRPr="00C25F6E">
        <w:t xml:space="preserve">Section A: </w:t>
      </w:r>
      <w:r w:rsidR="00945034">
        <w:t>Short answer questions</w:t>
      </w:r>
    </w:p>
    <w:p w14:paraId="09AC53F0" w14:textId="77777777" w:rsidR="00945034" w:rsidRPr="00515D1A" w:rsidRDefault="00945034" w:rsidP="0088613A">
      <w:pPr>
        <w:pStyle w:val="Heading2"/>
        <w:rPr>
          <w:lang w:eastAsia="ja-JP"/>
        </w:rPr>
      </w:pPr>
      <w:r w:rsidRPr="00515D1A">
        <w:t>Text</w:t>
      </w:r>
      <w:r w:rsidRPr="00515D1A">
        <w:rPr>
          <w:lang w:eastAsia="ja-JP"/>
        </w:rPr>
        <w:t xml:space="preserve"> 1</w:t>
      </w:r>
    </w:p>
    <w:p w14:paraId="331CD0FD" w14:textId="3C0D36B2" w:rsidR="00945034" w:rsidRDefault="00945034" w:rsidP="003F3169">
      <w:pPr>
        <w:pStyle w:val="BodyText"/>
      </w:pPr>
      <w:r>
        <w:t>For</w:t>
      </w:r>
      <w:r w:rsidRPr="00515D1A">
        <w:t xml:space="preserve"> Text 1, </w:t>
      </w:r>
      <w:r w:rsidR="00E11C54">
        <w:t xml:space="preserve">responses needed </w:t>
      </w:r>
      <w:r w:rsidR="00B04BF8">
        <w:t xml:space="preserve">to consider the language features of an email written to </w:t>
      </w:r>
      <w:r w:rsidR="00477988">
        <w:t xml:space="preserve">Hilary, </w:t>
      </w:r>
      <w:r w:rsidR="00B04BF8">
        <w:t>a customer of frank green</w:t>
      </w:r>
      <w:r w:rsidR="00477988">
        <w:t xml:space="preserve"> (</w:t>
      </w:r>
      <w:r w:rsidR="00B04BF8">
        <w:t xml:space="preserve">an Australian </w:t>
      </w:r>
      <w:r w:rsidR="00574B93">
        <w:t xml:space="preserve">company that makes </w:t>
      </w:r>
      <w:r w:rsidR="00B04BF8">
        <w:t>reusable cup</w:t>
      </w:r>
      <w:r w:rsidR="00574B93">
        <w:t>s</w:t>
      </w:r>
      <w:r w:rsidR="00B04BF8">
        <w:t xml:space="preserve"> and bottle</w:t>
      </w:r>
      <w:r w:rsidR="00574B93">
        <w:t>s</w:t>
      </w:r>
      <w:r w:rsidR="00477988">
        <w:t>)</w:t>
      </w:r>
      <w:r w:rsidR="00B04BF8">
        <w:t>.</w:t>
      </w:r>
    </w:p>
    <w:p w14:paraId="1B2AB326" w14:textId="15C28316" w:rsidR="00945034" w:rsidRPr="00515D1A" w:rsidRDefault="00945034" w:rsidP="0088613A">
      <w:pPr>
        <w:pStyle w:val="Heading3"/>
      </w:pPr>
      <w:r w:rsidRPr="00515D1A">
        <w:t>Question 1</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9444E5" w:rsidRPr="00515D1A" w14:paraId="2AB50DA2" w14:textId="77777777" w:rsidTr="00D424F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0276E9A" w14:textId="77777777" w:rsidR="009444E5" w:rsidRPr="00515D1A" w:rsidRDefault="009444E5" w:rsidP="00244860">
            <w:pPr>
              <w:pStyle w:val="Tablecondensedheading"/>
              <w:rPr>
                <w:lang w:val="en-AU"/>
              </w:rPr>
            </w:pPr>
            <w:bookmarkStart w:id="2" w:name="_Hlk38131941"/>
            <w:r w:rsidRPr="00515D1A">
              <w:rPr>
                <w:lang w:val="en-AU"/>
              </w:rPr>
              <w:t>Marks</w:t>
            </w:r>
          </w:p>
        </w:tc>
        <w:tc>
          <w:tcPr>
            <w:tcW w:w="907" w:type="dxa"/>
          </w:tcPr>
          <w:p w14:paraId="13CAF3D2" w14:textId="77777777" w:rsidR="009444E5" w:rsidRPr="00515D1A" w:rsidRDefault="009444E5" w:rsidP="00244860">
            <w:pPr>
              <w:pStyle w:val="Tablecondensedheading"/>
              <w:rPr>
                <w:lang w:val="en-AU"/>
              </w:rPr>
            </w:pPr>
            <w:r w:rsidRPr="00515D1A">
              <w:rPr>
                <w:lang w:val="en-AU"/>
              </w:rPr>
              <w:t>0</w:t>
            </w:r>
          </w:p>
        </w:tc>
        <w:tc>
          <w:tcPr>
            <w:tcW w:w="907" w:type="dxa"/>
          </w:tcPr>
          <w:p w14:paraId="6BF88C03" w14:textId="77777777" w:rsidR="009444E5" w:rsidRPr="00515D1A" w:rsidRDefault="009444E5" w:rsidP="00244860">
            <w:pPr>
              <w:pStyle w:val="Tablecondensedheading"/>
              <w:rPr>
                <w:lang w:val="en-AU"/>
              </w:rPr>
            </w:pPr>
            <w:r w:rsidRPr="00515D1A">
              <w:rPr>
                <w:lang w:val="en-AU"/>
              </w:rPr>
              <w:t>1</w:t>
            </w:r>
          </w:p>
        </w:tc>
        <w:tc>
          <w:tcPr>
            <w:tcW w:w="1085" w:type="dxa"/>
          </w:tcPr>
          <w:p w14:paraId="39204F4B" w14:textId="77777777" w:rsidR="009444E5" w:rsidRPr="00515D1A" w:rsidRDefault="009444E5" w:rsidP="00244860">
            <w:pPr>
              <w:pStyle w:val="Tablecondensedheading"/>
              <w:rPr>
                <w:lang w:val="en-AU"/>
              </w:rPr>
            </w:pPr>
            <w:r w:rsidRPr="00515D1A">
              <w:rPr>
                <w:lang w:val="en-AU"/>
              </w:rPr>
              <w:t>2</w:t>
            </w:r>
          </w:p>
        </w:tc>
        <w:tc>
          <w:tcPr>
            <w:tcW w:w="1085" w:type="dxa"/>
          </w:tcPr>
          <w:p w14:paraId="718CE960" w14:textId="5146068B" w:rsidR="009444E5" w:rsidRPr="00515D1A" w:rsidRDefault="009444E5" w:rsidP="00244860">
            <w:pPr>
              <w:pStyle w:val="Tablecondensedheading"/>
              <w:rPr>
                <w:lang w:val="en-AU"/>
              </w:rPr>
            </w:pPr>
            <w:r>
              <w:rPr>
                <w:lang w:val="en-AU"/>
              </w:rPr>
              <w:t>3</w:t>
            </w:r>
          </w:p>
        </w:tc>
        <w:tc>
          <w:tcPr>
            <w:tcW w:w="1085" w:type="dxa"/>
          </w:tcPr>
          <w:p w14:paraId="278EC1FF" w14:textId="02682CD7" w:rsidR="009444E5" w:rsidRPr="00515D1A" w:rsidRDefault="009444E5" w:rsidP="00244860">
            <w:pPr>
              <w:pStyle w:val="Tablecondensedheading"/>
              <w:rPr>
                <w:lang w:val="en-AU"/>
              </w:rPr>
            </w:pPr>
            <w:r w:rsidRPr="00515D1A">
              <w:rPr>
                <w:lang w:val="en-AU"/>
              </w:rPr>
              <w:t>Average</w:t>
            </w:r>
          </w:p>
        </w:tc>
      </w:tr>
      <w:tr w:rsidR="009444E5" w:rsidRPr="00515D1A" w14:paraId="0F6C5743" w14:textId="77777777" w:rsidTr="00D424F5">
        <w:trPr>
          <w:trHeight w:hRule="exact" w:val="397"/>
        </w:trPr>
        <w:tc>
          <w:tcPr>
            <w:tcW w:w="907" w:type="dxa"/>
          </w:tcPr>
          <w:p w14:paraId="7ED8C9F4" w14:textId="77777777" w:rsidR="009444E5" w:rsidRPr="00515D1A" w:rsidRDefault="009444E5" w:rsidP="00CB3416">
            <w:pPr>
              <w:pStyle w:val="Tablecondensed"/>
              <w:rPr>
                <w:lang w:val="en-AU"/>
              </w:rPr>
            </w:pPr>
            <w:r w:rsidRPr="00515D1A">
              <w:rPr>
                <w:lang w:val="en-AU"/>
              </w:rPr>
              <w:t>%</w:t>
            </w:r>
          </w:p>
        </w:tc>
        <w:tc>
          <w:tcPr>
            <w:tcW w:w="907" w:type="dxa"/>
          </w:tcPr>
          <w:p w14:paraId="5DC88821" w14:textId="2EC8A60B" w:rsidR="009444E5" w:rsidRPr="00515D1A" w:rsidRDefault="00E4321B" w:rsidP="00CB3416">
            <w:pPr>
              <w:pStyle w:val="Tablecondensed"/>
              <w:rPr>
                <w:lang w:val="en-AU"/>
              </w:rPr>
            </w:pPr>
            <w:r>
              <w:rPr>
                <w:lang w:val="en-AU"/>
              </w:rPr>
              <w:t>26</w:t>
            </w:r>
          </w:p>
        </w:tc>
        <w:tc>
          <w:tcPr>
            <w:tcW w:w="907" w:type="dxa"/>
          </w:tcPr>
          <w:p w14:paraId="711B48CE" w14:textId="6296BE66" w:rsidR="009444E5" w:rsidRPr="00515D1A" w:rsidRDefault="00E4321B" w:rsidP="00CB3416">
            <w:pPr>
              <w:pStyle w:val="Tablecondensed"/>
              <w:rPr>
                <w:lang w:val="en-AU"/>
              </w:rPr>
            </w:pPr>
            <w:r>
              <w:rPr>
                <w:lang w:val="en-AU"/>
              </w:rPr>
              <w:t>4</w:t>
            </w:r>
          </w:p>
        </w:tc>
        <w:tc>
          <w:tcPr>
            <w:tcW w:w="1085" w:type="dxa"/>
          </w:tcPr>
          <w:p w14:paraId="3EC4F97A" w14:textId="1833F26C" w:rsidR="009444E5" w:rsidRPr="00515D1A" w:rsidRDefault="00E4321B" w:rsidP="00CB3416">
            <w:pPr>
              <w:pStyle w:val="Tablecondensed"/>
              <w:rPr>
                <w:bCs/>
                <w:lang w:val="en-AU"/>
              </w:rPr>
            </w:pPr>
            <w:r>
              <w:rPr>
                <w:bCs/>
                <w:lang w:val="en-AU"/>
              </w:rPr>
              <w:t>22</w:t>
            </w:r>
          </w:p>
        </w:tc>
        <w:tc>
          <w:tcPr>
            <w:tcW w:w="1085" w:type="dxa"/>
          </w:tcPr>
          <w:p w14:paraId="0C346652" w14:textId="2A962666" w:rsidR="009444E5" w:rsidRPr="00515D1A" w:rsidRDefault="00E4321B" w:rsidP="00CB3416">
            <w:pPr>
              <w:pStyle w:val="Tablecondensed"/>
              <w:rPr>
                <w:lang w:val="en-AU"/>
              </w:rPr>
            </w:pPr>
            <w:r>
              <w:rPr>
                <w:lang w:val="en-AU"/>
              </w:rPr>
              <w:t>48</w:t>
            </w:r>
          </w:p>
        </w:tc>
        <w:tc>
          <w:tcPr>
            <w:tcW w:w="1085" w:type="dxa"/>
          </w:tcPr>
          <w:p w14:paraId="25A393DD" w14:textId="5FCB5C3B" w:rsidR="009444E5" w:rsidRPr="00515D1A" w:rsidRDefault="00E4321B" w:rsidP="00CB3416">
            <w:pPr>
              <w:pStyle w:val="Tablecondensed"/>
              <w:rPr>
                <w:lang w:val="en-AU"/>
              </w:rPr>
            </w:pPr>
            <w:r>
              <w:rPr>
                <w:lang w:val="en-AU"/>
              </w:rPr>
              <w:t>1.9</w:t>
            </w:r>
          </w:p>
        </w:tc>
      </w:tr>
    </w:tbl>
    <w:bookmarkEnd w:id="2"/>
    <w:p w14:paraId="46274632" w14:textId="61F821F4" w:rsidR="00FA203B" w:rsidRDefault="0092516E" w:rsidP="003F3169">
      <w:pPr>
        <w:pStyle w:val="BodyText"/>
      </w:pPr>
      <w:r>
        <w:t>Question 1 r</w:t>
      </w:r>
      <w:r w:rsidR="00E11C54">
        <w:t>esponses needed to include an example of</w:t>
      </w:r>
      <w:r w:rsidR="00FA203B">
        <w:t xml:space="preserve"> one of the modal verbs within the line range and </w:t>
      </w:r>
      <w:r w:rsidR="00E11C54">
        <w:t xml:space="preserve">demonstrate a </w:t>
      </w:r>
      <w:r w:rsidR="00FA203B">
        <w:t xml:space="preserve">link </w:t>
      </w:r>
      <w:r w:rsidR="00E11C54">
        <w:t xml:space="preserve">between </w:t>
      </w:r>
      <w:r w:rsidR="00FA203B">
        <w:t xml:space="preserve">that modal verb </w:t>
      </w:r>
      <w:r w:rsidR="00E11C54">
        <w:t>and</w:t>
      </w:r>
      <w:r w:rsidR="00FA203B">
        <w:t xml:space="preserve"> </w:t>
      </w:r>
      <w:r w:rsidR="00FA203B" w:rsidRPr="006E6207">
        <w:rPr>
          <w:rStyle w:val="EmphasisBold"/>
        </w:rPr>
        <w:t>either</w:t>
      </w:r>
      <w:r w:rsidR="00FA203B">
        <w:t xml:space="preserve"> a purpose referred to in </w:t>
      </w:r>
      <w:r w:rsidR="00FA203B" w:rsidRPr="00FA203B">
        <w:t>the study design, such as reducing social distance</w:t>
      </w:r>
      <w:r w:rsidR="00A27807">
        <w:t xml:space="preserve"> or</w:t>
      </w:r>
      <w:r w:rsidR="00FA203B" w:rsidRPr="00FA203B">
        <w:t xml:space="preserve"> attending to face needs, </w:t>
      </w:r>
      <w:r w:rsidR="00FA203B" w:rsidRPr="006E6207">
        <w:rPr>
          <w:rStyle w:val="EmphasisBold"/>
        </w:rPr>
        <w:t>or</w:t>
      </w:r>
      <w:r w:rsidR="00FA203B" w:rsidRPr="00FA203B">
        <w:t xml:space="preserve"> </w:t>
      </w:r>
      <w:r w:rsidR="00FA203B">
        <w:t xml:space="preserve">a </w:t>
      </w:r>
      <w:r w:rsidR="00FA203B" w:rsidRPr="00FA203B">
        <w:t>more specific purpose according to the text</w:t>
      </w:r>
      <w:r w:rsidR="00FA203B">
        <w:t xml:space="preserve"> and its context</w:t>
      </w:r>
      <w:r w:rsidR="00FA203B" w:rsidRPr="00FA203B">
        <w:t xml:space="preserve">. Both approaches </w:t>
      </w:r>
      <w:r w:rsidR="00FA203B">
        <w:t>were</w:t>
      </w:r>
      <w:r w:rsidR="00FA203B" w:rsidRPr="00FA203B">
        <w:t xml:space="preserve"> rewarded</w:t>
      </w:r>
      <w:r w:rsidR="00A27807">
        <w:t>,</w:t>
      </w:r>
      <w:r w:rsidR="00FA203B" w:rsidRPr="00FA203B">
        <w:t xml:space="preserve"> </w:t>
      </w:r>
      <w:proofErr w:type="gramStart"/>
      <w:r w:rsidR="00FA203B" w:rsidRPr="00FA203B">
        <w:t>as long as</w:t>
      </w:r>
      <w:proofErr w:type="gramEnd"/>
      <w:r w:rsidR="00FA203B" w:rsidRPr="00FA203B">
        <w:t xml:space="preserve"> the discussion of the purpose engage</w:t>
      </w:r>
      <w:r w:rsidR="00FA203B">
        <w:t>d</w:t>
      </w:r>
      <w:r w:rsidR="00FA203B" w:rsidRPr="00FA203B">
        <w:t xml:space="preserve"> with the text. </w:t>
      </w:r>
    </w:p>
    <w:p w14:paraId="18AE70B2" w14:textId="5D092DA9" w:rsidR="00E143B1" w:rsidRDefault="00E143B1" w:rsidP="003F3169">
      <w:pPr>
        <w:pStyle w:val="BodyText"/>
      </w:pPr>
      <w:r>
        <w:t>Students should spend</w:t>
      </w:r>
      <w:r w:rsidR="007A2C74">
        <w:t xml:space="preserve"> time revising modal verbs </w:t>
      </w:r>
      <w:r>
        <w:t>as many</w:t>
      </w:r>
      <w:r w:rsidR="007A2C74">
        <w:t xml:space="preserve"> responses </w:t>
      </w:r>
      <w:r>
        <w:t xml:space="preserve">did not </w:t>
      </w:r>
      <w:r w:rsidR="0092516E">
        <w:t xml:space="preserve">select </w:t>
      </w:r>
      <w:r>
        <w:t>one a</w:t>
      </w:r>
      <w:r w:rsidR="007A2C74">
        <w:t>ccurately. Acceptable modal verbs within the line range were</w:t>
      </w:r>
      <w:r>
        <w:t>:</w:t>
      </w:r>
    </w:p>
    <w:p w14:paraId="687CEAD0" w14:textId="226EF539" w:rsidR="00E143B1" w:rsidRDefault="00344DDE" w:rsidP="006E6207">
      <w:pPr>
        <w:pStyle w:val="Bullet"/>
      </w:pPr>
      <w:r>
        <w:t>‘</w:t>
      </w:r>
      <w:r w:rsidR="007A2C74">
        <w:t>will</w:t>
      </w:r>
      <w:r>
        <w:t>’</w:t>
      </w:r>
      <w:r w:rsidR="007A2C74">
        <w:t xml:space="preserve"> (32)</w:t>
      </w:r>
    </w:p>
    <w:p w14:paraId="4CE9360A" w14:textId="15C24029" w:rsidR="00E143B1" w:rsidRDefault="007A2C74" w:rsidP="006E6207">
      <w:pPr>
        <w:pStyle w:val="Bullet"/>
      </w:pPr>
      <w:r>
        <w:t>‘</w:t>
      </w:r>
      <w:r w:rsidR="00903D76">
        <w:t>(</w:t>
      </w:r>
      <w:proofErr w:type="spellStart"/>
      <w:r>
        <w:t>wi</w:t>
      </w:r>
      <w:proofErr w:type="spellEnd"/>
      <w:r w:rsidR="00903D76">
        <w:t>)</w:t>
      </w:r>
      <w:proofErr w:type="spellStart"/>
      <w:r>
        <w:t>ll</w:t>
      </w:r>
      <w:proofErr w:type="spellEnd"/>
      <w:r>
        <w:t>’ (33)</w:t>
      </w:r>
      <w:r w:rsidR="00903D76">
        <w:t xml:space="preserve"> as a contracted form</w:t>
      </w:r>
    </w:p>
    <w:p w14:paraId="4C01CE6A" w14:textId="58241E10" w:rsidR="00E143B1" w:rsidRDefault="00344DDE" w:rsidP="006E6207">
      <w:pPr>
        <w:pStyle w:val="Bullet"/>
      </w:pPr>
      <w:r>
        <w:t>‘</w:t>
      </w:r>
      <w:proofErr w:type="gramStart"/>
      <w:r w:rsidR="007A2C74">
        <w:t>could</w:t>
      </w:r>
      <w:proofErr w:type="gramEnd"/>
      <w:r w:rsidR="007A2C74">
        <w:t>(</w:t>
      </w:r>
      <w:proofErr w:type="spellStart"/>
      <w:r w:rsidR="007A2C74">
        <w:t>n’t</w:t>
      </w:r>
      <w:proofErr w:type="spellEnd"/>
      <w:r w:rsidR="007A2C74">
        <w:t>)</w:t>
      </w:r>
      <w:r>
        <w:t>’</w:t>
      </w:r>
      <w:r w:rsidR="007A2C74">
        <w:t xml:space="preserve"> (37)</w:t>
      </w:r>
    </w:p>
    <w:p w14:paraId="74AC80AD" w14:textId="7CA23C5A" w:rsidR="007A2C74" w:rsidRDefault="007A2C74" w:rsidP="006E6207">
      <w:pPr>
        <w:pStyle w:val="Bullet"/>
      </w:pPr>
      <w:r>
        <w:t xml:space="preserve">the quasi-modal </w:t>
      </w:r>
      <w:r w:rsidR="00344DDE">
        <w:t>‘</w:t>
      </w:r>
      <w:r>
        <w:t>going to</w:t>
      </w:r>
      <w:r w:rsidR="00344DDE">
        <w:t>’</w:t>
      </w:r>
      <w:r>
        <w:t xml:space="preserve"> (34). </w:t>
      </w:r>
    </w:p>
    <w:p w14:paraId="6187D820" w14:textId="46E0BCF1" w:rsidR="00FA203B" w:rsidRDefault="00016021" w:rsidP="003F3169">
      <w:pPr>
        <w:pStyle w:val="BodyText"/>
      </w:pPr>
      <w:r>
        <w:t xml:space="preserve">Most responses that </w:t>
      </w:r>
      <w:r w:rsidR="007A2C74">
        <w:t>accurately select</w:t>
      </w:r>
      <w:r w:rsidR="006E6FF9">
        <w:t xml:space="preserve">ed </w:t>
      </w:r>
      <w:r w:rsidR="007A2C74">
        <w:t>a modal verb were also able to refer to a valid purpose</w:t>
      </w:r>
      <w:r w:rsidR="00FA203B">
        <w:t xml:space="preserve">. </w:t>
      </w:r>
      <w:r w:rsidR="003E468C">
        <w:t>Higher</w:t>
      </w:r>
      <w:r w:rsidR="00E143B1">
        <w:t>-</w:t>
      </w:r>
      <w:r w:rsidR="003E468C">
        <w:t xml:space="preserve">scoring responses discussed specifically </w:t>
      </w:r>
      <w:r w:rsidR="00FA203B">
        <w:t xml:space="preserve">how the selected modal verb helped to achieve that purpose. </w:t>
      </w:r>
    </w:p>
    <w:p w14:paraId="7A3646FC" w14:textId="77777777" w:rsidR="0011385E" w:rsidRPr="00C543FB" w:rsidRDefault="0011385E" w:rsidP="00DF66BA">
      <w:r w:rsidRPr="002C6A59">
        <w:br w:type="page"/>
      </w:r>
    </w:p>
    <w:p w14:paraId="0E643EDE" w14:textId="691232DD" w:rsidR="00FD1E76" w:rsidRDefault="00FD1E76" w:rsidP="003F3169">
      <w:pPr>
        <w:pStyle w:val="BodyText"/>
      </w:pPr>
      <w:r>
        <w:lastRenderedPageBreak/>
        <w:t>The following is an example of a high-scoring response.</w:t>
      </w:r>
    </w:p>
    <w:tbl>
      <w:tblPr>
        <w:tblStyle w:val="TableGrid"/>
        <w:tblW w:w="0" w:type="auto"/>
        <w:tblInd w:w="720" w:type="dxa"/>
        <w:tblLook w:val="04A0" w:firstRow="1" w:lastRow="0" w:firstColumn="1" w:lastColumn="0" w:noHBand="0" w:noVBand="1"/>
      </w:tblPr>
      <w:tblGrid>
        <w:gridCol w:w="5371"/>
        <w:gridCol w:w="3538"/>
      </w:tblGrid>
      <w:tr w:rsidR="00C33E65" w:rsidRPr="00D01329" w14:paraId="6E367DE0" w14:textId="77777777" w:rsidTr="006E6FF9">
        <w:tc>
          <w:tcPr>
            <w:tcW w:w="5371" w:type="dxa"/>
            <w:tcBorders>
              <w:bottom w:val="single" w:sz="4" w:space="0" w:color="auto"/>
            </w:tcBorders>
          </w:tcPr>
          <w:p w14:paraId="2A1FFDA2" w14:textId="77777777" w:rsidR="00C33E65" w:rsidRPr="00C25F6E" w:rsidRDefault="00C33E65" w:rsidP="00074015">
            <w:pPr>
              <w:pStyle w:val="Tableheading"/>
              <w:rPr>
                <w:i/>
              </w:rPr>
            </w:pPr>
            <w:r w:rsidRPr="00C25F6E">
              <w:t>Student sample</w:t>
            </w:r>
          </w:p>
        </w:tc>
        <w:tc>
          <w:tcPr>
            <w:tcW w:w="3538" w:type="dxa"/>
            <w:tcBorders>
              <w:bottom w:val="single" w:sz="4" w:space="0" w:color="auto"/>
            </w:tcBorders>
          </w:tcPr>
          <w:p w14:paraId="2852092B" w14:textId="77777777" w:rsidR="00C33E65" w:rsidRPr="00C25F6E" w:rsidRDefault="00C33E65" w:rsidP="00074015">
            <w:pPr>
              <w:pStyle w:val="Tableheading"/>
              <w:rPr>
                <w:i/>
              </w:rPr>
            </w:pPr>
            <w:r w:rsidRPr="00C25F6E">
              <w:t>Annotations</w:t>
            </w:r>
          </w:p>
        </w:tc>
      </w:tr>
      <w:tr w:rsidR="00C33E65" w14:paraId="05744B5D" w14:textId="77777777" w:rsidTr="006E6FF9">
        <w:tc>
          <w:tcPr>
            <w:tcW w:w="5371" w:type="dxa"/>
            <w:tcBorders>
              <w:bottom w:val="nil"/>
            </w:tcBorders>
          </w:tcPr>
          <w:p w14:paraId="3B87F09D" w14:textId="31F48808" w:rsidR="00DD371D" w:rsidRPr="00DD371D" w:rsidRDefault="00C33E65" w:rsidP="000003F7">
            <w:pPr>
              <w:pStyle w:val="Studentresponse"/>
            </w:pPr>
            <w:r w:rsidRPr="00DD371D">
              <w:t>The text achieves the purpose of building rapport for Frank Green with the use of the modal verb “will” (32) in “We will continue our commitment</w:t>
            </w:r>
            <w:r w:rsidR="00E143B1">
              <w:t xml:space="preserve"> </w:t>
            </w:r>
            <w:r w:rsidRPr="00DD371D">
              <w:t xml:space="preserve">…” (32). </w:t>
            </w:r>
          </w:p>
        </w:tc>
        <w:tc>
          <w:tcPr>
            <w:tcW w:w="3538" w:type="dxa"/>
            <w:tcBorders>
              <w:bottom w:val="nil"/>
            </w:tcBorders>
          </w:tcPr>
          <w:p w14:paraId="692682C9" w14:textId="277FB26E" w:rsidR="00C33E65" w:rsidRPr="00DD371D" w:rsidRDefault="00DD371D" w:rsidP="006E6207">
            <w:pPr>
              <w:pStyle w:val="BodyText"/>
              <w:rPr>
                <w:bCs/>
                <w:iCs/>
                <w:highlight w:val="lightGray"/>
              </w:rPr>
            </w:pPr>
            <w:r w:rsidRPr="00DD371D">
              <w:rPr>
                <w:bCs/>
                <w:iCs/>
              </w:rPr>
              <w:t>An accurate modal verb was selected directly after referring to a valid purpose</w:t>
            </w:r>
            <w:r w:rsidR="00E143B1">
              <w:rPr>
                <w:bCs/>
                <w:iCs/>
              </w:rPr>
              <w:t>.</w:t>
            </w:r>
          </w:p>
        </w:tc>
      </w:tr>
      <w:tr w:rsidR="00C33E65" w14:paraId="2AFC8C34" w14:textId="77777777" w:rsidTr="006E6FF9">
        <w:tc>
          <w:tcPr>
            <w:tcW w:w="5371" w:type="dxa"/>
            <w:tcBorders>
              <w:top w:val="nil"/>
            </w:tcBorders>
          </w:tcPr>
          <w:p w14:paraId="597BE94E" w14:textId="5AAD40D0" w:rsidR="00C33E65" w:rsidRPr="00D01329" w:rsidRDefault="00DD371D" w:rsidP="000003F7">
            <w:pPr>
              <w:pStyle w:val="Studentresponse"/>
              <w:rPr>
                <w:i/>
              </w:rPr>
            </w:pPr>
            <w:r w:rsidRPr="00C33E65">
              <w:t>The high modality of this verb implies that Frank Green’s commitment to satisfying their customers is a guarantee, allowing to create a responsible image and thus build rapport with their customer.</w:t>
            </w:r>
          </w:p>
        </w:tc>
        <w:tc>
          <w:tcPr>
            <w:tcW w:w="3538" w:type="dxa"/>
            <w:tcBorders>
              <w:top w:val="nil"/>
            </w:tcBorders>
          </w:tcPr>
          <w:p w14:paraId="01B229DC" w14:textId="47CFBDF7" w:rsidR="00C33E65" w:rsidRPr="00042640" w:rsidRDefault="00DD371D" w:rsidP="006E6207">
            <w:pPr>
              <w:pStyle w:val="BodyText"/>
              <w:rPr>
                <w:i/>
                <w:highlight w:val="lightGray"/>
              </w:rPr>
            </w:pPr>
            <w:r>
              <w:rPr>
                <w:bCs/>
                <w:iCs/>
              </w:rPr>
              <w:t>Specific explanation to the text was provided, notably referring to the modal providing an element of a ‘guarantee’ of the company’s commitment.</w:t>
            </w:r>
          </w:p>
        </w:tc>
      </w:tr>
    </w:tbl>
    <w:p w14:paraId="52246E7A" w14:textId="77777777" w:rsidR="00945034" w:rsidRPr="00515D1A" w:rsidRDefault="00945034" w:rsidP="0088613A">
      <w:pPr>
        <w:pStyle w:val="Heading3"/>
      </w:pPr>
      <w:r w:rsidRPr="00515D1A">
        <w:t>Question 2</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9444E5" w:rsidRPr="00515D1A" w14:paraId="3A3FB10B" w14:textId="77777777" w:rsidTr="0007401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8569FB0" w14:textId="77777777" w:rsidR="009444E5" w:rsidRPr="00515D1A" w:rsidRDefault="009444E5" w:rsidP="00244860">
            <w:pPr>
              <w:pStyle w:val="Tablecondensedheading"/>
              <w:rPr>
                <w:lang w:val="en-AU"/>
              </w:rPr>
            </w:pPr>
            <w:r w:rsidRPr="00515D1A">
              <w:rPr>
                <w:lang w:val="en-AU"/>
              </w:rPr>
              <w:t>Marks</w:t>
            </w:r>
          </w:p>
        </w:tc>
        <w:tc>
          <w:tcPr>
            <w:tcW w:w="907" w:type="dxa"/>
          </w:tcPr>
          <w:p w14:paraId="6E38E911" w14:textId="77777777" w:rsidR="009444E5" w:rsidRPr="00515D1A" w:rsidRDefault="009444E5" w:rsidP="00244860">
            <w:pPr>
              <w:pStyle w:val="Tablecondensedheading"/>
              <w:rPr>
                <w:lang w:val="en-AU"/>
              </w:rPr>
            </w:pPr>
            <w:r w:rsidRPr="00515D1A">
              <w:rPr>
                <w:lang w:val="en-AU"/>
              </w:rPr>
              <w:t>0</w:t>
            </w:r>
          </w:p>
        </w:tc>
        <w:tc>
          <w:tcPr>
            <w:tcW w:w="907" w:type="dxa"/>
          </w:tcPr>
          <w:p w14:paraId="185231FB" w14:textId="77777777" w:rsidR="009444E5" w:rsidRPr="00515D1A" w:rsidRDefault="009444E5" w:rsidP="00244860">
            <w:pPr>
              <w:pStyle w:val="Tablecondensedheading"/>
              <w:rPr>
                <w:lang w:val="en-AU"/>
              </w:rPr>
            </w:pPr>
            <w:r w:rsidRPr="00515D1A">
              <w:rPr>
                <w:lang w:val="en-AU"/>
              </w:rPr>
              <w:t>1</w:t>
            </w:r>
          </w:p>
        </w:tc>
        <w:tc>
          <w:tcPr>
            <w:tcW w:w="1085" w:type="dxa"/>
          </w:tcPr>
          <w:p w14:paraId="245426F4" w14:textId="77777777" w:rsidR="009444E5" w:rsidRPr="00515D1A" w:rsidRDefault="009444E5" w:rsidP="00244860">
            <w:pPr>
              <w:pStyle w:val="Tablecondensedheading"/>
              <w:rPr>
                <w:lang w:val="en-AU"/>
              </w:rPr>
            </w:pPr>
            <w:r w:rsidRPr="00515D1A">
              <w:rPr>
                <w:lang w:val="en-AU"/>
              </w:rPr>
              <w:t>2</w:t>
            </w:r>
          </w:p>
        </w:tc>
        <w:tc>
          <w:tcPr>
            <w:tcW w:w="1085" w:type="dxa"/>
          </w:tcPr>
          <w:p w14:paraId="4B671E08" w14:textId="77777777" w:rsidR="009444E5" w:rsidRPr="00515D1A" w:rsidRDefault="009444E5" w:rsidP="00244860">
            <w:pPr>
              <w:pStyle w:val="Tablecondensedheading"/>
              <w:rPr>
                <w:lang w:val="en-AU"/>
              </w:rPr>
            </w:pPr>
            <w:r>
              <w:rPr>
                <w:lang w:val="en-AU"/>
              </w:rPr>
              <w:t>3</w:t>
            </w:r>
          </w:p>
        </w:tc>
        <w:tc>
          <w:tcPr>
            <w:tcW w:w="1085" w:type="dxa"/>
          </w:tcPr>
          <w:p w14:paraId="4DF7E602" w14:textId="77777777" w:rsidR="009444E5" w:rsidRPr="00515D1A" w:rsidRDefault="009444E5" w:rsidP="00244860">
            <w:pPr>
              <w:pStyle w:val="Tablecondensedheading"/>
              <w:rPr>
                <w:lang w:val="en-AU"/>
              </w:rPr>
            </w:pPr>
            <w:r w:rsidRPr="00515D1A">
              <w:rPr>
                <w:lang w:val="en-AU"/>
              </w:rPr>
              <w:t>Average</w:t>
            </w:r>
          </w:p>
        </w:tc>
      </w:tr>
      <w:tr w:rsidR="009444E5" w:rsidRPr="00515D1A" w14:paraId="0381FCEB" w14:textId="77777777" w:rsidTr="00074015">
        <w:trPr>
          <w:trHeight w:hRule="exact" w:val="397"/>
        </w:trPr>
        <w:tc>
          <w:tcPr>
            <w:tcW w:w="907" w:type="dxa"/>
          </w:tcPr>
          <w:p w14:paraId="3877D66D" w14:textId="77777777" w:rsidR="009444E5" w:rsidRPr="00515D1A" w:rsidRDefault="009444E5" w:rsidP="00574B93">
            <w:pPr>
              <w:pStyle w:val="Tablecondensed"/>
              <w:rPr>
                <w:lang w:val="en-AU"/>
              </w:rPr>
            </w:pPr>
            <w:r w:rsidRPr="00515D1A">
              <w:rPr>
                <w:lang w:val="en-AU"/>
              </w:rPr>
              <w:t>%</w:t>
            </w:r>
          </w:p>
        </w:tc>
        <w:tc>
          <w:tcPr>
            <w:tcW w:w="907" w:type="dxa"/>
          </w:tcPr>
          <w:p w14:paraId="6869EEDC" w14:textId="2C3125ED" w:rsidR="009444E5" w:rsidRPr="00515D1A" w:rsidRDefault="00E4321B" w:rsidP="00574B93">
            <w:pPr>
              <w:pStyle w:val="Tablecondensed"/>
              <w:rPr>
                <w:lang w:val="en-AU"/>
              </w:rPr>
            </w:pPr>
            <w:r>
              <w:rPr>
                <w:lang w:val="en-AU"/>
              </w:rPr>
              <w:t>67</w:t>
            </w:r>
          </w:p>
        </w:tc>
        <w:tc>
          <w:tcPr>
            <w:tcW w:w="907" w:type="dxa"/>
          </w:tcPr>
          <w:p w14:paraId="42FD50E7" w14:textId="7488B469" w:rsidR="009444E5" w:rsidRPr="00515D1A" w:rsidRDefault="00E4321B" w:rsidP="00574B93">
            <w:pPr>
              <w:pStyle w:val="Tablecondensed"/>
              <w:rPr>
                <w:lang w:val="en-AU"/>
              </w:rPr>
            </w:pPr>
            <w:r>
              <w:rPr>
                <w:lang w:val="en-AU"/>
              </w:rPr>
              <w:t>6</w:t>
            </w:r>
          </w:p>
        </w:tc>
        <w:tc>
          <w:tcPr>
            <w:tcW w:w="1085" w:type="dxa"/>
          </w:tcPr>
          <w:p w14:paraId="0B1585BD" w14:textId="6DB7CA04" w:rsidR="009444E5" w:rsidRPr="00515D1A" w:rsidRDefault="00E4321B" w:rsidP="00574B93">
            <w:pPr>
              <w:pStyle w:val="Tablecondensed"/>
              <w:rPr>
                <w:bCs/>
                <w:lang w:val="en-AU"/>
              </w:rPr>
            </w:pPr>
            <w:r>
              <w:rPr>
                <w:bCs/>
                <w:lang w:val="en-AU"/>
              </w:rPr>
              <w:t>13</w:t>
            </w:r>
          </w:p>
        </w:tc>
        <w:tc>
          <w:tcPr>
            <w:tcW w:w="1085" w:type="dxa"/>
          </w:tcPr>
          <w:p w14:paraId="53B852A4" w14:textId="7ADE0028" w:rsidR="009444E5" w:rsidRPr="00515D1A" w:rsidRDefault="00E4321B" w:rsidP="00574B93">
            <w:pPr>
              <w:pStyle w:val="Tablecondensed"/>
              <w:rPr>
                <w:lang w:val="en-AU"/>
              </w:rPr>
            </w:pPr>
            <w:r>
              <w:rPr>
                <w:lang w:val="en-AU"/>
              </w:rPr>
              <w:t>13</w:t>
            </w:r>
          </w:p>
        </w:tc>
        <w:tc>
          <w:tcPr>
            <w:tcW w:w="1085" w:type="dxa"/>
          </w:tcPr>
          <w:p w14:paraId="61473325" w14:textId="36BD3D3F" w:rsidR="009444E5" w:rsidRPr="00515D1A" w:rsidRDefault="00E4321B" w:rsidP="00574B93">
            <w:pPr>
              <w:pStyle w:val="Tablecondensed"/>
              <w:rPr>
                <w:lang w:val="en-AU"/>
              </w:rPr>
            </w:pPr>
            <w:r>
              <w:rPr>
                <w:lang w:val="en-AU"/>
              </w:rPr>
              <w:t>0.</w:t>
            </w:r>
            <w:r w:rsidR="004C755C">
              <w:rPr>
                <w:lang w:val="en-AU"/>
              </w:rPr>
              <w:t>8</w:t>
            </w:r>
          </w:p>
        </w:tc>
      </w:tr>
    </w:tbl>
    <w:p w14:paraId="127F106D" w14:textId="7D690C6C" w:rsidR="004C4994" w:rsidRDefault="004C4994" w:rsidP="003F3169">
      <w:pPr>
        <w:pStyle w:val="BodyText"/>
      </w:pPr>
      <w:r>
        <w:t xml:space="preserve">Many </w:t>
      </w:r>
      <w:r w:rsidR="00BD6A98">
        <w:t xml:space="preserve">responses to </w:t>
      </w:r>
      <w:r w:rsidR="0092516E">
        <w:t>Q</w:t>
      </w:r>
      <w:r w:rsidR="00BD6A98">
        <w:t>uestion</w:t>
      </w:r>
      <w:r w:rsidR="0092516E">
        <w:t xml:space="preserve"> 2</w:t>
      </w:r>
      <w:r w:rsidR="00BD6A98">
        <w:t xml:space="preserve"> did not contain </w:t>
      </w:r>
      <w:r w:rsidR="006118CF">
        <w:t xml:space="preserve">accurate examples of </w:t>
      </w:r>
      <w:r w:rsidR="00543737">
        <w:t xml:space="preserve">information flow from the line range. There were a range of accepted responses involving front focus and end focus, and </w:t>
      </w:r>
      <w:r w:rsidR="006118CF">
        <w:t xml:space="preserve">responses could contain </w:t>
      </w:r>
      <w:r w:rsidR="00543737">
        <w:t>two examples of the same type of information flow</w:t>
      </w:r>
      <w:r w:rsidR="009F65E0">
        <w:t>,</w:t>
      </w:r>
      <w:r w:rsidRPr="001D7793">
        <w:t xml:space="preserve"> e.g. </w:t>
      </w:r>
      <w:r>
        <w:t>t</w:t>
      </w:r>
      <w:r w:rsidRPr="001D7793">
        <w:t>wo examples of front focus</w:t>
      </w:r>
      <w:r>
        <w:t xml:space="preserve">. </w:t>
      </w:r>
      <w:r w:rsidR="00543737">
        <w:t xml:space="preserve">Also accepted were </w:t>
      </w:r>
      <w:r>
        <w:t xml:space="preserve">two examples of different types, such as front focus and end focus. </w:t>
      </w:r>
      <w:r w:rsidRPr="001D7793">
        <w:t>Both approaches only require</w:t>
      </w:r>
      <w:r w:rsidR="00543737">
        <w:t>d</w:t>
      </w:r>
      <w:r w:rsidRPr="001D7793">
        <w:t xml:space="preserve"> one example to be analysed.</w:t>
      </w:r>
    </w:p>
    <w:p w14:paraId="2FA5DD1F" w14:textId="420E9780" w:rsidR="004C4994" w:rsidRDefault="00543737" w:rsidP="003F3169">
      <w:pPr>
        <w:pStyle w:val="BodyText"/>
        <w:rPr>
          <w:lang w:val="en-GB"/>
        </w:rPr>
      </w:pPr>
      <w:r>
        <w:rPr>
          <w:lang w:val="en-GB"/>
        </w:rPr>
        <w:t xml:space="preserve">For a response to receive full marks an accurate identification of information flow was required as well as a description of </w:t>
      </w:r>
      <w:r w:rsidR="006E6FF9">
        <w:rPr>
          <w:lang w:val="en-GB"/>
        </w:rPr>
        <w:t>its</w:t>
      </w:r>
      <w:r w:rsidR="00AF676F">
        <w:rPr>
          <w:lang w:val="en-GB"/>
        </w:rPr>
        <w:t xml:space="preserve"> impact</w:t>
      </w:r>
      <w:r>
        <w:rPr>
          <w:lang w:val="en-GB"/>
        </w:rPr>
        <w:t xml:space="preserve">. This impact was interpreted by some as being a cohesive impact, but </w:t>
      </w:r>
      <w:r w:rsidR="00153B06">
        <w:rPr>
          <w:lang w:val="en-GB"/>
        </w:rPr>
        <w:t xml:space="preserve">responses </w:t>
      </w:r>
      <w:r>
        <w:rPr>
          <w:lang w:val="en-GB"/>
        </w:rPr>
        <w:t xml:space="preserve">more commonly described the general effect of front or end focus </w:t>
      </w:r>
      <w:r w:rsidR="00AF676F">
        <w:rPr>
          <w:lang w:val="en-GB"/>
        </w:rPr>
        <w:t>using t</w:t>
      </w:r>
      <w:r>
        <w:rPr>
          <w:lang w:val="en-GB"/>
        </w:rPr>
        <w:t>he selected example, such as</w:t>
      </w:r>
      <w:r w:rsidR="00AF676F">
        <w:rPr>
          <w:lang w:val="en-GB"/>
        </w:rPr>
        <w:t xml:space="preserve"> how it </w:t>
      </w:r>
      <w:r w:rsidR="00B66F0B">
        <w:rPr>
          <w:lang w:val="en-GB"/>
        </w:rPr>
        <w:t xml:space="preserve">was </w:t>
      </w:r>
      <w:r w:rsidR="00AF676F">
        <w:rPr>
          <w:lang w:val="en-GB"/>
        </w:rPr>
        <w:t>placed</w:t>
      </w:r>
      <w:r>
        <w:rPr>
          <w:lang w:val="en-GB"/>
        </w:rPr>
        <w:t xml:space="preserve"> in prominence within the text to support a purpose. Both approaches were accepted.</w:t>
      </w:r>
    </w:p>
    <w:p w14:paraId="0920B898" w14:textId="44D6E48A" w:rsidR="004C4994" w:rsidRDefault="00543737" w:rsidP="003F3169">
      <w:pPr>
        <w:pStyle w:val="BodyText"/>
        <w:rPr>
          <w:lang w:val="en-GB"/>
        </w:rPr>
      </w:pPr>
      <w:r>
        <w:rPr>
          <w:lang w:val="en-GB"/>
        </w:rPr>
        <w:t>High</w:t>
      </w:r>
      <w:r w:rsidR="00931EC8">
        <w:rPr>
          <w:lang w:val="en-GB"/>
        </w:rPr>
        <w:t>-</w:t>
      </w:r>
      <w:r>
        <w:rPr>
          <w:lang w:val="en-GB"/>
        </w:rPr>
        <w:t xml:space="preserve">scoring responses </w:t>
      </w:r>
      <w:r w:rsidR="003A692D">
        <w:rPr>
          <w:lang w:val="en-GB"/>
        </w:rPr>
        <w:t>quoted only what was required to respon</w:t>
      </w:r>
      <w:r w:rsidR="00337F61">
        <w:rPr>
          <w:lang w:val="en-GB"/>
        </w:rPr>
        <w:t>d</w:t>
      </w:r>
      <w:r w:rsidR="003A692D">
        <w:rPr>
          <w:lang w:val="en-GB"/>
        </w:rPr>
        <w:t xml:space="preserve"> to the question, </w:t>
      </w:r>
      <w:r>
        <w:rPr>
          <w:lang w:val="en-GB"/>
        </w:rPr>
        <w:t xml:space="preserve">were specific to the text and avoided generic </w:t>
      </w:r>
      <w:r w:rsidR="000C4C84">
        <w:rPr>
          <w:lang w:val="en-GB"/>
        </w:rPr>
        <w:t>descriptions</w:t>
      </w:r>
      <w:r>
        <w:rPr>
          <w:lang w:val="en-GB"/>
        </w:rPr>
        <w:t xml:space="preserve">. </w:t>
      </w:r>
    </w:p>
    <w:p w14:paraId="3A993A2F" w14:textId="030A5036" w:rsidR="002C6A59" w:rsidRDefault="00206522" w:rsidP="002C6A59">
      <w:pPr>
        <w:pStyle w:val="BodyText"/>
      </w:pPr>
      <w:r>
        <w:t>The following is an example of a higher-scoring response.</w:t>
      </w:r>
    </w:p>
    <w:tbl>
      <w:tblPr>
        <w:tblStyle w:val="TableGrid"/>
        <w:tblW w:w="0" w:type="auto"/>
        <w:tblInd w:w="720" w:type="dxa"/>
        <w:tblLook w:val="04A0" w:firstRow="1" w:lastRow="0" w:firstColumn="1" w:lastColumn="0" w:noHBand="0" w:noVBand="1"/>
      </w:tblPr>
      <w:tblGrid>
        <w:gridCol w:w="4945"/>
        <w:gridCol w:w="3964"/>
      </w:tblGrid>
      <w:tr w:rsidR="004C4994" w:rsidRPr="00D01329" w14:paraId="032A77D6" w14:textId="77777777" w:rsidTr="00CF3C03">
        <w:tc>
          <w:tcPr>
            <w:tcW w:w="4945" w:type="dxa"/>
            <w:tcBorders>
              <w:bottom w:val="single" w:sz="4" w:space="0" w:color="auto"/>
            </w:tcBorders>
          </w:tcPr>
          <w:p w14:paraId="114B7932" w14:textId="77777777" w:rsidR="004C4994" w:rsidRPr="00C25F6E" w:rsidRDefault="004C4994" w:rsidP="00074015">
            <w:pPr>
              <w:pStyle w:val="Tableheading"/>
              <w:rPr>
                <w:i/>
              </w:rPr>
            </w:pPr>
            <w:r w:rsidRPr="00C25F6E">
              <w:t>Student sample</w:t>
            </w:r>
          </w:p>
        </w:tc>
        <w:tc>
          <w:tcPr>
            <w:tcW w:w="3964" w:type="dxa"/>
            <w:tcBorders>
              <w:bottom w:val="single" w:sz="4" w:space="0" w:color="auto"/>
            </w:tcBorders>
          </w:tcPr>
          <w:p w14:paraId="17751EC7" w14:textId="77777777" w:rsidR="004C4994" w:rsidRPr="00C25F6E" w:rsidRDefault="004C4994" w:rsidP="00074015">
            <w:pPr>
              <w:pStyle w:val="Tableheading"/>
              <w:rPr>
                <w:i/>
              </w:rPr>
            </w:pPr>
            <w:r w:rsidRPr="00C25F6E">
              <w:t>Annotations</w:t>
            </w:r>
          </w:p>
        </w:tc>
      </w:tr>
      <w:tr w:rsidR="004C4994" w14:paraId="7E6D76C0" w14:textId="77777777" w:rsidTr="00CF3C03">
        <w:tc>
          <w:tcPr>
            <w:tcW w:w="4945" w:type="dxa"/>
            <w:tcBorders>
              <w:bottom w:val="nil"/>
            </w:tcBorders>
          </w:tcPr>
          <w:p w14:paraId="2C90C619" w14:textId="06E4B6CE" w:rsidR="004C4994" w:rsidRPr="00DD371D" w:rsidRDefault="00AA5096" w:rsidP="000003F7">
            <w:pPr>
              <w:pStyle w:val="Studentresponse"/>
            </w:pPr>
            <w:r>
              <w:t>Information flow in the form of front focus is seen in the adverbials “Alongside Parley Australia” (20) and “With your incredible support” (27).</w:t>
            </w:r>
          </w:p>
        </w:tc>
        <w:tc>
          <w:tcPr>
            <w:tcW w:w="3964" w:type="dxa"/>
            <w:tcBorders>
              <w:bottom w:val="nil"/>
            </w:tcBorders>
          </w:tcPr>
          <w:p w14:paraId="490C783C" w14:textId="3975A78C" w:rsidR="004C4994" w:rsidRPr="00DD371D" w:rsidRDefault="00AA5096" w:rsidP="006E6207">
            <w:pPr>
              <w:pStyle w:val="BodyText"/>
              <w:rPr>
                <w:bCs/>
                <w:iCs/>
                <w:highlight w:val="lightGray"/>
              </w:rPr>
            </w:pPr>
            <w:r>
              <w:rPr>
                <w:bCs/>
                <w:iCs/>
              </w:rPr>
              <w:t xml:space="preserve">Both examples </w:t>
            </w:r>
            <w:r w:rsidR="00ED3F03">
              <w:rPr>
                <w:bCs/>
                <w:iCs/>
              </w:rPr>
              <w:t>we</w:t>
            </w:r>
            <w:r w:rsidRPr="00ED3F03">
              <w:rPr>
                <w:bCs/>
                <w:iCs/>
              </w:rPr>
              <w:t>re</w:t>
            </w:r>
            <w:r>
              <w:rPr>
                <w:bCs/>
                <w:iCs/>
              </w:rPr>
              <w:t xml:space="preserve"> phrases placed in front focus within the text. The additional metalanguage of ‘adverbial</w:t>
            </w:r>
            <w:r w:rsidR="001D3513">
              <w:rPr>
                <w:bCs/>
                <w:iCs/>
              </w:rPr>
              <w:t>s</w:t>
            </w:r>
            <w:r>
              <w:rPr>
                <w:bCs/>
                <w:iCs/>
              </w:rPr>
              <w:t>’, while accurate, was not required.</w:t>
            </w:r>
          </w:p>
        </w:tc>
      </w:tr>
      <w:tr w:rsidR="004C4994" w14:paraId="2E3564EB" w14:textId="77777777" w:rsidTr="00CF3C03">
        <w:tc>
          <w:tcPr>
            <w:tcW w:w="4945" w:type="dxa"/>
            <w:tcBorders>
              <w:top w:val="nil"/>
            </w:tcBorders>
          </w:tcPr>
          <w:p w14:paraId="4871A59A" w14:textId="301B215F" w:rsidR="004C4994" w:rsidRPr="00D01329" w:rsidRDefault="00AA5096" w:rsidP="000003F7">
            <w:pPr>
              <w:pStyle w:val="Studentresponse"/>
              <w:rPr>
                <w:i/>
              </w:rPr>
            </w:pPr>
            <w:r>
              <w:t>The adverbial front focus of “With your incredible support” (27) allows Frank Green to emphasise the support of the customers rather than the money raised. This helps the audience feel more acknowledged and appreciated, allowing Young to meet their positive face needs.</w:t>
            </w:r>
          </w:p>
        </w:tc>
        <w:tc>
          <w:tcPr>
            <w:tcW w:w="3964" w:type="dxa"/>
            <w:tcBorders>
              <w:top w:val="nil"/>
            </w:tcBorders>
          </w:tcPr>
          <w:p w14:paraId="4AEAD68B" w14:textId="743D5F5A" w:rsidR="004C4994" w:rsidRPr="00042640" w:rsidRDefault="00C043D4" w:rsidP="006E6207">
            <w:pPr>
              <w:pStyle w:val="BodyText"/>
              <w:rPr>
                <w:i/>
                <w:highlight w:val="lightGray"/>
              </w:rPr>
            </w:pPr>
            <w:r>
              <w:rPr>
                <w:bCs/>
                <w:iCs/>
              </w:rPr>
              <w:t>The response foreground</w:t>
            </w:r>
            <w:r w:rsidR="008470F1">
              <w:rPr>
                <w:bCs/>
                <w:iCs/>
              </w:rPr>
              <w:t>ed</w:t>
            </w:r>
            <w:r>
              <w:rPr>
                <w:bCs/>
                <w:iCs/>
              </w:rPr>
              <w:t xml:space="preserve"> what frank green (and Young) highlight</w:t>
            </w:r>
            <w:r w:rsidR="008470F1">
              <w:rPr>
                <w:bCs/>
                <w:iCs/>
              </w:rPr>
              <w:t>ed</w:t>
            </w:r>
            <w:r>
              <w:rPr>
                <w:bCs/>
                <w:iCs/>
              </w:rPr>
              <w:t xml:space="preserve"> when utili</w:t>
            </w:r>
            <w:r w:rsidR="003013C2">
              <w:rPr>
                <w:bCs/>
                <w:iCs/>
              </w:rPr>
              <w:t>s</w:t>
            </w:r>
            <w:r>
              <w:rPr>
                <w:bCs/>
                <w:iCs/>
              </w:rPr>
              <w:t xml:space="preserve">ing front focus </w:t>
            </w:r>
            <w:r w:rsidR="00E42B59">
              <w:rPr>
                <w:bCs/>
                <w:iCs/>
              </w:rPr>
              <w:t>–</w:t>
            </w:r>
            <w:r>
              <w:rPr>
                <w:bCs/>
                <w:iCs/>
              </w:rPr>
              <w:t xml:space="preserve"> the role of the customer.</w:t>
            </w:r>
          </w:p>
        </w:tc>
      </w:tr>
    </w:tbl>
    <w:p w14:paraId="19D7E156" w14:textId="77777777" w:rsidR="00E42B59" w:rsidRPr="006E6207" w:rsidRDefault="00E42B59" w:rsidP="006E6207">
      <w:pPr>
        <w:pStyle w:val="BodyText"/>
      </w:pPr>
      <w:r w:rsidRPr="00E20618">
        <w:br w:type="page"/>
      </w:r>
    </w:p>
    <w:p w14:paraId="1C5913A4" w14:textId="4F69686C" w:rsidR="00945034" w:rsidRPr="00515D1A" w:rsidRDefault="00945034" w:rsidP="0088613A">
      <w:pPr>
        <w:pStyle w:val="Heading3"/>
      </w:pPr>
      <w:r w:rsidRPr="00515D1A">
        <w:lastRenderedPageBreak/>
        <w:t>Question 3</w:t>
      </w:r>
    </w:p>
    <w:tbl>
      <w:tblPr>
        <w:tblStyle w:val="VCAATableClosed"/>
        <w:tblW w:w="0" w:type="auto"/>
        <w:tblLook w:val="01E0" w:firstRow="1" w:lastRow="1" w:firstColumn="1" w:lastColumn="1" w:noHBand="0" w:noVBand="0"/>
      </w:tblPr>
      <w:tblGrid>
        <w:gridCol w:w="907"/>
        <w:gridCol w:w="907"/>
        <w:gridCol w:w="907"/>
        <w:gridCol w:w="1085"/>
        <w:gridCol w:w="1085"/>
        <w:gridCol w:w="1085"/>
        <w:gridCol w:w="1085"/>
      </w:tblGrid>
      <w:tr w:rsidR="009444E5" w:rsidRPr="00515D1A" w14:paraId="4EC73952" w14:textId="77777777" w:rsidTr="0007401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728F106" w14:textId="77777777" w:rsidR="009444E5" w:rsidRPr="00515D1A" w:rsidRDefault="009444E5" w:rsidP="00244860">
            <w:pPr>
              <w:pStyle w:val="Tablecondensedheading"/>
              <w:rPr>
                <w:lang w:val="en-AU"/>
              </w:rPr>
            </w:pPr>
            <w:r w:rsidRPr="00515D1A">
              <w:rPr>
                <w:lang w:val="en-AU"/>
              </w:rPr>
              <w:t>Marks</w:t>
            </w:r>
          </w:p>
        </w:tc>
        <w:tc>
          <w:tcPr>
            <w:tcW w:w="907" w:type="dxa"/>
          </w:tcPr>
          <w:p w14:paraId="78B3619F" w14:textId="77777777" w:rsidR="009444E5" w:rsidRPr="00515D1A" w:rsidRDefault="009444E5" w:rsidP="00244860">
            <w:pPr>
              <w:pStyle w:val="Tablecondensedheading"/>
              <w:rPr>
                <w:lang w:val="en-AU"/>
              </w:rPr>
            </w:pPr>
            <w:r w:rsidRPr="00515D1A">
              <w:rPr>
                <w:lang w:val="en-AU"/>
              </w:rPr>
              <w:t>0</w:t>
            </w:r>
          </w:p>
        </w:tc>
        <w:tc>
          <w:tcPr>
            <w:tcW w:w="907" w:type="dxa"/>
          </w:tcPr>
          <w:p w14:paraId="14B50714" w14:textId="77777777" w:rsidR="009444E5" w:rsidRPr="00515D1A" w:rsidRDefault="009444E5" w:rsidP="00244860">
            <w:pPr>
              <w:pStyle w:val="Tablecondensedheading"/>
              <w:rPr>
                <w:lang w:val="en-AU"/>
              </w:rPr>
            </w:pPr>
            <w:r w:rsidRPr="00515D1A">
              <w:rPr>
                <w:lang w:val="en-AU"/>
              </w:rPr>
              <w:t>1</w:t>
            </w:r>
          </w:p>
        </w:tc>
        <w:tc>
          <w:tcPr>
            <w:tcW w:w="1085" w:type="dxa"/>
          </w:tcPr>
          <w:p w14:paraId="7FDD368B" w14:textId="77777777" w:rsidR="009444E5" w:rsidRPr="00515D1A" w:rsidRDefault="009444E5" w:rsidP="00244860">
            <w:pPr>
              <w:pStyle w:val="Tablecondensedheading"/>
              <w:rPr>
                <w:lang w:val="en-AU"/>
              </w:rPr>
            </w:pPr>
            <w:r w:rsidRPr="00515D1A">
              <w:rPr>
                <w:lang w:val="en-AU"/>
              </w:rPr>
              <w:t>2</w:t>
            </w:r>
          </w:p>
        </w:tc>
        <w:tc>
          <w:tcPr>
            <w:tcW w:w="1085" w:type="dxa"/>
          </w:tcPr>
          <w:p w14:paraId="6482801C" w14:textId="77777777" w:rsidR="009444E5" w:rsidRPr="00515D1A" w:rsidRDefault="009444E5" w:rsidP="00244860">
            <w:pPr>
              <w:pStyle w:val="Tablecondensedheading"/>
              <w:rPr>
                <w:lang w:val="en-AU"/>
              </w:rPr>
            </w:pPr>
            <w:r w:rsidRPr="00515D1A">
              <w:rPr>
                <w:lang w:val="en-AU"/>
              </w:rPr>
              <w:t>3</w:t>
            </w:r>
          </w:p>
        </w:tc>
        <w:tc>
          <w:tcPr>
            <w:tcW w:w="1085" w:type="dxa"/>
          </w:tcPr>
          <w:p w14:paraId="7D7997B2" w14:textId="77777777" w:rsidR="009444E5" w:rsidRPr="00515D1A" w:rsidRDefault="009444E5" w:rsidP="00244860">
            <w:pPr>
              <w:pStyle w:val="Tablecondensedheading"/>
              <w:rPr>
                <w:lang w:val="en-AU"/>
              </w:rPr>
            </w:pPr>
            <w:r w:rsidRPr="00515D1A">
              <w:rPr>
                <w:lang w:val="en-AU"/>
              </w:rPr>
              <w:t>4</w:t>
            </w:r>
          </w:p>
        </w:tc>
        <w:tc>
          <w:tcPr>
            <w:tcW w:w="1085" w:type="dxa"/>
          </w:tcPr>
          <w:p w14:paraId="3CBD8C96" w14:textId="77777777" w:rsidR="009444E5" w:rsidRPr="00515D1A" w:rsidRDefault="009444E5" w:rsidP="00244860">
            <w:pPr>
              <w:pStyle w:val="Tablecondensedheading"/>
              <w:rPr>
                <w:lang w:val="en-AU"/>
              </w:rPr>
            </w:pPr>
            <w:r w:rsidRPr="00515D1A">
              <w:rPr>
                <w:lang w:val="en-AU"/>
              </w:rPr>
              <w:t>Average</w:t>
            </w:r>
          </w:p>
        </w:tc>
      </w:tr>
      <w:tr w:rsidR="009444E5" w:rsidRPr="00515D1A" w14:paraId="0E33797F" w14:textId="77777777" w:rsidTr="00074015">
        <w:trPr>
          <w:trHeight w:hRule="exact" w:val="397"/>
        </w:trPr>
        <w:tc>
          <w:tcPr>
            <w:tcW w:w="907" w:type="dxa"/>
          </w:tcPr>
          <w:p w14:paraId="4BEEEF08" w14:textId="77777777" w:rsidR="009444E5" w:rsidRPr="00515D1A" w:rsidRDefault="009444E5" w:rsidP="00574B93">
            <w:pPr>
              <w:pStyle w:val="Tablecondensed"/>
              <w:rPr>
                <w:lang w:val="en-AU"/>
              </w:rPr>
            </w:pPr>
            <w:r w:rsidRPr="00515D1A">
              <w:rPr>
                <w:lang w:val="en-AU"/>
              </w:rPr>
              <w:t>%</w:t>
            </w:r>
          </w:p>
        </w:tc>
        <w:tc>
          <w:tcPr>
            <w:tcW w:w="907" w:type="dxa"/>
          </w:tcPr>
          <w:p w14:paraId="2854E37E" w14:textId="598E45C9" w:rsidR="009444E5" w:rsidRPr="00515D1A" w:rsidRDefault="00E4321B" w:rsidP="00574B93">
            <w:pPr>
              <w:pStyle w:val="Tablecondensed"/>
              <w:rPr>
                <w:lang w:val="en-AU"/>
              </w:rPr>
            </w:pPr>
            <w:r>
              <w:rPr>
                <w:lang w:val="en-AU"/>
              </w:rPr>
              <w:t>16</w:t>
            </w:r>
          </w:p>
        </w:tc>
        <w:tc>
          <w:tcPr>
            <w:tcW w:w="907" w:type="dxa"/>
          </w:tcPr>
          <w:p w14:paraId="5BA82D97" w14:textId="31167963" w:rsidR="009444E5" w:rsidRPr="00515D1A" w:rsidRDefault="00E4321B" w:rsidP="00574B93">
            <w:pPr>
              <w:pStyle w:val="Tablecondensed"/>
              <w:rPr>
                <w:lang w:val="en-AU"/>
              </w:rPr>
            </w:pPr>
            <w:r>
              <w:rPr>
                <w:lang w:val="en-AU"/>
              </w:rPr>
              <w:t>11</w:t>
            </w:r>
          </w:p>
        </w:tc>
        <w:tc>
          <w:tcPr>
            <w:tcW w:w="1085" w:type="dxa"/>
          </w:tcPr>
          <w:p w14:paraId="5DE9EB5F" w14:textId="7590AE26" w:rsidR="009444E5" w:rsidRPr="00515D1A" w:rsidRDefault="00E4321B" w:rsidP="00574B93">
            <w:pPr>
              <w:pStyle w:val="Tablecondensed"/>
              <w:rPr>
                <w:bCs/>
                <w:lang w:val="en-AU"/>
              </w:rPr>
            </w:pPr>
            <w:r>
              <w:rPr>
                <w:bCs/>
                <w:lang w:val="en-AU"/>
              </w:rPr>
              <w:t>34</w:t>
            </w:r>
          </w:p>
        </w:tc>
        <w:tc>
          <w:tcPr>
            <w:tcW w:w="1085" w:type="dxa"/>
          </w:tcPr>
          <w:p w14:paraId="71F77C77" w14:textId="25E58269" w:rsidR="009444E5" w:rsidRPr="00515D1A" w:rsidRDefault="00E4321B" w:rsidP="00574B93">
            <w:pPr>
              <w:pStyle w:val="Tablecondensed"/>
              <w:rPr>
                <w:bCs/>
                <w:lang w:val="en-AU"/>
              </w:rPr>
            </w:pPr>
            <w:r>
              <w:rPr>
                <w:bCs/>
                <w:lang w:val="en-AU"/>
              </w:rPr>
              <w:t>23</w:t>
            </w:r>
          </w:p>
        </w:tc>
        <w:tc>
          <w:tcPr>
            <w:tcW w:w="1085" w:type="dxa"/>
          </w:tcPr>
          <w:p w14:paraId="3E6EE315" w14:textId="5F4511BB" w:rsidR="009444E5" w:rsidRPr="00515D1A" w:rsidRDefault="00E4321B" w:rsidP="00574B93">
            <w:pPr>
              <w:pStyle w:val="Tablecondensed"/>
              <w:rPr>
                <w:bCs/>
                <w:lang w:val="en-AU"/>
              </w:rPr>
            </w:pPr>
            <w:r>
              <w:rPr>
                <w:bCs/>
                <w:lang w:val="en-AU"/>
              </w:rPr>
              <w:t>16</w:t>
            </w:r>
          </w:p>
        </w:tc>
        <w:tc>
          <w:tcPr>
            <w:tcW w:w="1085" w:type="dxa"/>
          </w:tcPr>
          <w:p w14:paraId="3F0A6E3A" w14:textId="717FFBEC" w:rsidR="009444E5" w:rsidRPr="00515D1A" w:rsidRDefault="00E4321B" w:rsidP="00574B93">
            <w:pPr>
              <w:pStyle w:val="Tablecondensed"/>
              <w:rPr>
                <w:lang w:val="en-AU"/>
              </w:rPr>
            </w:pPr>
            <w:r>
              <w:rPr>
                <w:lang w:val="en-AU"/>
              </w:rPr>
              <w:t>2.</w:t>
            </w:r>
            <w:r w:rsidR="004C755C">
              <w:rPr>
                <w:lang w:val="en-AU"/>
              </w:rPr>
              <w:t>2</w:t>
            </w:r>
          </w:p>
        </w:tc>
      </w:tr>
    </w:tbl>
    <w:p w14:paraId="05317D1E" w14:textId="0D38F75A" w:rsidR="00E164F8" w:rsidRDefault="00A52821" w:rsidP="003F3169">
      <w:pPr>
        <w:pStyle w:val="BodyText"/>
      </w:pPr>
      <w:r>
        <w:t>Question 3 required identification of</w:t>
      </w:r>
      <w:r w:rsidR="0007090A">
        <w:t xml:space="preserve"> a semantic pattern and a syntactic pattern and link</w:t>
      </w:r>
      <w:r w:rsidR="00164828">
        <w:t>s between</w:t>
      </w:r>
      <w:r w:rsidR="0007090A">
        <w:t xml:space="preserve"> each of these patterns to differing Jakobson’s functions. The </w:t>
      </w:r>
      <w:r w:rsidR="00B074A2">
        <w:t>most</w:t>
      </w:r>
      <w:r w:rsidR="00CF3C03">
        <w:t xml:space="preserve"> frequently identified </w:t>
      </w:r>
      <w:r w:rsidR="00E42B59">
        <w:t xml:space="preserve">pattern </w:t>
      </w:r>
      <w:r w:rsidR="0007090A">
        <w:t>was syntactic listing, particularly between lines 10</w:t>
      </w:r>
      <w:r w:rsidR="00E42B59">
        <w:t xml:space="preserve"> and </w:t>
      </w:r>
      <w:r w:rsidR="0007090A">
        <w:t>11</w:t>
      </w:r>
      <w:r w:rsidR="00E42B59">
        <w:t>,</w:t>
      </w:r>
      <w:r w:rsidR="00B074A2">
        <w:t xml:space="preserve"> where the new products launched in 2024 were listed</w:t>
      </w:r>
      <w:r w:rsidR="0007090A">
        <w:t>. Semantic patterns selected were varied but many responses referred to metaphors contained within the text</w:t>
      </w:r>
      <w:r w:rsidR="00B074A2">
        <w:t xml:space="preserve">, </w:t>
      </w:r>
      <w:r w:rsidR="006E0F0C" w:rsidRPr="006E0F0C">
        <w:t xml:space="preserve">such as </w:t>
      </w:r>
      <w:r w:rsidR="00CD2FE5">
        <w:t>‘</w:t>
      </w:r>
      <w:r w:rsidR="006E0F0C" w:rsidRPr="006E0F0C">
        <w:t>made waves</w:t>
      </w:r>
      <w:r w:rsidR="00CD2FE5">
        <w:t>’</w:t>
      </w:r>
      <w:r w:rsidR="006E0F0C" w:rsidRPr="006E0F0C">
        <w:t xml:space="preserve"> (21), which </w:t>
      </w:r>
      <w:r w:rsidR="006E0F0C" w:rsidRPr="00ED3F03">
        <w:t>liken</w:t>
      </w:r>
      <w:r w:rsidR="002B0384" w:rsidRPr="00DF66BA">
        <w:t>ed</w:t>
      </w:r>
      <w:r w:rsidR="006E0F0C" w:rsidRPr="006E0F0C">
        <w:t xml:space="preserve"> influence </w:t>
      </w:r>
      <w:proofErr w:type="gramStart"/>
      <w:r w:rsidR="006E0F0C" w:rsidRPr="006E0F0C">
        <w:t>to</w:t>
      </w:r>
      <w:proofErr w:type="gramEnd"/>
      <w:r w:rsidR="006E0F0C" w:rsidRPr="006E0F0C">
        <w:t xml:space="preserve"> a physical disturbance</w:t>
      </w:r>
      <w:r w:rsidR="00BA6169">
        <w:t>,</w:t>
      </w:r>
      <w:r w:rsidR="006E0F0C" w:rsidRPr="006E0F0C">
        <w:t xml:space="preserve"> and </w:t>
      </w:r>
      <w:r w:rsidR="00CD2FE5">
        <w:t>‘</w:t>
      </w:r>
      <w:r w:rsidR="006E0F0C" w:rsidRPr="006E0F0C">
        <w:t>at the heart</w:t>
      </w:r>
      <w:r w:rsidR="00CD2FE5">
        <w:t>’</w:t>
      </w:r>
      <w:r w:rsidR="006E0F0C" w:rsidRPr="006E0F0C">
        <w:t xml:space="preserve"> (45)</w:t>
      </w:r>
      <w:r w:rsidR="004A1264">
        <w:t>, which</w:t>
      </w:r>
      <w:r w:rsidR="00310528">
        <w:t xml:space="preserve"> </w:t>
      </w:r>
      <w:r w:rsidR="006E0F0C" w:rsidRPr="00ED3F03">
        <w:t>equate</w:t>
      </w:r>
      <w:r w:rsidR="002B0384" w:rsidRPr="00DF66BA">
        <w:t>d</w:t>
      </w:r>
      <w:r w:rsidR="006E0F0C" w:rsidRPr="006E0F0C">
        <w:t xml:space="preserve"> sustainability with a vital organ to signal central importance.</w:t>
      </w:r>
      <w:r w:rsidR="0007090A">
        <w:t xml:space="preserve"> </w:t>
      </w:r>
      <w:r w:rsidR="005A4AC7">
        <w:t xml:space="preserve">To demonstrate </w:t>
      </w:r>
      <w:r w:rsidR="003B6B98">
        <w:t>clear differentiation between syntactic and semantic patterns</w:t>
      </w:r>
      <w:r w:rsidR="005A4AC7">
        <w:t xml:space="preserve">, it was important </w:t>
      </w:r>
      <w:r w:rsidR="00FD6733">
        <w:t>to refer</w:t>
      </w:r>
      <w:r w:rsidR="005A4AC7">
        <w:t xml:space="preserve"> to the subsystem itself as well as the pattern.</w:t>
      </w:r>
    </w:p>
    <w:p w14:paraId="783091A6" w14:textId="2B3D46A3" w:rsidR="00453455" w:rsidRDefault="00D14AF1" w:rsidP="003F3169">
      <w:pPr>
        <w:pStyle w:val="BodyText"/>
      </w:pPr>
      <w:r w:rsidRPr="00D14AF1">
        <w:t xml:space="preserve">Overall, </w:t>
      </w:r>
      <w:r>
        <w:t xml:space="preserve">responses to this question indicated a good ability to identify subsystem patterns within the text, particularly </w:t>
      </w:r>
      <w:r w:rsidR="004341C5">
        <w:t xml:space="preserve">the </w:t>
      </w:r>
      <w:r>
        <w:t>syntactic patterning</w:t>
      </w:r>
      <w:r w:rsidR="004341C5">
        <w:t xml:space="preserve"> of listing</w:t>
      </w:r>
      <w:r>
        <w:t xml:space="preserve">. </w:t>
      </w:r>
      <w:r w:rsidR="00453455">
        <w:t xml:space="preserve">In terms of other syntactic patterns, </w:t>
      </w:r>
      <w:r w:rsidR="00697EF6">
        <w:t>f</w:t>
      </w:r>
      <w:r w:rsidR="00453455">
        <w:t>urther study of what makes a structure parallel</w:t>
      </w:r>
      <w:r w:rsidR="00697EF6">
        <w:t xml:space="preserve"> is required</w:t>
      </w:r>
      <w:r w:rsidR="00453455">
        <w:t>, as often the quoted examples were not accurate</w:t>
      </w:r>
      <w:r w:rsidR="00180F5E">
        <w:t xml:space="preserve"> representations of this</w:t>
      </w:r>
      <w:r w:rsidR="00453455">
        <w:t xml:space="preserve">. </w:t>
      </w:r>
      <w:r w:rsidR="00E164F8" w:rsidRPr="00D14AF1">
        <w:t>Whil</w:t>
      </w:r>
      <w:r w:rsidR="00E164F8">
        <w:t>e</w:t>
      </w:r>
      <w:r w:rsidR="00E164F8" w:rsidRPr="00D14AF1">
        <w:t xml:space="preserve"> many </w:t>
      </w:r>
      <w:r w:rsidR="00E164F8">
        <w:t>responses</w:t>
      </w:r>
      <w:r w:rsidR="00E164F8" w:rsidRPr="00D14AF1">
        <w:t xml:space="preserve"> identified appropriate examples of semantic patterning, often they </w:t>
      </w:r>
      <w:r w:rsidR="00E164F8">
        <w:t xml:space="preserve">did not engage </w:t>
      </w:r>
      <w:r w:rsidR="00E164F8" w:rsidRPr="00D14AF1">
        <w:t xml:space="preserve">with the example when explaining how </w:t>
      </w:r>
      <w:r w:rsidR="00E164F8">
        <w:t xml:space="preserve">it </w:t>
      </w:r>
      <w:r w:rsidR="00E164F8" w:rsidRPr="00D14AF1">
        <w:t>related to one of Jakobson’s functions.</w:t>
      </w:r>
    </w:p>
    <w:p w14:paraId="5710A44F" w14:textId="5D75EAB8" w:rsidR="00641F23" w:rsidRDefault="00641F23" w:rsidP="003F3169">
      <w:pPr>
        <w:pStyle w:val="BodyText"/>
      </w:pPr>
      <w:r>
        <w:t xml:space="preserve">Some responses did not refer to a pattern as stated in the study design (page 13 for syntactic patterning and page 14 for semantic patterning), instead </w:t>
      </w:r>
      <w:r w:rsidR="002B0384" w:rsidRPr="00ED3F03">
        <w:t>used</w:t>
      </w:r>
      <w:r w:rsidR="002B0384">
        <w:t xml:space="preserve"> </w:t>
      </w:r>
      <w:r>
        <w:t xml:space="preserve">other metalanguage from the respective subsystems, such as declaratives or idioms. Only metalanguage terms listed under semantic patterning and syntactic patterning </w:t>
      </w:r>
      <w:r w:rsidR="00274301">
        <w:t xml:space="preserve">in the study design </w:t>
      </w:r>
      <w:r>
        <w:t xml:space="preserve">were accepted for </w:t>
      </w:r>
      <w:r w:rsidR="00571E37">
        <w:t xml:space="preserve">responses to </w:t>
      </w:r>
      <w:r>
        <w:t>this question.</w:t>
      </w:r>
    </w:p>
    <w:p w14:paraId="1A907FF2" w14:textId="77777777" w:rsidR="0051302C" w:rsidRDefault="0051302C" w:rsidP="0051302C">
      <w:pPr>
        <w:pStyle w:val="BodyText"/>
      </w:pPr>
      <w:r>
        <w:t>The following is an example of a higher-scoring response.</w:t>
      </w:r>
    </w:p>
    <w:tbl>
      <w:tblPr>
        <w:tblStyle w:val="TableGrid"/>
        <w:tblW w:w="0" w:type="auto"/>
        <w:tblInd w:w="720" w:type="dxa"/>
        <w:tblLook w:val="04A0" w:firstRow="1" w:lastRow="0" w:firstColumn="1" w:lastColumn="0" w:noHBand="0" w:noVBand="1"/>
      </w:tblPr>
      <w:tblGrid>
        <w:gridCol w:w="5229"/>
        <w:gridCol w:w="3680"/>
      </w:tblGrid>
      <w:tr w:rsidR="004C4994" w:rsidRPr="00D01329" w14:paraId="063A8536" w14:textId="77777777" w:rsidTr="00CE162F">
        <w:tc>
          <w:tcPr>
            <w:tcW w:w="5229" w:type="dxa"/>
            <w:tcBorders>
              <w:bottom w:val="single" w:sz="4" w:space="0" w:color="auto"/>
            </w:tcBorders>
          </w:tcPr>
          <w:p w14:paraId="516D5DB7" w14:textId="77777777" w:rsidR="004C4994" w:rsidRPr="00C25F6E" w:rsidRDefault="004C4994" w:rsidP="00074015">
            <w:pPr>
              <w:pStyle w:val="Tableheading"/>
              <w:rPr>
                <w:i/>
              </w:rPr>
            </w:pPr>
            <w:r w:rsidRPr="00C25F6E">
              <w:t>Student sample</w:t>
            </w:r>
          </w:p>
        </w:tc>
        <w:tc>
          <w:tcPr>
            <w:tcW w:w="3680" w:type="dxa"/>
            <w:tcBorders>
              <w:bottom w:val="single" w:sz="4" w:space="0" w:color="auto"/>
            </w:tcBorders>
          </w:tcPr>
          <w:p w14:paraId="6BB12738" w14:textId="77777777" w:rsidR="004C4994" w:rsidRPr="00C25F6E" w:rsidRDefault="004C4994" w:rsidP="00074015">
            <w:pPr>
              <w:pStyle w:val="Tableheading"/>
              <w:rPr>
                <w:i/>
              </w:rPr>
            </w:pPr>
            <w:r w:rsidRPr="00C25F6E">
              <w:t>Annotations</w:t>
            </w:r>
          </w:p>
        </w:tc>
      </w:tr>
      <w:tr w:rsidR="004C4994" w14:paraId="3FA66FE5" w14:textId="77777777" w:rsidTr="00CE162F">
        <w:tc>
          <w:tcPr>
            <w:tcW w:w="5229" w:type="dxa"/>
            <w:tcBorders>
              <w:bottom w:val="nil"/>
            </w:tcBorders>
          </w:tcPr>
          <w:p w14:paraId="3CFE973E" w14:textId="027A4CDF" w:rsidR="004C4994" w:rsidRPr="00DD371D" w:rsidRDefault="00742E5B" w:rsidP="000003F7">
            <w:pPr>
              <w:pStyle w:val="Studentresponse"/>
            </w:pPr>
            <w:r>
              <w:t>Semantic patterning is seen with the use of the metaphor “made waves” (21), which compares the impact Frank Green had at the New York Climate Week to the size and impact of ocean waves. This thus emphasises the extent of Frank Green’s impact on global events in a playful manner, helping build a reliable image for the business to build rapport while also supporting the poetic function.</w:t>
            </w:r>
          </w:p>
        </w:tc>
        <w:tc>
          <w:tcPr>
            <w:tcW w:w="3680" w:type="dxa"/>
            <w:tcBorders>
              <w:bottom w:val="nil"/>
            </w:tcBorders>
          </w:tcPr>
          <w:p w14:paraId="0DFD0B48" w14:textId="29FC4B44" w:rsidR="004C4994" w:rsidRPr="00DD371D" w:rsidRDefault="00742E5B" w:rsidP="006E6207">
            <w:pPr>
              <w:pStyle w:val="BodyText"/>
              <w:rPr>
                <w:bCs/>
                <w:iCs/>
                <w:highlight w:val="lightGray"/>
              </w:rPr>
            </w:pPr>
            <w:r>
              <w:rPr>
                <w:bCs/>
                <w:iCs/>
              </w:rPr>
              <w:t>This response explicitly refer</w:t>
            </w:r>
            <w:r w:rsidR="008470F1">
              <w:rPr>
                <w:bCs/>
                <w:iCs/>
              </w:rPr>
              <w:t>red</w:t>
            </w:r>
            <w:r>
              <w:rPr>
                <w:bCs/>
                <w:iCs/>
              </w:rPr>
              <w:t xml:space="preserve"> to the metaphorical comparison between impact and ocean waves</w:t>
            </w:r>
            <w:r w:rsidR="00EA0B2E">
              <w:rPr>
                <w:bCs/>
                <w:iCs/>
              </w:rPr>
              <w:t>, demonstrating an understanding of how figurative language draws attention to itself by being playful</w:t>
            </w:r>
            <w:r>
              <w:rPr>
                <w:bCs/>
                <w:iCs/>
              </w:rPr>
              <w:t>.</w:t>
            </w:r>
          </w:p>
        </w:tc>
      </w:tr>
      <w:tr w:rsidR="004C4994" w14:paraId="46A4F85E" w14:textId="77777777" w:rsidTr="00CE162F">
        <w:tc>
          <w:tcPr>
            <w:tcW w:w="5229" w:type="dxa"/>
            <w:tcBorders>
              <w:top w:val="nil"/>
            </w:tcBorders>
          </w:tcPr>
          <w:p w14:paraId="6F1F7A82" w14:textId="33E1626A" w:rsidR="004C4994" w:rsidRPr="00D01329" w:rsidRDefault="00742E5B" w:rsidP="000003F7">
            <w:pPr>
              <w:pStyle w:val="Studentresponse"/>
              <w:rPr>
                <w:i/>
              </w:rPr>
            </w:pPr>
            <w:r>
              <w:t>Syntactic patterning in the form of syntactic comma listing in “Lunch range</w:t>
            </w:r>
            <w:r w:rsidR="00E138A1">
              <w:t xml:space="preserve"> </w:t>
            </w:r>
            <w:r>
              <w:t>… colours” (10-11) is used to list out a series of products from Frank Green all at once. This clarifies to the audience of the various new products without the need for repetition, thus fulfilling a referential function.</w:t>
            </w:r>
          </w:p>
        </w:tc>
        <w:tc>
          <w:tcPr>
            <w:tcW w:w="3680" w:type="dxa"/>
            <w:tcBorders>
              <w:top w:val="nil"/>
            </w:tcBorders>
          </w:tcPr>
          <w:p w14:paraId="25ABB0A9" w14:textId="02373315" w:rsidR="004C4994" w:rsidRPr="00042640" w:rsidRDefault="00742E5B" w:rsidP="006E6207">
            <w:pPr>
              <w:pStyle w:val="BodyText"/>
              <w:rPr>
                <w:i/>
                <w:highlight w:val="lightGray"/>
              </w:rPr>
            </w:pPr>
            <w:r>
              <w:rPr>
                <w:bCs/>
                <w:iCs/>
              </w:rPr>
              <w:t>The response engage</w:t>
            </w:r>
            <w:r w:rsidR="008470F1">
              <w:rPr>
                <w:bCs/>
                <w:iCs/>
              </w:rPr>
              <w:t>d</w:t>
            </w:r>
            <w:r>
              <w:rPr>
                <w:bCs/>
                <w:iCs/>
              </w:rPr>
              <w:t xml:space="preserve"> with the contents of the text, explaining what </w:t>
            </w:r>
            <w:r w:rsidR="002B0384" w:rsidRPr="00DF66BA">
              <w:rPr>
                <w:bCs/>
                <w:iCs/>
              </w:rPr>
              <w:t>wa</w:t>
            </w:r>
            <w:r w:rsidRPr="004F736D">
              <w:rPr>
                <w:bCs/>
                <w:iCs/>
              </w:rPr>
              <w:t>s</w:t>
            </w:r>
            <w:r>
              <w:rPr>
                <w:bCs/>
                <w:iCs/>
              </w:rPr>
              <w:t xml:space="preserve"> contained within the list as well as how the listing </w:t>
            </w:r>
            <w:r w:rsidRPr="004F736D">
              <w:rPr>
                <w:bCs/>
                <w:iCs/>
              </w:rPr>
              <w:t>support</w:t>
            </w:r>
            <w:r w:rsidR="002B0384" w:rsidRPr="00DF66BA">
              <w:rPr>
                <w:bCs/>
                <w:iCs/>
              </w:rPr>
              <w:t>ed</w:t>
            </w:r>
            <w:r>
              <w:rPr>
                <w:bCs/>
                <w:iCs/>
              </w:rPr>
              <w:t xml:space="preserve"> a referential function.</w:t>
            </w:r>
          </w:p>
        </w:tc>
      </w:tr>
    </w:tbl>
    <w:p w14:paraId="4D9456A4" w14:textId="77777777" w:rsidR="00E42B59" w:rsidRPr="00D63201" w:rsidRDefault="00E42B59" w:rsidP="00D63201">
      <w:pPr>
        <w:pStyle w:val="BodyText"/>
      </w:pPr>
      <w:r w:rsidRPr="00D63201">
        <w:br w:type="page"/>
      </w:r>
    </w:p>
    <w:p w14:paraId="4B025DC9" w14:textId="01FC7800" w:rsidR="00945034" w:rsidRPr="00515D1A" w:rsidRDefault="00945034" w:rsidP="0088613A">
      <w:pPr>
        <w:pStyle w:val="Heading3"/>
      </w:pPr>
      <w:r w:rsidRPr="00515D1A">
        <w:lastRenderedPageBreak/>
        <w:t>Question 4</w:t>
      </w:r>
    </w:p>
    <w:tbl>
      <w:tblPr>
        <w:tblStyle w:val="VCAATableClosed"/>
        <w:tblW w:w="0" w:type="auto"/>
        <w:tblLook w:val="01E0" w:firstRow="1" w:lastRow="1" w:firstColumn="1" w:lastColumn="1" w:noHBand="0" w:noVBand="0"/>
      </w:tblPr>
      <w:tblGrid>
        <w:gridCol w:w="907"/>
        <w:gridCol w:w="907"/>
        <w:gridCol w:w="907"/>
        <w:gridCol w:w="1085"/>
        <w:gridCol w:w="1085"/>
        <w:gridCol w:w="1085"/>
        <w:gridCol w:w="1085"/>
        <w:gridCol w:w="1085"/>
      </w:tblGrid>
      <w:tr w:rsidR="009444E5" w:rsidRPr="00515D1A" w14:paraId="6D56D075" w14:textId="77777777" w:rsidTr="009B39EA">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4D4D45E" w14:textId="77777777" w:rsidR="009444E5" w:rsidRPr="00515D1A" w:rsidRDefault="009444E5" w:rsidP="00244860">
            <w:pPr>
              <w:pStyle w:val="Tablecondensedheading"/>
              <w:rPr>
                <w:lang w:val="en-AU"/>
              </w:rPr>
            </w:pPr>
            <w:r w:rsidRPr="00515D1A">
              <w:rPr>
                <w:lang w:val="en-AU"/>
              </w:rPr>
              <w:t>Marks</w:t>
            </w:r>
          </w:p>
        </w:tc>
        <w:tc>
          <w:tcPr>
            <w:tcW w:w="907" w:type="dxa"/>
          </w:tcPr>
          <w:p w14:paraId="63E3E6A6" w14:textId="77777777" w:rsidR="009444E5" w:rsidRPr="00515D1A" w:rsidRDefault="009444E5" w:rsidP="00244860">
            <w:pPr>
              <w:pStyle w:val="Tablecondensedheading"/>
              <w:rPr>
                <w:lang w:val="en-AU"/>
              </w:rPr>
            </w:pPr>
            <w:r w:rsidRPr="00515D1A">
              <w:rPr>
                <w:lang w:val="en-AU"/>
              </w:rPr>
              <w:t>0</w:t>
            </w:r>
          </w:p>
        </w:tc>
        <w:tc>
          <w:tcPr>
            <w:tcW w:w="907" w:type="dxa"/>
          </w:tcPr>
          <w:p w14:paraId="3914599A" w14:textId="77777777" w:rsidR="009444E5" w:rsidRPr="00515D1A" w:rsidRDefault="009444E5" w:rsidP="00244860">
            <w:pPr>
              <w:pStyle w:val="Tablecondensedheading"/>
              <w:rPr>
                <w:lang w:val="en-AU"/>
              </w:rPr>
            </w:pPr>
            <w:r w:rsidRPr="00515D1A">
              <w:rPr>
                <w:lang w:val="en-AU"/>
              </w:rPr>
              <w:t>1</w:t>
            </w:r>
          </w:p>
        </w:tc>
        <w:tc>
          <w:tcPr>
            <w:tcW w:w="1085" w:type="dxa"/>
          </w:tcPr>
          <w:p w14:paraId="5CBE46FB" w14:textId="77777777" w:rsidR="009444E5" w:rsidRPr="00515D1A" w:rsidRDefault="009444E5" w:rsidP="00244860">
            <w:pPr>
              <w:pStyle w:val="Tablecondensedheading"/>
              <w:rPr>
                <w:lang w:val="en-AU"/>
              </w:rPr>
            </w:pPr>
            <w:r w:rsidRPr="00515D1A">
              <w:rPr>
                <w:lang w:val="en-AU"/>
              </w:rPr>
              <w:t>2</w:t>
            </w:r>
          </w:p>
        </w:tc>
        <w:tc>
          <w:tcPr>
            <w:tcW w:w="1085" w:type="dxa"/>
          </w:tcPr>
          <w:p w14:paraId="0AB5E374" w14:textId="77777777" w:rsidR="009444E5" w:rsidRPr="00515D1A" w:rsidRDefault="009444E5" w:rsidP="00244860">
            <w:pPr>
              <w:pStyle w:val="Tablecondensedheading"/>
              <w:rPr>
                <w:lang w:val="en-AU"/>
              </w:rPr>
            </w:pPr>
            <w:r w:rsidRPr="00515D1A">
              <w:rPr>
                <w:lang w:val="en-AU"/>
              </w:rPr>
              <w:t>3</w:t>
            </w:r>
          </w:p>
        </w:tc>
        <w:tc>
          <w:tcPr>
            <w:tcW w:w="1085" w:type="dxa"/>
          </w:tcPr>
          <w:p w14:paraId="7EE38B90" w14:textId="77777777" w:rsidR="009444E5" w:rsidRPr="00515D1A" w:rsidRDefault="009444E5" w:rsidP="00244860">
            <w:pPr>
              <w:pStyle w:val="Tablecondensedheading"/>
              <w:rPr>
                <w:lang w:val="en-AU"/>
              </w:rPr>
            </w:pPr>
            <w:r w:rsidRPr="00515D1A">
              <w:rPr>
                <w:lang w:val="en-AU"/>
              </w:rPr>
              <w:t>4</w:t>
            </w:r>
          </w:p>
        </w:tc>
        <w:tc>
          <w:tcPr>
            <w:tcW w:w="1085" w:type="dxa"/>
          </w:tcPr>
          <w:p w14:paraId="3ACC9606" w14:textId="5656AC62" w:rsidR="009444E5" w:rsidRPr="00515D1A" w:rsidRDefault="009444E5" w:rsidP="00244860">
            <w:pPr>
              <w:pStyle w:val="Tablecondensedheading"/>
              <w:rPr>
                <w:lang w:val="en-AU"/>
              </w:rPr>
            </w:pPr>
            <w:r>
              <w:rPr>
                <w:lang w:val="en-AU"/>
              </w:rPr>
              <w:t>5</w:t>
            </w:r>
          </w:p>
        </w:tc>
        <w:tc>
          <w:tcPr>
            <w:tcW w:w="1085" w:type="dxa"/>
          </w:tcPr>
          <w:p w14:paraId="7A6E1CE1" w14:textId="144BCB8D" w:rsidR="009444E5" w:rsidRPr="00515D1A" w:rsidRDefault="009444E5" w:rsidP="00244860">
            <w:pPr>
              <w:pStyle w:val="Tablecondensedheading"/>
              <w:rPr>
                <w:lang w:val="en-AU"/>
              </w:rPr>
            </w:pPr>
            <w:r w:rsidRPr="00515D1A">
              <w:rPr>
                <w:lang w:val="en-AU"/>
              </w:rPr>
              <w:t>Average</w:t>
            </w:r>
          </w:p>
        </w:tc>
      </w:tr>
      <w:tr w:rsidR="009444E5" w:rsidRPr="00515D1A" w14:paraId="779780A1" w14:textId="77777777" w:rsidTr="009B39EA">
        <w:trPr>
          <w:trHeight w:hRule="exact" w:val="397"/>
        </w:trPr>
        <w:tc>
          <w:tcPr>
            <w:tcW w:w="907" w:type="dxa"/>
          </w:tcPr>
          <w:p w14:paraId="368807EC" w14:textId="77777777" w:rsidR="009444E5" w:rsidRPr="00515D1A" w:rsidRDefault="009444E5" w:rsidP="00574B93">
            <w:pPr>
              <w:pStyle w:val="Tablecondensed"/>
              <w:rPr>
                <w:lang w:val="en-AU"/>
              </w:rPr>
            </w:pPr>
            <w:r w:rsidRPr="00515D1A">
              <w:rPr>
                <w:lang w:val="en-AU"/>
              </w:rPr>
              <w:t>%</w:t>
            </w:r>
          </w:p>
        </w:tc>
        <w:tc>
          <w:tcPr>
            <w:tcW w:w="907" w:type="dxa"/>
          </w:tcPr>
          <w:p w14:paraId="1BA4C679" w14:textId="0D06CCF7" w:rsidR="009444E5" w:rsidRPr="00515D1A" w:rsidRDefault="00E4321B" w:rsidP="00574B93">
            <w:pPr>
              <w:pStyle w:val="Tablecondensed"/>
              <w:rPr>
                <w:lang w:val="en-AU"/>
              </w:rPr>
            </w:pPr>
            <w:r>
              <w:rPr>
                <w:lang w:val="en-AU"/>
              </w:rPr>
              <w:t>10</w:t>
            </w:r>
          </w:p>
        </w:tc>
        <w:tc>
          <w:tcPr>
            <w:tcW w:w="907" w:type="dxa"/>
          </w:tcPr>
          <w:p w14:paraId="1B5ECC5A" w14:textId="4F071806" w:rsidR="009444E5" w:rsidRPr="00515D1A" w:rsidRDefault="00E4321B" w:rsidP="00574B93">
            <w:pPr>
              <w:pStyle w:val="Tablecondensed"/>
              <w:rPr>
                <w:lang w:val="en-AU"/>
              </w:rPr>
            </w:pPr>
            <w:r>
              <w:rPr>
                <w:lang w:val="en-AU"/>
              </w:rPr>
              <w:t>20</w:t>
            </w:r>
          </w:p>
        </w:tc>
        <w:tc>
          <w:tcPr>
            <w:tcW w:w="1085" w:type="dxa"/>
          </w:tcPr>
          <w:p w14:paraId="1ED25B9C" w14:textId="29189D89" w:rsidR="009444E5" w:rsidRPr="00515D1A" w:rsidRDefault="00E4321B" w:rsidP="00574B93">
            <w:pPr>
              <w:pStyle w:val="Tablecondensed"/>
              <w:rPr>
                <w:bCs/>
                <w:lang w:val="en-AU"/>
              </w:rPr>
            </w:pPr>
            <w:r>
              <w:rPr>
                <w:bCs/>
                <w:lang w:val="en-AU"/>
              </w:rPr>
              <w:t>38</w:t>
            </w:r>
          </w:p>
        </w:tc>
        <w:tc>
          <w:tcPr>
            <w:tcW w:w="1085" w:type="dxa"/>
          </w:tcPr>
          <w:p w14:paraId="07112B05" w14:textId="7BD2EC44" w:rsidR="009444E5" w:rsidRPr="00515D1A" w:rsidRDefault="00E4321B" w:rsidP="00574B93">
            <w:pPr>
              <w:pStyle w:val="Tablecondensed"/>
              <w:rPr>
                <w:bCs/>
                <w:lang w:val="en-AU"/>
              </w:rPr>
            </w:pPr>
            <w:r>
              <w:rPr>
                <w:bCs/>
                <w:lang w:val="en-AU"/>
              </w:rPr>
              <w:t>25</w:t>
            </w:r>
          </w:p>
        </w:tc>
        <w:tc>
          <w:tcPr>
            <w:tcW w:w="1085" w:type="dxa"/>
          </w:tcPr>
          <w:p w14:paraId="38AC0CE6" w14:textId="65BEE795" w:rsidR="009444E5" w:rsidRPr="00515D1A" w:rsidRDefault="00E4321B" w:rsidP="00574B93">
            <w:pPr>
              <w:pStyle w:val="Tablecondensed"/>
              <w:rPr>
                <w:bCs/>
                <w:lang w:val="en-AU"/>
              </w:rPr>
            </w:pPr>
            <w:r>
              <w:rPr>
                <w:bCs/>
                <w:lang w:val="en-AU"/>
              </w:rPr>
              <w:t>6</w:t>
            </w:r>
          </w:p>
        </w:tc>
        <w:tc>
          <w:tcPr>
            <w:tcW w:w="1085" w:type="dxa"/>
          </w:tcPr>
          <w:p w14:paraId="15937E08" w14:textId="2C5EAA6C" w:rsidR="009444E5" w:rsidRPr="00515D1A" w:rsidRDefault="004C755C" w:rsidP="00574B93">
            <w:pPr>
              <w:pStyle w:val="Tablecondensed"/>
              <w:rPr>
                <w:lang w:val="en-AU"/>
              </w:rPr>
            </w:pPr>
            <w:r>
              <w:rPr>
                <w:lang w:val="en-AU"/>
              </w:rPr>
              <w:t>0.5</w:t>
            </w:r>
          </w:p>
        </w:tc>
        <w:tc>
          <w:tcPr>
            <w:tcW w:w="1085" w:type="dxa"/>
          </w:tcPr>
          <w:p w14:paraId="3B77A23B" w14:textId="5AF07EBD" w:rsidR="009444E5" w:rsidRPr="00515D1A" w:rsidRDefault="00E4321B" w:rsidP="00574B93">
            <w:pPr>
              <w:pStyle w:val="Tablecondensed"/>
              <w:rPr>
                <w:lang w:val="en-AU"/>
              </w:rPr>
            </w:pPr>
            <w:r>
              <w:rPr>
                <w:lang w:val="en-AU"/>
              </w:rPr>
              <w:t>2</w:t>
            </w:r>
            <w:r w:rsidR="004C755C">
              <w:rPr>
                <w:lang w:val="en-AU"/>
              </w:rPr>
              <w:t>.0</w:t>
            </w:r>
          </w:p>
        </w:tc>
      </w:tr>
    </w:tbl>
    <w:p w14:paraId="7174A76F" w14:textId="52F2F568" w:rsidR="00945034" w:rsidRDefault="008366A0" w:rsidP="003F3169">
      <w:pPr>
        <w:pStyle w:val="BodyText"/>
      </w:pPr>
      <w:r>
        <w:t xml:space="preserve">Question 4 required </w:t>
      </w:r>
      <w:r w:rsidR="00EC2950">
        <w:t>responses that demonstrated a</w:t>
      </w:r>
      <w:r>
        <w:t xml:space="preserve"> clear awareness of </w:t>
      </w:r>
      <w:r w:rsidR="007C28F3">
        <w:t xml:space="preserve">how the register of Young’s language in the email helped to achieve a range of purposes and intents, </w:t>
      </w:r>
      <w:r w:rsidR="00E20618">
        <w:t xml:space="preserve">as well as </w:t>
      </w:r>
      <w:r w:rsidR="007C28F3">
        <w:t>linking to elements of the cultural context</w:t>
      </w:r>
      <w:r w:rsidR="00FA3718">
        <w:t>. These</w:t>
      </w:r>
      <w:r w:rsidR="008E7504">
        <w:t xml:space="preserve"> extralinguistic circumstances</w:t>
      </w:r>
      <w:r w:rsidR="00FA3718">
        <w:t xml:space="preserve"> included</w:t>
      </w:r>
      <w:r w:rsidR="008E7504">
        <w:t xml:space="preserve"> the values, attitudes and beliefs of Young himself</w:t>
      </w:r>
      <w:r w:rsidR="00E20618">
        <w:t>,</w:t>
      </w:r>
      <w:r w:rsidR="008E7504">
        <w:t xml:space="preserve"> frank green as a company and Hilary as the recipient of the email.</w:t>
      </w:r>
      <w:r w:rsidR="00612E11">
        <w:t xml:space="preserve"> The shifting nature of the register in the text was notable, </w:t>
      </w:r>
      <w:r w:rsidR="00A76709">
        <w:t xml:space="preserve">with formal language </w:t>
      </w:r>
      <w:r w:rsidR="00612E11">
        <w:t xml:space="preserve">providing legitimacy and prestige </w:t>
      </w:r>
      <w:r w:rsidR="00A76709">
        <w:t>and informal language</w:t>
      </w:r>
      <w:r w:rsidR="00612E11">
        <w:t xml:space="preserve"> creating a sense of personal correspondence, humanising the c</w:t>
      </w:r>
      <w:r w:rsidR="00C524B9">
        <w:t>ompany</w:t>
      </w:r>
      <w:r w:rsidR="00612E11">
        <w:t>.</w:t>
      </w:r>
    </w:p>
    <w:p w14:paraId="6EA33227" w14:textId="7A3CB6E9" w:rsidR="00D4723E" w:rsidRDefault="00E20618" w:rsidP="003F3169">
      <w:pPr>
        <w:pStyle w:val="BodyText"/>
      </w:pPr>
      <w:r>
        <w:t>D</w:t>
      </w:r>
      <w:r w:rsidR="00D4723E">
        <w:t xml:space="preserve">iscussion of register </w:t>
      </w:r>
      <w:r>
        <w:t xml:space="preserve">in this question </w:t>
      </w:r>
      <w:r w:rsidR="00D4723E">
        <w:t>could be linked to a range of purposes/intents</w:t>
      </w:r>
      <w:r w:rsidR="005A7226">
        <w:t xml:space="preserve"> and e</w:t>
      </w:r>
      <w:r w:rsidR="00D4723E" w:rsidRPr="009B2B93">
        <w:t xml:space="preserve">vidence </w:t>
      </w:r>
      <w:r w:rsidR="00D4723E">
        <w:t xml:space="preserve">was therefore varied across the email. </w:t>
      </w:r>
      <w:r w:rsidR="00B8753C">
        <w:t>R</w:t>
      </w:r>
      <w:r w:rsidR="00D4723E">
        <w:t>esponses generally showed a good understanding of a range of purposes</w:t>
      </w:r>
      <w:r w:rsidR="00B66F0B">
        <w:t>/</w:t>
      </w:r>
      <w:r w:rsidR="00D4723E">
        <w:t>intents. Higher</w:t>
      </w:r>
      <w:r>
        <w:t>-</w:t>
      </w:r>
      <w:r w:rsidR="00D4723E">
        <w:t>scoring responses linked these to contextual elements</w:t>
      </w:r>
      <w:r w:rsidR="00BD3698">
        <w:t>,</w:t>
      </w:r>
      <w:r w:rsidR="00D4723E">
        <w:t xml:space="preserve"> such as Hilary’s role as a customer suggesting a belief in sustainable products.</w:t>
      </w:r>
    </w:p>
    <w:p w14:paraId="0F897096" w14:textId="671DA070" w:rsidR="00761D9D" w:rsidRDefault="00BD3698" w:rsidP="003F3169">
      <w:pPr>
        <w:pStyle w:val="BodyText"/>
      </w:pPr>
      <w:r>
        <w:t>Lower-scoring r</w:t>
      </w:r>
      <w:r w:rsidR="00BD58F9">
        <w:t xml:space="preserve">esponses </w:t>
      </w:r>
      <w:r w:rsidR="004D6E97">
        <w:t>neglected core components of the question, such as register, or provided disconnected discussions of each example without considering how they connect with each other or work to reflect register, purposes/intents and/or cultural context.</w:t>
      </w:r>
      <w:r w:rsidR="0007417E">
        <w:t xml:space="preserve"> High</w:t>
      </w:r>
      <w:r>
        <w:t>-</w:t>
      </w:r>
      <w:r w:rsidR="0007417E">
        <w:t>scoring responses did this in a nuanced way, noting also the plurality of the question (</w:t>
      </w:r>
      <w:r>
        <w:t>for example,</w:t>
      </w:r>
      <w:r w:rsidR="0007417E">
        <w:t xml:space="preserve"> </w:t>
      </w:r>
      <w:r>
        <w:t>‘</w:t>
      </w:r>
      <w:r w:rsidR="0007417E">
        <w:t>purposes</w:t>
      </w:r>
      <w:r>
        <w:t>’</w:t>
      </w:r>
      <w:r w:rsidR="0007417E">
        <w:t xml:space="preserve">, </w:t>
      </w:r>
      <w:r>
        <w:t>‘</w:t>
      </w:r>
      <w:r w:rsidR="0007417E">
        <w:t>references</w:t>
      </w:r>
      <w:r>
        <w:t>’</w:t>
      </w:r>
      <w:r w:rsidR="0007417E">
        <w:t>).</w:t>
      </w:r>
      <w:r w:rsidR="00D97D89">
        <w:t xml:space="preserve"> Similarly, higher</w:t>
      </w:r>
      <w:r w:rsidR="00FD1E76">
        <w:t>-</w:t>
      </w:r>
      <w:r w:rsidR="00D97D89">
        <w:t xml:space="preserve">scoring responses provided strong evidence of register, particularly when referring to formal elements. It </w:t>
      </w:r>
      <w:r w:rsidR="00D97D89" w:rsidRPr="001E1F25">
        <w:t>is</w:t>
      </w:r>
      <w:r w:rsidR="00D97D89">
        <w:t xml:space="preserve"> important to select salient </w:t>
      </w:r>
      <w:r w:rsidR="00302880">
        <w:t>metalanguage</w:t>
      </w:r>
      <w:r w:rsidR="00D97D89">
        <w:t xml:space="preserve"> to demonstrate register.</w:t>
      </w:r>
    </w:p>
    <w:p w14:paraId="7CE36F7E" w14:textId="31E711D5" w:rsidR="00F92F5D" w:rsidRDefault="00B66F0B" w:rsidP="003F3169">
      <w:pPr>
        <w:pStyle w:val="BodyText"/>
        <w:rPr>
          <w:lang w:val="en-US"/>
        </w:rPr>
      </w:pPr>
      <w:r w:rsidRPr="00B66F0B">
        <w:rPr>
          <w:lang w:val="en-US"/>
        </w:rPr>
        <w:t>Where questions worth several marks require multiple integrated examples, students could consider briefly planning their responses first, to shape a clear direction from the start and allow a full and confident response</w:t>
      </w:r>
      <w:r w:rsidR="00AF150B">
        <w:rPr>
          <w:lang w:val="en-US"/>
        </w:rPr>
        <w:t>.</w:t>
      </w:r>
    </w:p>
    <w:p w14:paraId="35DCC79A" w14:textId="77777777" w:rsidR="0051302C" w:rsidRDefault="0051302C" w:rsidP="0051302C">
      <w:pPr>
        <w:pStyle w:val="BodyText"/>
      </w:pPr>
      <w:r>
        <w:t>The following is an example of a higher-scoring response.</w:t>
      </w:r>
    </w:p>
    <w:tbl>
      <w:tblPr>
        <w:tblStyle w:val="TableGrid"/>
        <w:tblW w:w="0" w:type="auto"/>
        <w:tblInd w:w="720" w:type="dxa"/>
        <w:tblLook w:val="04A0" w:firstRow="1" w:lastRow="0" w:firstColumn="1" w:lastColumn="0" w:noHBand="0" w:noVBand="1"/>
      </w:tblPr>
      <w:tblGrid>
        <w:gridCol w:w="4945"/>
        <w:gridCol w:w="3964"/>
      </w:tblGrid>
      <w:tr w:rsidR="009959C6" w:rsidRPr="00D01329" w14:paraId="2E871E5F" w14:textId="77777777" w:rsidTr="00E1673F">
        <w:tc>
          <w:tcPr>
            <w:tcW w:w="4945" w:type="dxa"/>
            <w:tcBorders>
              <w:bottom w:val="single" w:sz="4" w:space="0" w:color="auto"/>
            </w:tcBorders>
          </w:tcPr>
          <w:p w14:paraId="467C67D6" w14:textId="77777777" w:rsidR="009959C6" w:rsidRPr="00C25F6E" w:rsidRDefault="009959C6" w:rsidP="00074015">
            <w:pPr>
              <w:pStyle w:val="Tableheading"/>
              <w:rPr>
                <w:i/>
              </w:rPr>
            </w:pPr>
            <w:r w:rsidRPr="00C25F6E">
              <w:t>Student sample</w:t>
            </w:r>
          </w:p>
        </w:tc>
        <w:tc>
          <w:tcPr>
            <w:tcW w:w="3964" w:type="dxa"/>
            <w:tcBorders>
              <w:bottom w:val="single" w:sz="4" w:space="0" w:color="auto"/>
            </w:tcBorders>
          </w:tcPr>
          <w:p w14:paraId="2DA859BB" w14:textId="77777777" w:rsidR="009959C6" w:rsidRPr="00C25F6E" w:rsidRDefault="009959C6" w:rsidP="00074015">
            <w:pPr>
              <w:pStyle w:val="Tableheading"/>
              <w:rPr>
                <w:i/>
              </w:rPr>
            </w:pPr>
            <w:r w:rsidRPr="00C25F6E">
              <w:t>Annotations</w:t>
            </w:r>
          </w:p>
        </w:tc>
      </w:tr>
      <w:tr w:rsidR="009959C6" w14:paraId="4D1C46D7" w14:textId="77777777" w:rsidTr="00E1673F">
        <w:tc>
          <w:tcPr>
            <w:tcW w:w="4945" w:type="dxa"/>
            <w:tcBorders>
              <w:bottom w:val="nil"/>
            </w:tcBorders>
          </w:tcPr>
          <w:p w14:paraId="10A4E846" w14:textId="29944955" w:rsidR="009959C6" w:rsidRPr="00DD371D" w:rsidRDefault="0088168C" w:rsidP="000003F7">
            <w:pPr>
              <w:pStyle w:val="Studentresponse"/>
            </w:pPr>
            <w:r>
              <w:t>The text hosts a moderately formal register with elements of informality that allows Young to fulfil various purposes.</w:t>
            </w:r>
            <w:r w:rsidR="00C846A2">
              <w:t xml:space="preserve"> </w:t>
            </w:r>
            <w:r w:rsidR="00C846A2" w:rsidRPr="00C846A2">
              <w:t>Young’s use of the exclamative sentence “Thank you!” (2) as the subject of the email sets a warm, friendly tone thus fostering an amicable and affable tenor with the recipient. His decision to begin the email in this way allows him to immediately lower the register and the social distance with Hilary, thus fostering an air of sincerity and gratitude that contributes to the phatic function of the introduction.</w:t>
            </w:r>
            <w:r w:rsidR="00C846A2">
              <w:t xml:space="preserve"> </w:t>
            </w:r>
          </w:p>
        </w:tc>
        <w:tc>
          <w:tcPr>
            <w:tcW w:w="3964" w:type="dxa"/>
            <w:tcBorders>
              <w:bottom w:val="nil"/>
            </w:tcBorders>
          </w:tcPr>
          <w:p w14:paraId="216F7D07" w14:textId="60405F42" w:rsidR="009959C6" w:rsidRPr="00DD371D" w:rsidRDefault="00F72BF6" w:rsidP="006E6207">
            <w:pPr>
              <w:pStyle w:val="BodyText"/>
              <w:rPr>
                <w:bCs/>
                <w:iCs/>
                <w:highlight w:val="lightGray"/>
              </w:rPr>
            </w:pPr>
            <w:r w:rsidRPr="00F72BF6">
              <w:rPr>
                <w:bCs/>
                <w:iCs/>
              </w:rPr>
              <w:t xml:space="preserve">Register </w:t>
            </w:r>
            <w:r w:rsidR="008470F1">
              <w:rPr>
                <w:bCs/>
                <w:iCs/>
              </w:rPr>
              <w:t>wa</w:t>
            </w:r>
            <w:r w:rsidRPr="00F72BF6">
              <w:rPr>
                <w:bCs/>
                <w:iCs/>
              </w:rPr>
              <w:t>s immediately addressed</w:t>
            </w:r>
            <w:r>
              <w:rPr>
                <w:bCs/>
                <w:iCs/>
              </w:rPr>
              <w:t xml:space="preserve"> as being both formal and informal</w:t>
            </w:r>
            <w:r w:rsidRPr="00F72BF6">
              <w:rPr>
                <w:bCs/>
                <w:iCs/>
              </w:rPr>
              <w:t>.</w:t>
            </w:r>
            <w:r w:rsidR="00C846A2">
              <w:rPr>
                <w:bCs/>
                <w:iCs/>
              </w:rPr>
              <w:t xml:space="preserve"> Evidence </w:t>
            </w:r>
            <w:r w:rsidR="008470F1">
              <w:rPr>
                <w:bCs/>
                <w:iCs/>
              </w:rPr>
              <w:t>was</w:t>
            </w:r>
            <w:r w:rsidR="00C846A2">
              <w:rPr>
                <w:bCs/>
                <w:iCs/>
              </w:rPr>
              <w:t xml:space="preserve"> provided, with metalanguage</w:t>
            </w:r>
            <w:r w:rsidR="00577D2A">
              <w:rPr>
                <w:bCs/>
                <w:iCs/>
              </w:rPr>
              <w:t xml:space="preserve">, and links to a purpose/intent </w:t>
            </w:r>
            <w:r w:rsidR="008470F1">
              <w:rPr>
                <w:bCs/>
                <w:iCs/>
              </w:rPr>
              <w:t>were</w:t>
            </w:r>
            <w:r w:rsidR="00577D2A">
              <w:rPr>
                <w:bCs/>
                <w:iCs/>
              </w:rPr>
              <w:t xml:space="preserve"> made</w:t>
            </w:r>
            <w:r w:rsidR="00C846A2">
              <w:rPr>
                <w:bCs/>
                <w:iCs/>
              </w:rPr>
              <w:t>.</w:t>
            </w:r>
          </w:p>
        </w:tc>
      </w:tr>
      <w:tr w:rsidR="007D7CDE" w14:paraId="7F75E2AF" w14:textId="77777777" w:rsidTr="00E1673F">
        <w:tc>
          <w:tcPr>
            <w:tcW w:w="4945" w:type="dxa"/>
            <w:tcBorders>
              <w:top w:val="nil"/>
              <w:bottom w:val="nil"/>
            </w:tcBorders>
          </w:tcPr>
          <w:p w14:paraId="7CB53E07" w14:textId="771B30F3" w:rsidR="007D7CDE" w:rsidRDefault="007D7CDE" w:rsidP="000003F7">
            <w:pPr>
              <w:pStyle w:val="Studentresponse"/>
            </w:pPr>
            <w:r>
              <w:t>However, the register shifts in the main body of the email, adopting a more formal register through Young’s use of formulaic elements that adhere to the expectations and norms of a more formal email, such as through the declarative sentence “Here are some of the … this year” (8).</w:t>
            </w:r>
            <w:r w:rsidR="00C846A2">
              <w:t xml:space="preserve"> In doing so, Young establishes that there is a serious element to this email, thus conveying the magnitude and influence of their achievements. Furthermore, this adherence to the norms and expectations of company emails is </w:t>
            </w:r>
            <w:r w:rsidR="00C846A2">
              <w:lastRenderedPageBreak/>
              <w:t>reflective of Young’s identity as an owner of a business.</w:t>
            </w:r>
          </w:p>
        </w:tc>
        <w:tc>
          <w:tcPr>
            <w:tcW w:w="3964" w:type="dxa"/>
            <w:tcBorders>
              <w:top w:val="nil"/>
              <w:bottom w:val="nil"/>
            </w:tcBorders>
          </w:tcPr>
          <w:p w14:paraId="50198E53" w14:textId="47174051" w:rsidR="007D7CDE" w:rsidRPr="00042640" w:rsidRDefault="00C846A2" w:rsidP="006E6207">
            <w:pPr>
              <w:pStyle w:val="BodyText"/>
              <w:rPr>
                <w:i/>
                <w:highlight w:val="lightGray"/>
              </w:rPr>
            </w:pPr>
            <w:r>
              <w:rPr>
                <w:bCs/>
                <w:iCs/>
              </w:rPr>
              <w:lastRenderedPageBreak/>
              <w:t xml:space="preserve">Clear connections to cultural context </w:t>
            </w:r>
            <w:r w:rsidR="008470F1">
              <w:rPr>
                <w:bCs/>
                <w:iCs/>
              </w:rPr>
              <w:t>we</w:t>
            </w:r>
            <w:r w:rsidR="00326AD6">
              <w:rPr>
                <w:bCs/>
                <w:iCs/>
              </w:rPr>
              <w:t>re</w:t>
            </w:r>
            <w:r>
              <w:rPr>
                <w:bCs/>
                <w:iCs/>
              </w:rPr>
              <w:t xml:space="preserve"> made in terms of the beliefs that </w:t>
            </w:r>
            <w:proofErr w:type="gramStart"/>
            <w:r>
              <w:rPr>
                <w:bCs/>
                <w:iCs/>
              </w:rPr>
              <w:t>Young</w:t>
            </w:r>
            <w:proofErr w:type="gramEnd"/>
            <w:r>
              <w:rPr>
                <w:bCs/>
                <w:iCs/>
              </w:rPr>
              <w:t xml:space="preserve"> holds in conforming to norms and expectations. Note that there </w:t>
            </w:r>
            <w:r w:rsidR="008470F1">
              <w:rPr>
                <w:bCs/>
                <w:iCs/>
              </w:rPr>
              <w:t>wa</w:t>
            </w:r>
            <w:r>
              <w:rPr>
                <w:bCs/>
                <w:iCs/>
              </w:rPr>
              <w:t>s no requirement to state ‘cultural context’ explicitly.</w:t>
            </w:r>
            <w:r w:rsidR="006326D6">
              <w:rPr>
                <w:bCs/>
                <w:iCs/>
              </w:rPr>
              <w:t xml:space="preserve"> There </w:t>
            </w:r>
            <w:r w:rsidR="00CB16D1" w:rsidRPr="004F736D">
              <w:rPr>
                <w:bCs/>
                <w:iCs/>
              </w:rPr>
              <w:t>i</w:t>
            </w:r>
            <w:r w:rsidR="006326D6" w:rsidRPr="004F736D">
              <w:rPr>
                <w:bCs/>
                <w:iCs/>
              </w:rPr>
              <w:t>s</w:t>
            </w:r>
            <w:r w:rsidR="006326D6">
              <w:rPr>
                <w:bCs/>
                <w:iCs/>
              </w:rPr>
              <w:t xml:space="preserve"> an opportunity here for </w:t>
            </w:r>
            <w:r w:rsidR="00CB16D1">
              <w:rPr>
                <w:bCs/>
                <w:iCs/>
              </w:rPr>
              <w:t xml:space="preserve">use of </w:t>
            </w:r>
            <w:r w:rsidR="006326D6">
              <w:rPr>
                <w:bCs/>
                <w:iCs/>
              </w:rPr>
              <w:t xml:space="preserve">metalanguage to be </w:t>
            </w:r>
            <w:r w:rsidR="00CB16D1">
              <w:rPr>
                <w:bCs/>
                <w:iCs/>
              </w:rPr>
              <w:t xml:space="preserve">strengthened </w:t>
            </w:r>
            <w:r w:rsidR="006326D6">
              <w:rPr>
                <w:bCs/>
                <w:iCs/>
              </w:rPr>
              <w:t>to demonstrate the formal register.</w:t>
            </w:r>
          </w:p>
        </w:tc>
      </w:tr>
      <w:tr w:rsidR="007D7CDE" w14:paraId="654EC8F7" w14:textId="77777777" w:rsidTr="00E1673F">
        <w:tc>
          <w:tcPr>
            <w:tcW w:w="4945" w:type="dxa"/>
            <w:tcBorders>
              <w:top w:val="nil"/>
            </w:tcBorders>
          </w:tcPr>
          <w:p w14:paraId="17E3A91D" w14:textId="35CF3D83" w:rsidR="007D7CDE" w:rsidRDefault="007D7CDE" w:rsidP="000003F7">
            <w:pPr>
              <w:pStyle w:val="Studentresponse"/>
            </w:pPr>
            <w:r>
              <w:t>The text once again adopts elements of informality, as Young reiterates the phrase, now capitalised “THANK YOU!” (39). The capitali</w:t>
            </w:r>
            <w:r w:rsidR="00A42686">
              <w:t>s</w:t>
            </w:r>
            <w:r>
              <w:t>ation of the exclamative sentence reflects Young’s joyful, positive personality, whilst bolstering the text’s phatic function.</w:t>
            </w:r>
          </w:p>
        </w:tc>
        <w:tc>
          <w:tcPr>
            <w:tcW w:w="3964" w:type="dxa"/>
            <w:tcBorders>
              <w:top w:val="nil"/>
            </w:tcBorders>
          </w:tcPr>
          <w:p w14:paraId="13DB761C" w14:textId="4EC97973" w:rsidR="007D7CDE" w:rsidRPr="00042640" w:rsidRDefault="000375AB" w:rsidP="006E6207">
            <w:pPr>
              <w:pStyle w:val="BodyText"/>
              <w:rPr>
                <w:i/>
                <w:highlight w:val="lightGray"/>
              </w:rPr>
            </w:pPr>
            <w:r>
              <w:rPr>
                <w:bCs/>
                <w:iCs/>
              </w:rPr>
              <w:t>A t</w:t>
            </w:r>
            <w:r w:rsidR="00A42686">
              <w:rPr>
                <w:bCs/>
                <w:iCs/>
              </w:rPr>
              <w:t>hird</w:t>
            </w:r>
            <w:r w:rsidR="008D3E54">
              <w:rPr>
                <w:bCs/>
                <w:iCs/>
              </w:rPr>
              <w:t xml:space="preserve"> example </w:t>
            </w:r>
            <w:r w:rsidR="008470F1">
              <w:rPr>
                <w:bCs/>
                <w:iCs/>
              </w:rPr>
              <w:t>wa</w:t>
            </w:r>
            <w:r w:rsidR="008D3E54">
              <w:rPr>
                <w:bCs/>
                <w:iCs/>
              </w:rPr>
              <w:t>s provided, with metalanguage. Note that while the wording of the example matche</w:t>
            </w:r>
            <w:r w:rsidR="008470F1">
              <w:rPr>
                <w:bCs/>
                <w:iCs/>
              </w:rPr>
              <w:t>d</w:t>
            </w:r>
            <w:r w:rsidR="008D3E54">
              <w:rPr>
                <w:bCs/>
                <w:iCs/>
              </w:rPr>
              <w:t xml:space="preserve"> the first example, the</w:t>
            </w:r>
            <w:r w:rsidR="00F25873">
              <w:rPr>
                <w:bCs/>
                <w:iCs/>
              </w:rPr>
              <w:t xml:space="preserve"> line numbers differ</w:t>
            </w:r>
            <w:r w:rsidR="008470F1">
              <w:rPr>
                <w:bCs/>
                <w:iCs/>
              </w:rPr>
              <w:t>ed</w:t>
            </w:r>
            <w:r w:rsidR="00F25873">
              <w:rPr>
                <w:bCs/>
                <w:iCs/>
              </w:rPr>
              <w:t>, as d</w:t>
            </w:r>
            <w:r w:rsidR="008470F1">
              <w:rPr>
                <w:bCs/>
                <w:iCs/>
              </w:rPr>
              <w:t>id</w:t>
            </w:r>
            <w:r w:rsidR="00F25873">
              <w:rPr>
                <w:bCs/>
                <w:iCs/>
              </w:rPr>
              <w:t xml:space="preserve"> the</w:t>
            </w:r>
            <w:r w:rsidR="008D3E54">
              <w:rPr>
                <w:bCs/>
                <w:iCs/>
              </w:rPr>
              <w:t xml:space="preserve"> metalanguage </w:t>
            </w:r>
            <w:r w:rsidR="00F25873">
              <w:rPr>
                <w:bCs/>
                <w:iCs/>
              </w:rPr>
              <w:t xml:space="preserve">and the </w:t>
            </w:r>
            <w:r w:rsidR="008D72C7">
              <w:rPr>
                <w:bCs/>
                <w:iCs/>
              </w:rPr>
              <w:t>link to a purpose/intent of reflecting a joyful, positive personality</w:t>
            </w:r>
            <w:r w:rsidR="008D3E54">
              <w:rPr>
                <w:bCs/>
                <w:iCs/>
              </w:rPr>
              <w:t>.</w:t>
            </w:r>
          </w:p>
        </w:tc>
      </w:tr>
    </w:tbl>
    <w:p w14:paraId="14B92E93" w14:textId="119902E9" w:rsidR="00467E0D" w:rsidRPr="00C25F6E" w:rsidRDefault="00467E0D" w:rsidP="0088613A">
      <w:pPr>
        <w:pStyle w:val="Heading1"/>
      </w:pPr>
      <w:r w:rsidRPr="00C25F6E">
        <w:t xml:space="preserve">Section B: </w:t>
      </w:r>
      <w:r w:rsidR="00945034">
        <w:t>Analytical commentary</w:t>
      </w:r>
    </w:p>
    <w:p w14:paraId="3D75B039" w14:textId="77777777" w:rsidR="00945034" w:rsidRPr="00515D1A" w:rsidRDefault="00945034" w:rsidP="0088613A">
      <w:pPr>
        <w:pStyle w:val="Heading2"/>
      </w:pPr>
      <w:r w:rsidRPr="00515D1A">
        <w:t>Text 2</w:t>
      </w:r>
    </w:p>
    <w:p w14:paraId="66F64F73" w14:textId="37F6A476" w:rsidR="00945034" w:rsidRDefault="00945034" w:rsidP="000C7ACC">
      <w:pPr>
        <w:pStyle w:val="BodyText"/>
      </w:pPr>
      <w:r w:rsidRPr="00515D1A">
        <w:t>Text 2</w:t>
      </w:r>
      <w:r w:rsidR="00F369FE">
        <w:t xml:space="preserve"> was</w:t>
      </w:r>
      <w:r w:rsidR="00E96531">
        <w:t xml:space="preserve"> an acceptance speech </w:t>
      </w:r>
      <w:r w:rsidR="00E96531" w:rsidRPr="00E96531">
        <w:t xml:space="preserve">delivered at the NAIDOC </w:t>
      </w:r>
      <w:r w:rsidR="00AF150B">
        <w:t>A</w:t>
      </w:r>
      <w:r w:rsidR="00AF150B" w:rsidRPr="00E96531">
        <w:t xml:space="preserve">wards </w:t>
      </w:r>
      <w:r w:rsidR="00E96531" w:rsidRPr="00E96531">
        <w:t>by Professor Kelvin Kong</w:t>
      </w:r>
      <w:r w:rsidR="00E96531">
        <w:t xml:space="preserve">, the recipient of the NAIDOC </w:t>
      </w:r>
      <w:r w:rsidR="0078585D">
        <w:t>P</w:t>
      </w:r>
      <w:r w:rsidR="00E96531">
        <w:t xml:space="preserve">erson </w:t>
      </w:r>
      <w:r w:rsidR="0078585D">
        <w:t>A</w:t>
      </w:r>
      <w:r w:rsidR="00E96531">
        <w:t>ward</w:t>
      </w:r>
      <w:r w:rsidR="00F369FE">
        <w:t>.</w:t>
      </w:r>
      <w:r w:rsidR="00E96531">
        <w:t xml:space="preserve"> </w:t>
      </w:r>
      <w:r w:rsidR="00F369FE">
        <w:t>The speech wa</w:t>
      </w:r>
      <w:r w:rsidR="00E96531">
        <w:t xml:space="preserve">s highly emotive, </w:t>
      </w:r>
      <w:r w:rsidR="00E96531" w:rsidRPr="00E96531">
        <w:t>support</w:t>
      </w:r>
      <w:r w:rsidR="00E96531">
        <w:t>ing</w:t>
      </w:r>
      <w:r w:rsidR="00E96531" w:rsidRPr="00E96531">
        <w:t xml:space="preserve"> a wider purpose of showing gratitude to the committee and wider community</w:t>
      </w:r>
      <w:r w:rsidR="00E96531">
        <w:t xml:space="preserve">. In his speech, </w:t>
      </w:r>
      <w:r w:rsidR="00496016">
        <w:t xml:space="preserve">Professor </w:t>
      </w:r>
      <w:r w:rsidR="00E96531">
        <w:t>Kong</w:t>
      </w:r>
      <w:r w:rsidR="00E96531" w:rsidRPr="00E96531">
        <w:t xml:space="preserve"> celebrat</w:t>
      </w:r>
      <w:r w:rsidR="00E96531">
        <w:t>e</w:t>
      </w:r>
      <w:r w:rsidR="00F369FE">
        <w:t>d</w:t>
      </w:r>
      <w:r w:rsidR="00E96531" w:rsidRPr="00E96531">
        <w:t xml:space="preserve"> his culture and rais</w:t>
      </w:r>
      <w:r w:rsidR="00E96531">
        <w:t>e</w:t>
      </w:r>
      <w:r w:rsidR="00F369FE">
        <w:t>d</w:t>
      </w:r>
      <w:r w:rsidR="00E96531" w:rsidRPr="00E96531">
        <w:t xml:space="preserve"> awareness regarding ear health in Australia. The audience </w:t>
      </w:r>
      <w:r w:rsidR="00F369FE">
        <w:t>wa</w:t>
      </w:r>
      <w:r w:rsidR="00E96531" w:rsidRPr="00E96531">
        <w:t xml:space="preserve">s the live studio audience at the </w:t>
      </w:r>
      <w:r w:rsidR="006A2432" w:rsidRPr="00E96531">
        <w:t>ceremony;</w:t>
      </w:r>
      <w:r w:rsidR="00E96531" w:rsidRPr="00E96531">
        <w:t xml:space="preserve"> however,</w:t>
      </w:r>
      <w:r w:rsidR="000F3989">
        <w:t xml:space="preserve"> the speech</w:t>
      </w:r>
      <w:r w:rsidR="00E96531" w:rsidRPr="00E96531">
        <w:t xml:space="preserve"> </w:t>
      </w:r>
      <w:r w:rsidR="00F369FE">
        <w:t>wa</w:t>
      </w:r>
      <w:r w:rsidR="00E96531" w:rsidRPr="00E96531">
        <w:t>s also targeted to the broader Australian demographic</w:t>
      </w:r>
      <w:r w:rsidR="009E6A86">
        <w:t>. As</w:t>
      </w:r>
      <w:r w:rsidR="00F369FE">
        <w:t xml:space="preserve"> is</w:t>
      </w:r>
      <w:r w:rsidR="009E6A86">
        <w:t xml:space="preserve"> typical of a live address, the register </w:t>
      </w:r>
      <w:r w:rsidR="00496016">
        <w:t>he used</w:t>
      </w:r>
      <w:r w:rsidR="009E6A86">
        <w:t xml:space="preserve"> </w:t>
      </w:r>
      <w:r w:rsidR="00F369FE">
        <w:t>wa</w:t>
      </w:r>
      <w:r w:rsidR="009E6A86">
        <w:t xml:space="preserve">s both formal and informal. </w:t>
      </w:r>
      <w:r w:rsidR="0078585D">
        <w:t>Professor</w:t>
      </w:r>
      <w:r w:rsidR="009E6A86" w:rsidRPr="009E6A86">
        <w:t xml:space="preserve"> Kong d</w:t>
      </w:r>
      <w:r w:rsidR="00496016">
        <w:t>id</w:t>
      </w:r>
      <w:r w:rsidR="009E6A86" w:rsidRPr="009E6A86">
        <w:t xml:space="preserve"> not have an established relationship with the audience, except for a few </w:t>
      </w:r>
      <w:r w:rsidR="00F369FE">
        <w:t xml:space="preserve">people </w:t>
      </w:r>
      <w:r w:rsidR="009E6A86" w:rsidRPr="009E6A86">
        <w:t xml:space="preserve">mentioned specifically such as his wife. However, there </w:t>
      </w:r>
      <w:r w:rsidR="00F369FE">
        <w:t>we</w:t>
      </w:r>
      <w:r w:rsidR="009E6A86" w:rsidRPr="009E6A86">
        <w:t>re attempts of rapport-building with</w:t>
      </w:r>
      <w:r w:rsidR="008D228F">
        <w:t xml:space="preserve"> members of the audience from</w:t>
      </w:r>
      <w:r w:rsidR="009E6A86" w:rsidRPr="009E6A86">
        <w:t xml:space="preserve"> Aboriginal and Torres Strait Islander</w:t>
      </w:r>
      <w:r w:rsidR="008D228F">
        <w:t xml:space="preserve"> </w:t>
      </w:r>
      <w:r w:rsidR="009E6A86" w:rsidRPr="009E6A86">
        <w:t>background</w:t>
      </w:r>
      <w:r w:rsidR="008D228F">
        <w:t>s</w:t>
      </w:r>
      <w:r w:rsidR="009E6A86" w:rsidRPr="009E6A86">
        <w:t xml:space="preserve">. </w:t>
      </w:r>
      <w:r w:rsidR="00496016">
        <w:t>Professor</w:t>
      </w:r>
      <w:r w:rsidR="009E6A86" w:rsidRPr="009E6A86">
        <w:t xml:space="preserve"> Kong also attempt</w:t>
      </w:r>
      <w:r w:rsidR="00BD06F1">
        <w:t>ed</w:t>
      </w:r>
      <w:r w:rsidR="009E6A86" w:rsidRPr="009E6A86">
        <w:t xml:space="preserve"> to reduce social distance with the audience</w:t>
      </w:r>
      <w:r w:rsidR="008D228F">
        <w:t xml:space="preserve"> to lessen his</w:t>
      </w:r>
      <w:r w:rsidR="009E6A86" w:rsidRPr="009E6A86">
        <w:t xml:space="preserve"> place of privilege and success </w:t>
      </w:r>
      <w:r w:rsidR="008D228F">
        <w:t>(gained through</w:t>
      </w:r>
      <w:r w:rsidR="009E6A86" w:rsidRPr="009E6A86">
        <w:t xml:space="preserve"> education and career progression</w:t>
      </w:r>
      <w:r w:rsidR="008D228F">
        <w:t xml:space="preserve">) and to elevate solidarity with the </w:t>
      </w:r>
      <w:r w:rsidR="00BD06F1">
        <w:t xml:space="preserve">Aboriginal and Torres Strait Islander </w:t>
      </w:r>
      <w:r w:rsidR="008D228F">
        <w:t>communit</w:t>
      </w:r>
      <w:r w:rsidR="00BD06F1">
        <w:t>ies</w:t>
      </w:r>
      <w:r w:rsidR="009E6A86" w:rsidRPr="009E6A86">
        <w:t>. He need</w:t>
      </w:r>
      <w:r w:rsidR="00BD06F1">
        <w:t>ed</w:t>
      </w:r>
      <w:r w:rsidR="009E6A86" w:rsidRPr="009E6A86">
        <w:t xml:space="preserve"> to connect with the audience to further promote hearing health among </w:t>
      </w:r>
      <w:r w:rsidR="00BD06F1">
        <w:t>those</w:t>
      </w:r>
      <w:r w:rsidR="00BD06F1" w:rsidRPr="009E6A86">
        <w:t xml:space="preserve"> </w:t>
      </w:r>
      <w:r w:rsidR="009E6A86" w:rsidRPr="009E6A86">
        <w:t>communities</w:t>
      </w:r>
      <w:r w:rsidR="009E6A86">
        <w:t>.</w:t>
      </w:r>
    </w:p>
    <w:p w14:paraId="0F682A3C" w14:textId="2933CAAA" w:rsidR="00945034" w:rsidRPr="00515D1A" w:rsidRDefault="00945034" w:rsidP="0088613A">
      <w:pPr>
        <w:pStyle w:val="Heading3"/>
      </w:pPr>
      <w:r w:rsidRPr="00515D1A">
        <w:t xml:space="preserve">Question </w:t>
      </w:r>
      <w:r>
        <w:t>5</w:t>
      </w:r>
    </w:p>
    <w:tbl>
      <w:tblPr>
        <w:tblStyle w:val="VCAATableClosed"/>
        <w:tblW w:w="9493" w:type="dxa"/>
        <w:tblLook w:val="01E0" w:firstRow="1" w:lastRow="1" w:firstColumn="1" w:lastColumn="1" w:noHBand="0" w:noVBand="0"/>
      </w:tblPr>
      <w:tblGrid>
        <w:gridCol w:w="815"/>
        <w:gridCol w:w="505"/>
        <w:gridCol w:w="505"/>
        <w:gridCol w:w="505"/>
        <w:gridCol w:w="450"/>
        <w:gridCol w:w="450"/>
        <w:gridCol w:w="451"/>
        <w:gridCol w:w="452"/>
        <w:gridCol w:w="484"/>
        <w:gridCol w:w="484"/>
        <w:gridCol w:w="484"/>
        <w:gridCol w:w="494"/>
        <w:gridCol w:w="494"/>
        <w:gridCol w:w="494"/>
        <w:gridCol w:w="494"/>
        <w:gridCol w:w="494"/>
        <w:gridCol w:w="510"/>
        <w:gridCol w:w="928"/>
      </w:tblGrid>
      <w:tr w:rsidR="00945034" w:rsidRPr="00515D1A" w14:paraId="20BE215A" w14:textId="77777777" w:rsidTr="00074015">
        <w:trPr>
          <w:cnfStyle w:val="100000000000" w:firstRow="1" w:lastRow="0" w:firstColumn="0" w:lastColumn="0" w:oddVBand="0" w:evenVBand="0" w:oddHBand="0" w:evenHBand="0" w:firstRowFirstColumn="0" w:firstRowLastColumn="0" w:lastRowFirstColumn="0" w:lastRowLastColumn="0"/>
          <w:trHeight w:val="386"/>
        </w:trPr>
        <w:tc>
          <w:tcPr>
            <w:tcW w:w="815" w:type="dxa"/>
          </w:tcPr>
          <w:p w14:paraId="2A28F48C" w14:textId="77777777" w:rsidR="00945034" w:rsidRPr="00515D1A" w:rsidRDefault="00945034" w:rsidP="00244860">
            <w:pPr>
              <w:pStyle w:val="Tablecondensedheading"/>
              <w:rPr>
                <w:lang w:val="en-AU"/>
              </w:rPr>
            </w:pPr>
            <w:r w:rsidRPr="00515D1A">
              <w:rPr>
                <w:lang w:val="en-AU"/>
              </w:rPr>
              <w:t>Marks</w:t>
            </w:r>
          </w:p>
        </w:tc>
        <w:tc>
          <w:tcPr>
            <w:tcW w:w="505" w:type="dxa"/>
          </w:tcPr>
          <w:p w14:paraId="003A73E8" w14:textId="77777777" w:rsidR="00945034" w:rsidRPr="00515D1A" w:rsidRDefault="00945034" w:rsidP="00244860">
            <w:pPr>
              <w:pStyle w:val="Tablecondensedheading"/>
              <w:rPr>
                <w:lang w:val="en-AU"/>
              </w:rPr>
            </w:pPr>
            <w:r w:rsidRPr="00515D1A">
              <w:rPr>
                <w:lang w:val="en-AU"/>
              </w:rPr>
              <w:t>0</w:t>
            </w:r>
          </w:p>
        </w:tc>
        <w:tc>
          <w:tcPr>
            <w:tcW w:w="505" w:type="dxa"/>
          </w:tcPr>
          <w:p w14:paraId="5D7D44F9" w14:textId="77777777" w:rsidR="00945034" w:rsidRPr="00515D1A" w:rsidRDefault="00945034" w:rsidP="00244860">
            <w:pPr>
              <w:pStyle w:val="Tablecondensedheading"/>
              <w:rPr>
                <w:lang w:val="en-AU"/>
              </w:rPr>
            </w:pPr>
            <w:r w:rsidRPr="00515D1A">
              <w:rPr>
                <w:lang w:val="en-AU"/>
              </w:rPr>
              <w:t>1</w:t>
            </w:r>
          </w:p>
        </w:tc>
        <w:tc>
          <w:tcPr>
            <w:tcW w:w="505" w:type="dxa"/>
          </w:tcPr>
          <w:p w14:paraId="29CBFF6B" w14:textId="77777777" w:rsidR="00945034" w:rsidRPr="00515D1A" w:rsidRDefault="00945034" w:rsidP="00244860">
            <w:pPr>
              <w:pStyle w:val="Tablecondensedheading"/>
              <w:rPr>
                <w:lang w:val="en-AU"/>
              </w:rPr>
            </w:pPr>
            <w:r w:rsidRPr="00515D1A">
              <w:rPr>
                <w:lang w:val="en-AU"/>
              </w:rPr>
              <w:t>2</w:t>
            </w:r>
          </w:p>
        </w:tc>
        <w:tc>
          <w:tcPr>
            <w:tcW w:w="450" w:type="dxa"/>
          </w:tcPr>
          <w:p w14:paraId="12127082" w14:textId="77777777" w:rsidR="00945034" w:rsidRPr="00515D1A" w:rsidRDefault="00945034" w:rsidP="00244860">
            <w:pPr>
              <w:pStyle w:val="Tablecondensedheading"/>
              <w:rPr>
                <w:lang w:val="en-AU"/>
              </w:rPr>
            </w:pPr>
            <w:r w:rsidRPr="00515D1A">
              <w:rPr>
                <w:lang w:val="en-AU"/>
              </w:rPr>
              <w:t>3</w:t>
            </w:r>
          </w:p>
        </w:tc>
        <w:tc>
          <w:tcPr>
            <w:tcW w:w="450" w:type="dxa"/>
          </w:tcPr>
          <w:p w14:paraId="6872ED63" w14:textId="77777777" w:rsidR="00945034" w:rsidRPr="00515D1A" w:rsidRDefault="00945034" w:rsidP="00244860">
            <w:pPr>
              <w:pStyle w:val="Tablecondensedheading"/>
              <w:rPr>
                <w:lang w:val="en-AU"/>
              </w:rPr>
            </w:pPr>
            <w:r w:rsidRPr="00515D1A">
              <w:rPr>
                <w:lang w:val="en-AU"/>
              </w:rPr>
              <w:t>4</w:t>
            </w:r>
          </w:p>
        </w:tc>
        <w:tc>
          <w:tcPr>
            <w:tcW w:w="451" w:type="dxa"/>
          </w:tcPr>
          <w:p w14:paraId="1C09D7B8" w14:textId="77777777" w:rsidR="00945034" w:rsidRPr="00515D1A" w:rsidRDefault="00945034" w:rsidP="00244860">
            <w:pPr>
              <w:pStyle w:val="Tablecondensedheading"/>
              <w:rPr>
                <w:lang w:val="en-AU"/>
              </w:rPr>
            </w:pPr>
            <w:r w:rsidRPr="00515D1A">
              <w:rPr>
                <w:lang w:val="en-AU"/>
              </w:rPr>
              <w:t>5</w:t>
            </w:r>
          </w:p>
        </w:tc>
        <w:tc>
          <w:tcPr>
            <w:tcW w:w="452" w:type="dxa"/>
          </w:tcPr>
          <w:p w14:paraId="40A55EC6" w14:textId="77777777" w:rsidR="00945034" w:rsidRPr="00515D1A" w:rsidRDefault="00945034" w:rsidP="00244860">
            <w:pPr>
              <w:pStyle w:val="Tablecondensedheading"/>
              <w:rPr>
                <w:lang w:val="en-AU"/>
              </w:rPr>
            </w:pPr>
            <w:r w:rsidRPr="00515D1A">
              <w:rPr>
                <w:lang w:val="en-AU"/>
              </w:rPr>
              <w:t>6</w:t>
            </w:r>
          </w:p>
        </w:tc>
        <w:tc>
          <w:tcPr>
            <w:tcW w:w="484" w:type="dxa"/>
          </w:tcPr>
          <w:p w14:paraId="23319CDC" w14:textId="77777777" w:rsidR="00945034" w:rsidRPr="00515D1A" w:rsidRDefault="00945034" w:rsidP="00244860">
            <w:pPr>
              <w:pStyle w:val="Tablecondensedheading"/>
              <w:rPr>
                <w:lang w:val="en-AU"/>
              </w:rPr>
            </w:pPr>
            <w:r w:rsidRPr="00515D1A">
              <w:rPr>
                <w:lang w:val="en-AU"/>
              </w:rPr>
              <w:t>7</w:t>
            </w:r>
          </w:p>
        </w:tc>
        <w:tc>
          <w:tcPr>
            <w:tcW w:w="484" w:type="dxa"/>
          </w:tcPr>
          <w:p w14:paraId="415B6FF9" w14:textId="77777777" w:rsidR="00945034" w:rsidRPr="00515D1A" w:rsidRDefault="00945034" w:rsidP="00244860">
            <w:pPr>
              <w:pStyle w:val="Tablecondensedheading"/>
              <w:rPr>
                <w:lang w:val="en-AU"/>
              </w:rPr>
            </w:pPr>
            <w:r w:rsidRPr="00515D1A">
              <w:rPr>
                <w:lang w:val="en-AU"/>
              </w:rPr>
              <w:t>8</w:t>
            </w:r>
          </w:p>
        </w:tc>
        <w:tc>
          <w:tcPr>
            <w:tcW w:w="484" w:type="dxa"/>
          </w:tcPr>
          <w:p w14:paraId="6BE38B4E" w14:textId="77777777" w:rsidR="00945034" w:rsidRPr="00515D1A" w:rsidRDefault="00945034" w:rsidP="00244860">
            <w:pPr>
              <w:pStyle w:val="Tablecondensedheading"/>
              <w:rPr>
                <w:lang w:val="en-AU"/>
              </w:rPr>
            </w:pPr>
            <w:r w:rsidRPr="00515D1A">
              <w:rPr>
                <w:lang w:val="en-AU"/>
              </w:rPr>
              <w:t>9</w:t>
            </w:r>
          </w:p>
        </w:tc>
        <w:tc>
          <w:tcPr>
            <w:tcW w:w="494" w:type="dxa"/>
          </w:tcPr>
          <w:p w14:paraId="1364261A" w14:textId="77777777" w:rsidR="00945034" w:rsidRPr="00515D1A" w:rsidRDefault="00945034" w:rsidP="00244860">
            <w:pPr>
              <w:pStyle w:val="Tablecondensedheading"/>
              <w:rPr>
                <w:lang w:val="en-AU"/>
              </w:rPr>
            </w:pPr>
            <w:r w:rsidRPr="00515D1A">
              <w:rPr>
                <w:lang w:val="en-AU"/>
              </w:rPr>
              <w:t>10</w:t>
            </w:r>
          </w:p>
        </w:tc>
        <w:tc>
          <w:tcPr>
            <w:tcW w:w="494" w:type="dxa"/>
          </w:tcPr>
          <w:p w14:paraId="0416632E" w14:textId="77777777" w:rsidR="00945034" w:rsidRPr="00515D1A" w:rsidRDefault="00945034" w:rsidP="00244860">
            <w:pPr>
              <w:pStyle w:val="Tablecondensedheading"/>
              <w:rPr>
                <w:lang w:val="en-AU"/>
              </w:rPr>
            </w:pPr>
            <w:r w:rsidRPr="00515D1A">
              <w:rPr>
                <w:lang w:val="en-AU"/>
              </w:rPr>
              <w:t>11</w:t>
            </w:r>
          </w:p>
        </w:tc>
        <w:tc>
          <w:tcPr>
            <w:tcW w:w="494" w:type="dxa"/>
          </w:tcPr>
          <w:p w14:paraId="69E783DF" w14:textId="77777777" w:rsidR="00945034" w:rsidRPr="00515D1A" w:rsidRDefault="00945034" w:rsidP="00244860">
            <w:pPr>
              <w:pStyle w:val="Tablecondensedheading"/>
              <w:rPr>
                <w:lang w:val="en-AU"/>
              </w:rPr>
            </w:pPr>
            <w:r w:rsidRPr="00515D1A">
              <w:rPr>
                <w:lang w:val="en-AU"/>
              </w:rPr>
              <w:t>12</w:t>
            </w:r>
          </w:p>
        </w:tc>
        <w:tc>
          <w:tcPr>
            <w:tcW w:w="494" w:type="dxa"/>
          </w:tcPr>
          <w:p w14:paraId="71BAE9A3" w14:textId="77777777" w:rsidR="00945034" w:rsidRPr="00515D1A" w:rsidRDefault="00945034" w:rsidP="00244860">
            <w:pPr>
              <w:pStyle w:val="Tablecondensedheading"/>
              <w:rPr>
                <w:lang w:val="en-AU"/>
              </w:rPr>
            </w:pPr>
            <w:r w:rsidRPr="00515D1A">
              <w:rPr>
                <w:lang w:val="en-AU"/>
              </w:rPr>
              <w:t>13</w:t>
            </w:r>
          </w:p>
        </w:tc>
        <w:tc>
          <w:tcPr>
            <w:tcW w:w="494" w:type="dxa"/>
          </w:tcPr>
          <w:p w14:paraId="2AA1F413" w14:textId="77777777" w:rsidR="00945034" w:rsidRPr="00515D1A" w:rsidRDefault="00945034" w:rsidP="00244860">
            <w:pPr>
              <w:pStyle w:val="Tablecondensedheading"/>
              <w:rPr>
                <w:lang w:val="en-AU"/>
              </w:rPr>
            </w:pPr>
            <w:r w:rsidRPr="00515D1A">
              <w:rPr>
                <w:lang w:val="en-AU"/>
              </w:rPr>
              <w:t>14</w:t>
            </w:r>
          </w:p>
        </w:tc>
        <w:tc>
          <w:tcPr>
            <w:tcW w:w="510" w:type="dxa"/>
          </w:tcPr>
          <w:p w14:paraId="221D3912" w14:textId="77777777" w:rsidR="00945034" w:rsidRPr="00515D1A" w:rsidRDefault="00945034" w:rsidP="00244860">
            <w:pPr>
              <w:pStyle w:val="Tablecondensedheading"/>
              <w:rPr>
                <w:lang w:val="en-AU"/>
              </w:rPr>
            </w:pPr>
            <w:r w:rsidRPr="00515D1A">
              <w:rPr>
                <w:lang w:val="en-AU"/>
              </w:rPr>
              <w:t>15</w:t>
            </w:r>
          </w:p>
        </w:tc>
        <w:tc>
          <w:tcPr>
            <w:tcW w:w="928" w:type="dxa"/>
          </w:tcPr>
          <w:p w14:paraId="56233BE8" w14:textId="77777777" w:rsidR="00945034" w:rsidRPr="00515D1A" w:rsidRDefault="00945034" w:rsidP="00244860">
            <w:pPr>
              <w:pStyle w:val="Tablecondensedheading"/>
              <w:rPr>
                <w:lang w:val="en-AU"/>
              </w:rPr>
            </w:pPr>
            <w:r w:rsidRPr="00515D1A">
              <w:rPr>
                <w:lang w:val="en-AU"/>
              </w:rPr>
              <w:t>Average</w:t>
            </w:r>
          </w:p>
        </w:tc>
      </w:tr>
      <w:tr w:rsidR="00945034" w:rsidRPr="00515D1A" w14:paraId="1AC064DF" w14:textId="77777777" w:rsidTr="00074015">
        <w:trPr>
          <w:trHeight w:hRule="exact" w:val="386"/>
        </w:trPr>
        <w:tc>
          <w:tcPr>
            <w:tcW w:w="815" w:type="dxa"/>
          </w:tcPr>
          <w:p w14:paraId="39124D04" w14:textId="77777777" w:rsidR="00945034" w:rsidRPr="00515D1A" w:rsidRDefault="00945034" w:rsidP="00574B93">
            <w:pPr>
              <w:pStyle w:val="Tablecondensed"/>
              <w:rPr>
                <w:lang w:val="en-AU"/>
              </w:rPr>
            </w:pPr>
            <w:r w:rsidRPr="00515D1A">
              <w:rPr>
                <w:lang w:val="en-AU"/>
              </w:rPr>
              <w:t>%</w:t>
            </w:r>
          </w:p>
        </w:tc>
        <w:tc>
          <w:tcPr>
            <w:tcW w:w="505" w:type="dxa"/>
          </w:tcPr>
          <w:p w14:paraId="0E216BB2" w14:textId="3D1C8F90" w:rsidR="00945034" w:rsidRPr="00515D1A" w:rsidRDefault="005A0FA8" w:rsidP="00574B93">
            <w:pPr>
              <w:pStyle w:val="Tablecondensed"/>
              <w:rPr>
                <w:rFonts w:eastAsia="Arial Unicode MS"/>
                <w:lang w:val="en-AU"/>
              </w:rPr>
            </w:pPr>
            <w:r>
              <w:rPr>
                <w:rFonts w:eastAsia="Arial Unicode MS"/>
                <w:lang w:val="en-AU"/>
              </w:rPr>
              <w:t>0.6</w:t>
            </w:r>
          </w:p>
        </w:tc>
        <w:tc>
          <w:tcPr>
            <w:tcW w:w="505" w:type="dxa"/>
          </w:tcPr>
          <w:p w14:paraId="332D4BF4" w14:textId="799F747F" w:rsidR="00945034" w:rsidRPr="00515D1A" w:rsidRDefault="005A0FA8" w:rsidP="00574B93">
            <w:pPr>
              <w:pStyle w:val="Tablecondensed"/>
              <w:rPr>
                <w:rFonts w:eastAsia="Arial Unicode MS"/>
                <w:lang w:val="en-AU"/>
              </w:rPr>
            </w:pPr>
            <w:r>
              <w:rPr>
                <w:rFonts w:eastAsia="Arial Unicode MS"/>
                <w:lang w:val="en-AU"/>
              </w:rPr>
              <w:t>0.1</w:t>
            </w:r>
          </w:p>
        </w:tc>
        <w:tc>
          <w:tcPr>
            <w:tcW w:w="505" w:type="dxa"/>
          </w:tcPr>
          <w:p w14:paraId="6BC7A3A2" w14:textId="26F4DC2B" w:rsidR="00945034" w:rsidRPr="00515D1A" w:rsidRDefault="005A0FA8" w:rsidP="00574B93">
            <w:pPr>
              <w:pStyle w:val="Tablecondensed"/>
              <w:rPr>
                <w:rFonts w:eastAsia="Arial Unicode MS"/>
                <w:lang w:val="en-AU"/>
              </w:rPr>
            </w:pPr>
            <w:r>
              <w:rPr>
                <w:rFonts w:eastAsia="Arial Unicode MS"/>
                <w:lang w:val="en-AU"/>
              </w:rPr>
              <w:t>0.1</w:t>
            </w:r>
          </w:p>
        </w:tc>
        <w:tc>
          <w:tcPr>
            <w:tcW w:w="450" w:type="dxa"/>
          </w:tcPr>
          <w:p w14:paraId="64DD6F71" w14:textId="379D9F5A" w:rsidR="00945034" w:rsidRPr="00515D1A" w:rsidRDefault="005A0FA8" w:rsidP="00574B93">
            <w:pPr>
              <w:pStyle w:val="Tablecondensed"/>
              <w:rPr>
                <w:rFonts w:eastAsia="Arial Unicode MS"/>
                <w:lang w:val="en-AU"/>
              </w:rPr>
            </w:pPr>
            <w:r>
              <w:rPr>
                <w:rFonts w:eastAsia="Arial Unicode MS"/>
                <w:lang w:val="en-AU"/>
              </w:rPr>
              <w:t>0.7</w:t>
            </w:r>
          </w:p>
        </w:tc>
        <w:tc>
          <w:tcPr>
            <w:tcW w:w="450" w:type="dxa"/>
          </w:tcPr>
          <w:p w14:paraId="1E0929FB" w14:textId="573706BB" w:rsidR="00945034" w:rsidRPr="00515D1A" w:rsidRDefault="004C755C" w:rsidP="00574B93">
            <w:pPr>
              <w:pStyle w:val="Tablecondensed"/>
              <w:rPr>
                <w:rFonts w:eastAsia="Arial Unicode MS"/>
                <w:lang w:val="en-AU"/>
              </w:rPr>
            </w:pPr>
            <w:r>
              <w:rPr>
                <w:rFonts w:eastAsia="Arial Unicode MS"/>
                <w:lang w:val="en-AU"/>
              </w:rPr>
              <w:t>2</w:t>
            </w:r>
          </w:p>
        </w:tc>
        <w:tc>
          <w:tcPr>
            <w:tcW w:w="451" w:type="dxa"/>
          </w:tcPr>
          <w:p w14:paraId="609C332F" w14:textId="5D119371" w:rsidR="00945034" w:rsidRPr="00515D1A" w:rsidRDefault="005A0FA8" w:rsidP="00574B93">
            <w:pPr>
              <w:pStyle w:val="Tablecondensed"/>
              <w:rPr>
                <w:rFonts w:eastAsia="Arial Unicode MS"/>
                <w:lang w:val="en-AU"/>
              </w:rPr>
            </w:pPr>
            <w:r>
              <w:rPr>
                <w:rFonts w:eastAsia="Arial Unicode MS"/>
                <w:lang w:val="en-AU"/>
              </w:rPr>
              <w:t>4</w:t>
            </w:r>
          </w:p>
        </w:tc>
        <w:tc>
          <w:tcPr>
            <w:tcW w:w="452" w:type="dxa"/>
          </w:tcPr>
          <w:p w14:paraId="63648A55" w14:textId="065231B1" w:rsidR="00945034" w:rsidRPr="00515D1A" w:rsidRDefault="005A0FA8" w:rsidP="00574B93">
            <w:pPr>
              <w:pStyle w:val="Tablecondensed"/>
              <w:rPr>
                <w:rFonts w:eastAsia="Arial Unicode MS"/>
                <w:lang w:val="en-AU"/>
              </w:rPr>
            </w:pPr>
            <w:r>
              <w:rPr>
                <w:rFonts w:eastAsia="Arial Unicode MS"/>
                <w:lang w:val="en-AU"/>
              </w:rPr>
              <w:t>9</w:t>
            </w:r>
          </w:p>
        </w:tc>
        <w:tc>
          <w:tcPr>
            <w:tcW w:w="484" w:type="dxa"/>
          </w:tcPr>
          <w:p w14:paraId="231BCD2D" w14:textId="7F6D6843" w:rsidR="00945034" w:rsidRPr="00515D1A" w:rsidRDefault="005A0FA8" w:rsidP="00574B93">
            <w:pPr>
              <w:pStyle w:val="Tablecondensed"/>
              <w:rPr>
                <w:rFonts w:eastAsia="Arial Unicode MS"/>
                <w:lang w:val="en-AU"/>
              </w:rPr>
            </w:pPr>
            <w:r>
              <w:rPr>
                <w:rFonts w:eastAsia="Arial Unicode MS"/>
                <w:lang w:val="en-AU"/>
              </w:rPr>
              <w:t>17</w:t>
            </w:r>
          </w:p>
        </w:tc>
        <w:tc>
          <w:tcPr>
            <w:tcW w:w="484" w:type="dxa"/>
          </w:tcPr>
          <w:p w14:paraId="7C9AF935" w14:textId="484654B2" w:rsidR="00945034" w:rsidRPr="00515D1A" w:rsidRDefault="005A0FA8" w:rsidP="00574B93">
            <w:pPr>
              <w:pStyle w:val="Tablecondensed"/>
              <w:rPr>
                <w:rFonts w:eastAsia="Arial Unicode MS"/>
                <w:lang w:val="en-AU"/>
              </w:rPr>
            </w:pPr>
            <w:r>
              <w:rPr>
                <w:rFonts w:eastAsia="Arial Unicode MS"/>
                <w:lang w:val="en-AU"/>
              </w:rPr>
              <w:t>24</w:t>
            </w:r>
          </w:p>
        </w:tc>
        <w:tc>
          <w:tcPr>
            <w:tcW w:w="484" w:type="dxa"/>
          </w:tcPr>
          <w:p w14:paraId="6057597E" w14:textId="1303A112" w:rsidR="00945034" w:rsidRPr="00515D1A" w:rsidRDefault="005A0FA8" w:rsidP="00574B93">
            <w:pPr>
              <w:pStyle w:val="Tablecondensed"/>
              <w:rPr>
                <w:rFonts w:eastAsia="Arial Unicode MS"/>
                <w:lang w:val="en-AU"/>
              </w:rPr>
            </w:pPr>
            <w:r>
              <w:rPr>
                <w:rFonts w:eastAsia="Arial Unicode MS"/>
                <w:lang w:val="en-AU"/>
              </w:rPr>
              <w:t>21</w:t>
            </w:r>
          </w:p>
        </w:tc>
        <w:tc>
          <w:tcPr>
            <w:tcW w:w="494" w:type="dxa"/>
          </w:tcPr>
          <w:p w14:paraId="12111EB4" w14:textId="753D6E14" w:rsidR="00945034" w:rsidRPr="00515D1A" w:rsidRDefault="005A0FA8" w:rsidP="00574B93">
            <w:pPr>
              <w:pStyle w:val="Tablecondensed"/>
              <w:rPr>
                <w:rFonts w:eastAsia="Arial Unicode MS"/>
                <w:lang w:val="en-AU"/>
              </w:rPr>
            </w:pPr>
            <w:r>
              <w:rPr>
                <w:rFonts w:eastAsia="Arial Unicode MS"/>
                <w:lang w:val="en-AU"/>
              </w:rPr>
              <w:t>13</w:t>
            </w:r>
          </w:p>
        </w:tc>
        <w:tc>
          <w:tcPr>
            <w:tcW w:w="494" w:type="dxa"/>
          </w:tcPr>
          <w:p w14:paraId="35D39065" w14:textId="50B4DC11" w:rsidR="00945034" w:rsidRPr="00515D1A" w:rsidRDefault="005A0FA8" w:rsidP="00574B93">
            <w:pPr>
              <w:pStyle w:val="Tablecondensed"/>
              <w:rPr>
                <w:rFonts w:eastAsia="Arial Unicode MS"/>
                <w:lang w:val="en-AU"/>
              </w:rPr>
            </w:pPr>
            <w:r>
              <w:rPr>
                <w:rFonts w:eastAsia="Arial Unicode MS"/>
                <w:lang w:val="en-AU"/>
              </w:rPr>
              <w:t>6</w:t>
            </w:r>
          </w:p>
        </w:tc>
        <w:tc>
          <w:tcPr>
            <w:tcW w:w="494" w:type="dxa"/>
          </w:tcPr>
          <w:p w14:paraId="10574497" w14:textId="750A2812" w:rsidR="00945034" w:rsidRPr="00515D1A" w:rsidRDefault="004C755C" w:rsidP="00574B93">
            <w:pPr>
              <w:pStyle w:val="Tablecondensed"/>
              <w:rPr>
                <w:rFonts w:eastAsia="Arial Unicode MS"/>
                <w:lang w:val="en-AU"/>
              </w:rPr>
            </w:pPr>
            <w:r>
              <w:rPr>
                <w:rFonts w:eastAsia="Arial Unicode MS"/>
                <w:lang w:val="en-AU"/>
              </w:rPr>
              <w:t>3</w:t>
            </w:r>
          </w:p>
        </w:tc>
        <w:tc>
          <w:tcPr>
            <w:tcW w:w="494" w:type="dxa"/>
          </w:tcPr>
          <w:p w14:paraId="7EEF1CC8" w14:textId="426CA728" w:rsidR="00945034" w:rsidRPr="00515D1A" w:rsidRDefault="005A0FA8" w:rsidP="00574B93">
            <w:pPr>
              <w:pStyle w:val="Tablecondensed"/>
              <w:rPr>
                <w:rFonts w:eastAsia="Arial Unicode MS"/>
                <w:lang w:val="en-AU"/>
              </w:rPr>
            </w:pPr>
            <w:r>
              <w:rPr>
                <w:rFonts w:eastAsia="Arial Unicode MS"/>
                <w:lang w:val="en-AU"/>
              </w:rPr>
              <w:t>1</w:t>
            </w:r>
          </w:p>
        </w:tc>
        <w:tc>
          <w:tcPr>
            <w:tcW w:w="494" w:type="dxa"/>
          </w:tcPr>
          <w:p w14:paraId="3630333F" w14:textId="694CBBD0" w:rsidR="00945034" w:rsidRPr="00515D1A" w:rsidRDefault="005A0FA8" w:rsidP="00574B93">
            <w:pPr>
              <w:pStyle w:val="Tablecondensed"/>
              <w:rPr>
                <w:rFonts w:eastAsia="Arial Unicode MS"/>
                <w:lang w:val="en-AU"/>
              </w:rPr>
            </w:pPr>
            <w:r>
              <w:rPr>
                <w:rFonts w:eastAsia="Arial Unicode MS"/>
                <w:lang w:val="en-AU"/>
              </w:rPr>
              <w:t>0.3</w:t>
            </w:r>
          </w:p>
        </w:tc>
        <w:tc>
          <w:tcPr>
            <w:tcW w:w="510" w:type="dxa"/>
          </w:tcPr>
          <w:p w14:paraId="722AC4D6" w14:textId="7AAA176D" w:rsidR="00945034" w:rsidRPr="00515D1A" w:rsidRDefault="005A0FA8" w:rsidP="00574B93">
            <w:pPr>
              <w:pStyle w:val="Tablecondensed"/>
              <w:rPr>
                <w:rFonts w:eastAsia="Arial Unicode MS"/>
                <w:lang w:val="en-AU"/>
              </w:rPr>
            </w:pPr>
            <w:r>
              <w:rPr>
                <w:rFonts w:eastAsia="Arial Unicode MS"/>
                <w:lang w:val="en-AU"/>
              </w:rPr>
              <w:t>0.1</w:t>
            </w:r>
          </w:p>
        </w:tc>
        <w:tc>
          <w:tcPr>
            <w:tcW w:w="928" w:type="dxa"/>
          </w:tcPr>
          <w:p w14:paraId="6DCE347C" w14:textId="6232136E" w:rsidR="00945034" w:rsidRPr="00515D1A" w:rsidRDefault="005A0FA8" w:rsidP="00574B93">
            <w:pPr>
              <w:pStyle w:val="Tablecondensed"/>
              <w:rPr>
                <w:lang w:val="en-AU"/>
              </w:rPr>
            </w:pPr>
            <w:r>
              <w:rPr>
                <w:lang w:val="en-AU"/>
              </w:rPr>
              <w:t>8.2</w:t>
            </w:r>
          </w:p>
        </w:tc>
      </w:tr>
    </w:tbl>
    <w:p w14:paraId="3E85A8B1" w14:textId="2FCFBCAC" w:rsidR="00687B28" w:rsidRPr="003F3169" w:rsidRDefault="00687B28" w:rsidP="003F3169">
      <w:pPr>
        <w:pStyle w:val="BodyText"/>
      </w:pPr>
      <w:r w:rsidRPr="003F3169">
        <w:t xml:space="preserve">Overall, </w:t>
      </w:r>
      <w:proofErr w:type="gramStart"/>
      <w:r w:rsidR="00BD06F1">
        <w:t>the majority of</w:t>
      </w:r>
      <w:proofErr w:type="gramEnd"/>
      <w:r w:rsidR="00BD06F1">
        <w:t xml:space="preserve"> </w:t>
      </w:r>
      <w:r w:rsidR="00B04432">
        <w:t xml:space="preserve">Question 5 </w:t>
      </w:r>
      <w:r w:rsidR="00A37428" w:rsidRPr="003F3169">
        <w:t xml:space="preserve">responses </w:t>
      </w:r>
      <w:r w:rsidR="00BD06F1">
        <w:t>to</w:t>
      </w:r>
      <w:r w:rsidR="00A37428" w:rsidRPr="003F3169">
        <w:t xml:space="preserve"> Text 2 demonstrat</w:t>
      </w:r>
      <w:r w:rsidR="00BD06F1">
        <w:t>ed</w:t>
      </w:r>
      <w:r w:rsidR="00A37428" w:rsidRPr="003F3169">
        <w:t xml:space="preserve"> engagement and </w:t>
      </w:r>
      <w:r w:rsidRPr="003F3169">
        <w:t>meaningful analys</w:t>
      </w:r>
      <w:r w:rsidR="00A37428" w:rsidRPr="003F3169">
        <w:t>e</w:t>
      </w:r>
      <w:r w:rsidRPr="003F3169">
        <w:t>s of its language features</w:t>
      </w:r>
      <w:r w:rsidR="00A97EFD" w:rsidRPr="003F3169">
        <w:t xml:space="preserve">. Many responses referred to </w:t>
      </w:r>
      <w:r w:rsidRPr="003F3169">
        <w:t>the dot-point listed elements in the task: functions, purposes and intents</w:t>
      </w:r>
      <w:r w:rsidR="00817D0C">
        <w:t>;</w:t>
      </w:r>
      <w:r w:rsidR="00817D0C" w:rsidRPr="003F3169">
        <w:t xml:space="preserve"> </w:t>
      </w:r>
      <w:r w:rsidRPr="003F3169">
        <w:t>contextual factors (situational and cultural</w:t>
      </w:r>
      <w:r w:rsidR="00817D0C" w:rsidRPr="003F3169">
        <w:t>)</w:t>
      </w:r>
      <w:r w:rsidR="00817D0C">
        <w:t>;</w:t>
      </w:r>
      <w:r w:rsidR="00817D0C" w:rsidRPr="003F3169">
        <w:t xml:space="preserve"> </w:t>
      </w:r>
      <w:r w:rsidR="00FA751D">
        <w:t xml:space="preserve">and </w:t>
      </w:r>
      <w:r w:rsidRPr="003F3169">
        <w:t>register, tenor and audience. However, the challenge was being discerning in the choice of features</w:t>
      </w:r>
      <w:r w:rsidR="00113E91" w:rsidRPr="003F3169">
        <w:t>, selecting the most</w:t>
      </w:r>
      <w:r w:rsidRPr="003F3169">
        <w:t xml:space="preserve"> salient and worthy of analysis, </w:t>
      </w:r>
      <w:r w:rsidR="00236E3E" w:rsidRPr="003F3169">
        <w:t>particularly given the time constraints of the task</w:t>
      </w:r>
      <w:r w:rsidRPr="003F3169">
        <w:t>.</w:t>
      </w:r>
    </w:p>
    <w:p w14:paraId="62880689" w14:textId="5D46FAAA" w:rsidR="0078585D" w:rsidRDefault="00D178DC" w:rsidP="003F3169">
      <w:pPr>
        <w:pStyle w:val="BodyText"/>
      </w:pPr>
      <w:r w:rsidRPr="003F3169">
        <w:t xml:space="preserve">Text 2 was rich in features that invited an analysis of </w:t>
      </w:r>
      <w:r w:rsidR="00496016">
        <w:t xml:space="preserve">Professor </w:t>
      </w:r>
      <w:r w:rsidRPr="003F3169">
        <w:t xml:space="preserve">Kong’s </w:t>
      </w:r>
      <w:proofErr w:type="gramStart"/>
      <w:r w:rsidRPr="003F3169">
        <w:t>identity</w:t>
      </w:r>
      <w:proofErr w:type="gramEnd"/>
      <w:r w:rsidRPr="003F3169">
        <w:t xml:space="preserve"> and many </w:t>
      </w:r>
      <w:r w:rsidR="0041519E" w:rsidRPr="003F3169">
        <w:t xml:space="preserve">responses </w:t>
      </w:r>
      <w:r w:rsidR="00B04432">
        <w:t>could</w:t>
      </w:r>
      <w:r w:rsidR="0041519E" w:rsidRPr="003F3169">
        <w:t xml:space="preserve"> </w:t>
      </w:r>
      <w:r w:rsidRPr="003F3169">
        <w:t xml:space="preserve">relate </w:t>
      </w:r>
      <w:r w:rsidR="00496016">
        <w:t xml:space="preserve">the </w:t>
      </w:r>
      <w:r w:rsidRPr="003F3169">
        <w:t xml:space="preserve">use of various language features to aspects of his identity, including but not limited to: </w:t>
      </w:r>
    </w:p>
    <w:p w14:paraId="367C58A2" w14:textId="7829D1FF" w:rsidR="00496016" w:rsidRDefault="00D178DC" w:rsidP="006E6207">
      <w:pPr>
        <w:pStyle w:val="Bullet"/>
      </w:pPr>
      <w:r w:rsidRPr="003F3169">
        <w:t>his down</w:t>
      </w:r>
      <w:r w:rsidR="0078585D">
        <w:t>-</w:t>
      </w:r>
      <w:r w:rsidRPr="003F3169">
        <w:t>to</w:t>
      </w:r>
      <w:r w:rsidR="0078585D">
        <w:t>-</w:t>
      </w:r>
      <w:r w:rsidRPr="003F3169">
        <w:t>earth, genuine, humble identity</w:t>
      </w:r>
    </w:p>
    <w:p w14:paraId="1B4C44FB" w14:textId="776A2DCD" w:rsidR="00496016" w:rsidRDefault="00D178DC" w:rsidP="006E6207">
      <w:pPr>
        <w:pStyle w:val="Bullet"/>
      </w:pPr>
      <w:r w:rsidRPr="003F3169">
        <w:t>his occupational identity as a surgeon</w:t>
      </w:r>
    </w:p>
    <w:p w14:paraId="7C2995A2" w14:textId="070B236D" w:rsidR="00496016" w:rsidRDefault="00D178DC" w:rsidP="006E6207">
      <w:pPr>
        <w:pStyle w:val="Bullet"/>
      </w:pPr>
      <w:r w:rsidRPr="003F3169">
        <w:t xml:space="preserve">his </w:t>
      </w:r>
      <w:r w:rsidR="00B04432">
        <w:t>Indigenous</w:t>
      </w:r>
      <w:r w:rsidRPr="003F3169">
        <w:t xml:space="preserve"> </w:t>
      </w:r>
      <w:r w:rsidR="00951451" w:rsidRPr="003F3169">
        <w:t>i</w:t>
      </w:r>
      <w:r w:rsidRPr="003F3169">
        <w:t>dentity</w:t>
      </w:r>
    </w:p>
    <w:p w14:paraId="765D5828" w14:textId="6C1D71A3" w:rsidR="00496016" w:rsidRDefault="00D178DC" w:rsidP="006E6207">
      <w:pPr>
        <w:pStyle w:val="Bullet"/>
      </w:pPr>
      <w:r w:rsidRPr="003F3169">
        <w:t>his wider Australian identity</w:t>
      </w:r>
    </w:p>
    <w:p w14:paraId="0566EAEC" w14:textId="409D6031" w:rsidR="00496016" w:rsidRDefault="00D178DC" w:rsidP="006E6207">
      <w:pPr>
        <w:pStyle w:val="Bullet"/>
      </w:pPr>
      <w:r w:rsidRPr="003F3169">
        <w:t xml:space="preserve">his identity as a caring and loving husband and father. </w:t>
      </w:r>
    </w:p>
    <w:p w14:paraId="78340AC1" w14:textId="77777777" w:rsidR="000C0D5B" w:rsidRDefault="000C0D5B" w:rsidP="00D63201">
      <w:pPr>
        <w:pStyle w:val="BodyText"/>
      </w:pPr>
      <w:r>
        <w:br w:type="page"/>
      </w:r>
    </w:p>
    <w:p w14:paraId="21AB03E7" w14:textId="73F629E7" w:rsidR="00D178DC" w:rsidRPr="003F3169" w:rsidRDefault="00D178DC" w:rsidP="003F3169">
      <w:pPr>
        <w:pStyle w:val="BodyText"/>
      </w:pPr>
      <w:r w:rsidRPr="003F3169">
        <w:lastRenderedPageBreak/>
        <w:t xml:space="preserve">Some </w:t>
      </w:r>
      <w:r w:rsidR="0041519E" w:rsidRPr="003F3169">
        <w:t>responses referred to</w:t>
      </w:r>
      <w:r w:rsidRPr="003F3169">
        <w:t xml:space="preserve"> the </w:t>
      </w:r>
      <w:r w:rsidR="00496016">
        <w:t>‘</w:t>
      </w:r>
      <w:r w:rsidRPr="003F3169">
        <w:t>Australian tall</w:t>
      </w:r>
      <w:r w:rsidR="00496016">
        <w:t>-</w:t>
      </w:r>
      <w:r w:rsidRPr="003F3169">
        <w:t>poppy syndrome</w:t>
      </w:r>
      <w:r w:rsidR="00496016">
        <w:t>’</w:t>
      </w:r>
      <w:r w:rsidRPr="003F3169">
        <w:t xml:space="preserve"> and </w:t>
      </w:r>
      <w:r w:rsidR="00496016">
        <w:t>that</w:t>
      </w:r>
      <w:r w:rsidR="00EB5769">
        <w:t>,</w:t>
      </w:r>
      <w:r w:rsidR="00496016">
        <w:t xml:space="preserve"> </w:t>
      </w:r>
      <w:r w:rsidRPr="003F3169">
        <w:t>by speaking in a heartfelt manner</w:t>
      </w:r>
      <w:r w:rsidR="00EB5769">
        <w:t xml:space="preserve"> </w:t>
      </w:r>
      <w:r w:rsidRPr="003F3169">
        <w:t xml:space="preserve">in a mixed register that included significant features of informality, </w:t>
      </w:r>
      <w:r w:rsidR="00496016">
        <w:t xml:space="preserve">Professor </w:t>
      </w:r>
      <w:r w:rsidRPr="003F3169">
        <w:t xml:space="preserve">Kong was able to present himself as </w:t>
      </w:r>
      <w:r w:rsidR="00817D0C">
        <w:t>‘</w:t>
      </w:r>
      <w:r w:rsidRPr="003F3169">
        <w:t>just another person</w:t>
      </w:r>
      <w:r w:rsidR="00817D0C">
        <w:t>’</w:t>
      </w:r>
      <w:r w:rsidRPr="003F3169">
        <w:t xml:space="preserve"> speaking to the audience on the same level, despite his highly prestigious profession.</w:t>
      </w:r>
    </w:p>
    <w:p w14:paraId="6A76D752" w14:textId="3D391F17" w:rsidR="00687B28" w:rsidRPr="003F3169" w:rsidRDefault="00687B28" w:rsidP="003F3169">
      <w:pPr>
        <w:pStyle w:val="BodyText"/>
      </w:pPr>
      <w:r w:rsidRPr="003F3169">
        <w:t xml:space="preserve">Many </w:t>
      </w:r>
      <w:r w:rsidR="005101CE" w:rsidRPr="003F3169">
        <w:t>responses</w:t>
      </w:r>
      <w:r w:rsidRPr="003F3169">
        <w:t xml:space="preserve"> commenced with an introductory paragraph, which </w:t>
      </w:r>
      <w:r w:rsidRPr="004F736D">
        <w:t>provide</w:t>
      </w:r>
      <w:r w:rsidR="00EC39C7" w:rsidRPr="00DF66BA">
        <w:t>d</w:t>
      </w:r>
      <w:r w:rsidRPr="003F3169">
        <w:t xml:space="preserve"> a framework for the analysis that </w:t>
      </w:r>
      <w:r w:rsidRPr="004F736D">
        <w:t>follow</w:t>
      </w:r>
      <w:r w:rsidR="00EC39C7">
        <w:t>ed</w:t>
      </w:r>
      <w:r w:rsidRPr="003F3169">
        <w:t xml:space="preserve">. </w:t>
      </w:r>
      <w:r w:rsidR="008F234A" w:rsidRPr="003F3169">
        <w:t>W</w:t>
      </w:r>
      <w:r w:rsidR="008F5F9A" w:rsidRPr="003F3169">
        <w:t xml:space="preserve">hile this </w:t>
      </w:r>
      <w:r w:rsidR="00EC39C7" w:rsidRPr="00DF66BA">
        <w:t>wa</w:t>
      </w:r>
      <w:r w:rsidR="008F5F9A" w:rsidRPr="004F736D">
        <w:t>s</w:t>
      </w:r>
      <w:r w:rsidR="008F5F9A" w:rsidRPr="003F3169">
        <w:t xml:space="preserve"> a valid </w:t>
      </w:r>
      <w:r w:rsidRPr="003F3169">
        <w:t xml:space="preserve">approach that </w:t>
      </w:r>
      <w:r w:rsidRPr="004F736D">
        <w:t>c</w:t>
      </w:r>
      <w:r w:rsidR="00EC39C7" w:rsidRPr="00DF66BA">
        <w:t>ould</w:t>
      </w:r>
      <w:r w:rsidRPr="003F3169">
        <w:t xml:space="preserve"> be used most effectively, other approaches </w:t>
      </w:r>
      <w:r w:rsidRPr="004F736D">
        <w:t>c</w:t>
      </w:r>
      <w:r w:rsidR="00EC39C7" w:rsidRPr="00DF66BA">
        <w:t>ould</w:t>
      </w:r>
      <w:r w:rsidRPr="003F3169">
        <w:t xml:space="preserve"> be just as</w:t>
      </w:r>
      <w:r w:rsidR="00496016">
        <w:t>,</w:t>
      </w:r>
      <w:r w:rsidR="009A2426" w:rsidRPr="003F3169">
        <w:t xml:space="preserve"> or </w:t>
      </w:r>
      <w:r w:rsidR="00496016">
        <w:t xml:space="preserve">even </w:t>
      </w:r>
      <w:r w:rsidR="009A2426" w:rsidRPr="003F3169">
        <w:t>more</w:t>
      </w:r>
      <w:r w:rsidR="00496016">
        <w:t>,</w:t>
      </w:r>
      <w:r w:rsidRPr="003F3169">
        <w:t xml:space="preserve"> effective. </w:t>
      </w:r>
      <w:r w:rsidR="00FA751D">
        <w:t>A</w:t>
      </w:r>
      <w:r w:rsidR="00FA751D" w:rsidRPr="003F3169">
        <w:t xml:space="preserve"> </w:t>
      </w:r>
      <w:r w:rsidRPr="003F3169">
        <w:t xml:space="preserve">weakness with </w:t>
      </w:r>
      <w:r w:rsidR="00FA751D">
        <w:t>responses</w:t>
      </w:r>
      <w:r w:rsidR="00FA751D" w:rsidRPr="003F3169">
        <w:t xml:space="preserve"> </w:t>
      </w:r>
      <w:r w:rsidRPr="003F3169">
        <w:t>that commenced with a</w:t>
      </w:r>
      <w:r w:rsidR="002D0559">
        <w:t xml:space="preserve"> formulaic</w:t>
      </w:r>
      <w:r w:rsidRPr="003F3169">
        <w:t xml:space="preserve"> introduction</w:t>
      </w:r>
      <w:r w:rsidR="00FA751D">
        <w:t>,</w:t>
      </w:r>
      <w:r w:rsidRPr="003F3169">
        <w:t xml:space="preserve"> was that the text type, mode, audience, register, tenor, functions</w:t>
      </w:r>
      <w:r w:rsidR="00FD1E76">
        <w:t>,</w:t>
      </w:r>
      <w:r w:rsidRPr="003F3169">
        <w:t xml:space="preserve"> and intents and purposes may have been described accurately, but these descriptions were not always followed with appropriate analysis in the commentary that followed. </w:t>
      </w:r>
      <w:r w:rsidR="00806904">
        <w:t>It is preferable to respond with a</w:t>
      </w:r>
      <w:r w:rsidRPr="003F3169">
        <w:t xml:space="preserve"> more sophisticated analysis of how language features reflect contextual factors; establish, maintain or shift the register; cater for the audience; develop the </w:t>
      </w:r>
      <w:r w:rsidRPr="00527DEB">
        <w:t>tenor; and contribute to the functions</w:t>
      </w:r>
      <w:r w:rsidR="002D0559" w:rsidRPr="00527DEB">
        <w:t xml:space="preserve"> or</w:t>
      </w:r>
      <w:r w:rsidRPr="00527DEB">
        <w:t xml:space="preserve"> purposes</w:t>
      </w:r>
      <w:r w:rsidR="002D0559" w:rsidRPr="00527DEB">
        <w:t>/</w:t>
      </w:r>
      <w:r w:rsidRPr="00527DEB">
        <w:t>intents of the text.</w:t>
      </w:r>
    </w:p>
    <w:p w14:paraId="6DCCDDC6" w14:textId="2B882C2C" w:rsidR="00687B28" w:rsidRPr="003F3169" w:rsidRDefault="00806904" w:rsidP="003F3169">
      <w:pPr>
        <w:pStyle w:val="BodyText"/>
      </w:pPr>
      <w:r>
        <w:t>Higher-scoring responses</w:t>
      </w:r>
      <w:r w:rsidR="00687B28" w:rsidRPr="003F3169">
        <w:t xml:space="preserve"> focused on the way that </w:t>
      </w:r>
      <w:r>
        <w:t xml:space="preserve">Professor </w:t>
      </w:r>
      <w:r w:rsidR="00687B28" w:rsidRPr="003F3169">
        <w:t xml:space="preserve">Kong managed his speech to transition from topic to topic and show his gratitude to a range of different people: other </w:t>
      </w:r>
      <w:r w:rsidR="00527DEB">
        <w:t>Aboriginal and Torres Strait Islander P</w:t>
      </w:r>
      <w:r>
        <w:t>eople</w:t>
      </w:r>
      <w:r w:rsidR="00687B28" w:rsidRPr="003F3169">
        <w:t xml:space="preserve"> deserving of an award</w:t>
      </w:r>
      <w:r>
        <w:t>,</w:t>
      </w:r>
      <w:r w:rsidR="00687B28" w:rsidRPr="003F3169">
        <w:t xml:space="preserve"> the NAIDOC Committee</w:t>
      </w:r>
      <w:r>
        <w:t>,</w:t>
      </w:r>
      <w:r w:rsidR="00687B28" w:rsidRPr="003F3169">
        <w:t xml:space="preserve"> Elders</w:t>
      </w:r>
      <w:r>
        <w:t>,</w:t>
      </w:r>
      <w:r w:rsidR="00687B28" w:rsidRPr="003F3169">
        <w:t xml:space="preserve"> and his wife and children. </w:t>
      </w:r>
      <w:r>
        <w:t>Higher-scoring</w:t>
      </w:r>
      <w:r w:rsidRPr="003F3169">
        <w:t xml:space="preserve"> </w:t>
      </w:r>
      <w:r w:rsidR="00B954EB" w:rsidRPr="003F3169">
        <w:t>responses</w:t>
      </w:r>
      <w:r w:rsidR="00687B28" w:rsidRPr="003F3169">
        <w:t xml:space="preserve"> </w:t>
      </w:r>
      <w:r w:rsidR="00AA5FEF">
        <w:t>specifically</w:t>
      </w:r>
      <w:r w:rsidR="00687B28" w:rsidRPr="003F3169">
        <w:t xml:space="preserve"> analysed how </w:t>
      </w:r>
      <w:r>
        <w:t xml:space="preserve">Professor </w:t>
      </w:r>
      <w:r w:rsidR="00687B28" w:rsidRPr="003F3169">
        <w:t>Kong attended to the face needs of various members of the audience.</w:t>
      </w:r>
    </w:p>
    <w:p w14:paraId="3D978530" w14:textId="29CE7D27" w:rsidR="00A26EE9" w:rsidRPr="003F3169" w:rsidRDefault="00967025" w:rsidP="003F3169">
      <w:pPr>
        <w:pStyle w:val="BodyText"/>
      </w:pPr>
      <w:r w:rsidRPr="003F3169">
        <w:t xml:space="preserve">Many </w:t>
      </w:r>
      <w:r w:rsidR="00C86216">
        <w:t>responses</w:t>
      </w:r>
      <w:r w:rsidR="00C86216" w:rsidRPr="003F3169">
        <w:t xml:space="preserve"> </w:t>
      </w:r>
      <w:r w:rsidR="00C86216">
        <w:t>did not</w:t>
      </w:r>
      <w:r w:rsidRPr="003F3169">
        <w:t xml:space="preserve"> use appropriate metalanguage to describe some of the more formal elements of </w:t>
      </w:r>
      <w:r w:rsidR="00C86216">
        <w:t xml:space="preserve">Professor </w:t>
      </w:r>
      <w:r w:rsidRPr="003F3169">
        <w:t>Kong’s speech</w:t>
      </w:r>
      <w:r w:rsidR="00CA66B4" w:rsidRPr="003F3169">
        <w:t xml:space="preserve">. </w:t>
      </w:r>
      <w:r w:rsidR="00DB1218">
        <w:t>Responses should</w:t>
      </w:r>
      <w:r w:rsidR="00CA66B4" w:rsidRPr="003F3169">
        <w:t xml:space="preserve"> emphasise that formality is demonstrated through specific, observable evidence such as</w:t>
      </w:r>
      <w:r w:rsidR="00FA493C" w:rsidRPr="003F3169">
        <w:t xml:space="preserve"> in Kong’s</w:t>
      </w:r>
      <w:r w:rsidR="00CA66B4" w:rsidRPr="003F3169">
        <w:t xml:space="preserve"> lexical choices, complex or carefully structured syntax or nominalisations. Without these concrete markers, assertions about a text being formal become impressionistic rather than analytical</w:t>
      </w:r>
      <w:r w:rsidR="00EF1709" w:rsidRPr="003F3169">
        <w:t xml:space="preserve">. </w:t>
      </w:r>
      <w:r w:rsidR="00A564E7">
        <w:t>Higher-scoring</w:t>
      </w:r>
      <w:r w:rsidR="00A564E7" w:rsidRPr="003F3169">
        <w:t xml:space="preserve"> </w:t>
      </w:r>
      <w:r w:rsidR="00EF1709" w:rsidRPr="003F3169">
        <w:t>responses linked</w:t>
      </w:r>
      <w:r w:rsidR="00CA66B4" w:rsidRPr="003F3169">
        <w:t xml:space="preserve"> </w:t>
      </w:r>
      <w:r w:rsidR="00815DE4" w:rsidRPr="003F3169">
        <w:t>these claims d</w:t>
      </w:r>
      <w:r w:rsidR="00CA66B4" w:rsidRPr="003F3169">
        <w:t>irectly to the linguistic features and metalanguage that construct that level of formality.</w:t>
      </w:r>
      <w:r w:rsidR="005F4345" w:rsidRPr="003F3169">
        <w:t xml:space="preserve"> </w:t>
      </w:r>
    </w:p>
    <w:p w14:paraId="35319CD7" w14:textId="5829732A" w:rsidR="00CA66B4" w:rsidRPr="003F3169" w:rsidRDefault="005F4345" w:rsidP="003F3169">
      <w:pPr>
        <w:pStyle w:val="BodyText"/>
      </w:pPr>
      <w:r w:rsidRPr="003F3169">
        <w:t xml:space="preserve">Similarly, </w:t>
      </w:r>
      <w:r w:rsidR="002803CE" w:rsidRPr="003F3169">
        <w:t>a high number of responses</w:t>
      </w:r>
      <w:r w:rsidRPr="003F3169">
        <w:t xml:space="preserve"> incorrectly attributed non-fluency features as being evidence of </w:t>
      </w:r>
      <w:r w:rsidR="002F7B0F" w:rsidRPr="003F3169">
        <w:t>informality,</w:t>
      </w:r>
      <w:r w:rsidRPr="003F3169">
        <w:t xml:space="preserve"> yet these features do not in themselves indicate an informal register. Hesitations, pauses, repetitions and false starts are simply characteristic of spoken discourse and can occur in many contexts across the continuum of formality</w:t>
      </w:r>
      <w:r w:rsidR="002D0559">
        <w:t xml:space="preserve"> </w:t>
      </w:r>
      <w:r w:rsidR="00302880">
        <w:t>for a variety of reasons, such as indicating</w:t>
      </w:r>
      <w:r w:rsidR="002D0559">
        <w:t xml:space="preserve"> spontaneity, nervousness</w:t>
      </w:r>
      <w:r w:rsidR="009D424A">
        <w:t xml:space="preserve"> or</w:t>
      </w:r>
      <w:r w:rsidR="00302880">
        <w:t xml:space="preserve"> management of cognitive load</w:t>
      </w:r>
      <w:r w:rsidRPr="003F3169">
        <w:t xml:space="preserve">. Their presence </w:t>
      </w:r>
      <w:r w:rsidRPr="004F736D">
        <w:t>reflect</w:t>
      </w:r>
      <w:r w:rsidR="00527DEB" w:rsidRPr="00DF66BA">
        <w:t>ed</w:t>
      </w:r>
      <w:r w:rsidRPr="003F3169">
        <w:t xml:space="preserve"> the real-time production of speech rather than the social distance, role relations or linguistic choices that construct informality, so relying on them as proof of an informal register </w:t>
      </w:r>
      <w:r w:rsidRPr="004F736D">
        <w:t>misunderst</w:t>
      </w:r>
      <w:r w:rsidR="00527DEB" w:rsidRPr="00DF66BA">
        <w:t>ood</w:t>
      </w:r>
      <w:r w:rsidRPr="003F3169">
        <w:t xml:space="preserve"> their function in spoken interaction.</w:t>
      </w:r>
    </w:p>
    <w:p w14:paraId="278FE5ED" w14:textId="49340738" w:rsidR="00687B28" w:rsidRPr="003F3169" w:rsidRDefault="00F84AF3" w:rsidP="003F3169">
      <w:pPr>
        <w:pStyle w:val="BodyText"/>
      </w:pPr>
      <w:r w:rsidRPr="003F3169">
        <w:t xml:space="preserve">Many responses also </w:t>
      </w:r>
      <w:r w:rsidR="0032508A" w:rsidRPr="003F3169">
        <w:t xml:space="preserve">erroneously </w:t>
      </w:r>
      <w:r w:rsidR="00687B28" w:rsidRPr="003F3169">
        <w:t>refer</w:t>
      </w:r>
      <w:r w:rsidR="00D10B82" w:rsidRPr="003F3169">
        <w:t>red</w:t>
      </w:r>
      <w:r w:rsidR="00687B28" w:rsidRPr="003F3169">
        <w:t xml:space="preserve"> to pause fillers as discourse </w:t>
      </w:r>
      <w:r w:rsidR="00D5587A" w:rsidRPr="003F3169">
        <w:t>markers (</w:t>
      </w:r>
      <w:r w:rsidR="00687B28" w:rsidRPr="003F3169">
        <w:t>particles</w:t>
      </w:r>
      <w:r w:rsidR="00D5587A" w:rsidRPr="003F3169">
        <w:t>)</w:t>
      </w:r>
      <w:r w:rsidR="00687B28" w:rsidRPr="003F3169">
        <w:t xml:space="preserve"> and by doing so, underestimate</w:t>
      </w:r>
      <w:r w:rsidR="00C86216">
        <w:t>d</w:t>
      </w:r>
      <w:r w:rsidR="00687B28" w:rsidRPr="003F3169">
        <w:t xml:space="preserve"> the nuance that </w:t>
      </w:r>
      <w:r w:rsidR="00D5587A" w:rsidRPr="003F3169">
        <w:t>discourse markers</w:t>
      </w:r>
      <w:r w:rsidR="00687B28" w:rsidRPr="003F3169">
        <w:t xml:space="preserve"> can add to a discourse</w:t>
      </w:r>
      <w:r w:rsidR="00814FF1" w:rsidRPr="003F3169">
        <w:t>. This is a suggested point of revision</w:t>
      </w:r>
      <w:r w:rsidR="00687B28" w:rsidRPr="003F3169">
        <w:t xml:space="preserve">. Likewise, many </w:t>
      </w:r>
      <w:r w:rsidR="009868FD" w:rsidRPr="003F3169">
        <w:t>responses</w:t>
      </w:r>
      <w:r w:rsidR="00687B28" w:rsidRPr="003F3169">
        <w:t xml:space="preserve"> describe</w:t>
      </w:r>
      <w:r w:rsidR="00A564E7">
        <w:t>d</w:t>
      </w:r>
      <w:r w:rsidR="00687B28" w:rsidRPr="003F3169">
        <w:t xml:space="preserve"> </w:t>
      </w:r>
      <w:r w:rsidR="00A564E7">
        <w:t xml:space="preserve">Professor </w:t>
      </w:r>
      <w:r w:rsidR="00687B28" w:rsidRPr="003F3169">
        <w:t xml:space="preserve">Kong’s speech as </w:t>
      </w:r>
      <w:r w:rsidR="006960AB" w:rsidRPr="003F3169">
        <w:t xml:space="preserve">wholly </w:t>
      </w:r>
      <w:r w:rsidR="00687B28" w:rsidRPr="003F3169">
        <w:t xml:space="preserve">spontaneous, rather than showing evidence of some preparation. </w:t>
      </w:r>
      <w:r w:rsidR="00A564E7">
        <w:t>Responses</w:t>
      </w:r>
      <w:r w:rsidR="00A564E7" w:rsidRPr="003F3169">
        <w:t xml:space="preserve"> </w:t>
      </w:r>
      <w:r w:rsidR="003058C7" w:rsidRPr="003F3169">
        <w:t>that</w:t>
      </w:r>
      <w:r w:rsidR="00687B28" w:rsidRPr="003F3169">
        <w:t xml:space="preserve"> engaged in more nuanced analysis comment</w:t>
      </w:r>
      <w:r w:rsidR="00A564E7">
        <w:t>ed</w:t>
      </w:r>
      <w:r w:rsidR="00687B28" w:rsidRPr="003F3169">
        <w:t xml:space="preserve"> on </w:t>
      </w:r>
      <w:r w:rsidR="00527DEB" w:rsidRPr="003F3169">
        <w:t xml:space="preserve">other </w:t>
      </w:r>
      <w:r w:rsidR="00687B28" w:rsidRPr="003F3169">
        <w:t xml:space="preserve">possible factors that led to features of non-fluency, such as the various emotions that </w:t>
      </w:r>
      <w:r w:rsidR="00A564E7">
        <w:t xml:space="preserve">Professor </w:t>
      </w:r>
      <w:r w:rsidR="00687B28" w:rsidRPr="003F3169">
        <w:t xml:space="preserve">Kong would have been feeling at the time. </w:t>
      </w:r>
      <w:r w:rsidR="006D23C2" w:rsidRPr="003F3169">
        <w:t xml:space="preserve">Similarly, </w:t>
      </w:r>
      <w:r w:rsidR="00687B28" w:rsidRPr="003F3169">
        <w:t xml:space="preserve">by delivering a less polished speech, </w:t>
      </w:r>
      <w:r w:rsidR="006F4B75">
        <w:t>he</w:t>
      </w:r>
      <w:r w:rsidR="00687B28" w:rsidRPr="003F3169">
        <w:t xml:space="preserve"> was </w:t>
      </w:r>
      <w:r w:rsidR="006D23C2" w:rsidRPr="003F3169">
        <w:t xml:space="preserve">also potentially </w:t>
      </w:r>
      <w:r w:rsidR="00687B28" w:rsidRPr="003F3169">
        <w:t>speaking with an awareness of his</w:t>
      </w:r>
      <w:r w:rsidR="003D7958" w:rsidRPr="003F3169">
        <w:t xml:space="preserve"> Australian</w:t>
      </w:r>
      <w:r w:rsidR="00687B28" w:rsidRPr="003F3169">
        <w:t xml:space="preserve"> audience</w:t>
      </w:r>
      <w:r w:rsidR="00575065" w:rsidRPr="003F3169">
        <w:t>,</w:t>
      </w:r>
      <w:r w:rsidR="00687B28" w:rsidRPr="003F3169">
        <w:t xml:space="preserve"> who would value authenticity and sincerity above a highly polished </w:t>
      </w:r>
      <w:r w:rsidR="00575065" w:rsidRPr="003F3169">
        <w:t>monologue</w:t>
      </w:r>
      <w:r w:rsidR="00687B28" w:rsidRPr="003F3169">
        <w:t xml:space="preserve">. </w:t>
      </w:r>
    </w:p>
    <w:p w14:paraId="297DCC97" w14:textId="4328C991" w:rsidR="00AC068B" w:rsidRPr="003F3169" w:rsidRDefault="00527DEB" w:rsidP="003F3169">
      <w:pPr>
        <w:pStyle w:val="BodyText"/>
      </w:pPr>
      <w:r>
        <w:t>M</w:t>
      </w:r>
      <w:r w:rsidR="003A2F3D" w:rsidRPr="003F3169">
        <w:t>a</w:t>
      </w:r>
      <w:r>
        <w:t>ny</w:t>
      </w:r>
      <w:r w:rsidR="003A2F3D" w:rsidRPr="003F3169">
        <w:t xml:space="preserve"> responses did not accurately describe the tenor established by </w:t>
      </w:r>
      <w:r w:rsidR="006F4B75">
        <w:t xml:space="preserve">Professor </w:t>
      </w:r>
      <w:r w:rsidR="003A2F3D" w:rsidRPr="003F3169">
        <w:t xml:space="preserve">Kong in his speech. Tenor refers to the </w:t>
      </w:r>
      <w:r w:rsidR="0025707E" w:rsidRPr="003F3169">
        <w:t xml:space="preserve">created </w:t>
      </w:r>
      <w:r w:rsidR="003A2F3D" w:rsidRPr="003F3169">
        <w:t>relationship between participants in an exchange, encompassing status, social distance and roles</w:t>
      </w:r>
      <w:r w:rsidR="006F4B75">
        <w:t>, and should be</w:t>
      </w:r>
      <w:r w:rsidR="003A2F3D" w:rsidRPr="003F3169">
        <w:t xml:space="preserve"> describe</w:t>
      </w:r>
      <w:r w:rsidR="006F4B75">
        <w:t>d</w:t>
      </w:r>
      <w:r w:rsidR="003A2F3D" w:rsidRPr="003F3169">
        <w:t xml:space="preserve"> in these terms rather than treat</w:t>
      </w:r>
      <w:r w:rsidR="006F4B75">
        <w:t>ed</w:t>
      </w:r>
      <w:r w:rsidR="003A2F3D" w:rsidRPr="003F3169">
        <w:t xml:space="preserve"> as a near-synonym for tone. Tenor concerns the social relationship being constructed or perceived, while tone concerns the attitude or emotional effect conveyed through language.</w:t>
      </w:r>
      <w:r w:rsidR="00596649" w:rsidRPr="003F3169">
        <w:t xml:space="preserve"> It would be useful to consider tenor as a focus on the social dynamics between participants rather than in the text’s emotional attitude or mood.</w:t>
      </w:r>
      <w:r w:rsidR="003A2F3D" w:rsidRPr="003F3169">
        <w:t xml:space="preserve"> </w:t>
      </w:r>
    </w:p>
    <w:p w14:paraId="3F5C934A" w14:textId="77777777" w:rsidR="000C0D5B" w:rsidRDefault="000C0D5B" w:rsidP="00D63201">
      <w:pPr>
        <w:pStyle w:val="BodyText"/>
      </w:pPr>
      <w:r>
        <w:br w:type="page"/>
      </w:r>
    </w:p>
    <w:p w14:paraId="6A53B0A9" w14:textId="4C179283" w:rsidR="005F4345" w:rsidRPr="003F3169" w:rsidRDefault="005F4345" w:rsidP="003F3169">
      <w:pPr>
        <w:pStyle w:val="BodyText"/>
      </w:pPr>
      <w:r w:rsidRPr="003F3169">
        <w:lastRenderedPageBreak/>
        <w:t>Higher</w:t>
      </w:r>
      <w:r w:rsidR="006F4B75">
        <w:t>-</w:t>
      </w:r>
      <w:r w:rsidRPr="003F3169">
        <w:t>scoring responses acknowledge</w:t>
      </w:r>
      <w:r w:rsidR="006F4B75">
        <w:t>d</w:t>
      </w:r>
      <w:r w:rsidRPr="003F3169">
        <w:t xml:space="preserve"> and analyse</w:t>
      </w:r>
      <w:r w:rsidR="006F4B75">
        <w:t>d</w:t>
      </w:r>
      <w:r w:rsidRPr="003F3169">
        <w:t xml:space="preserve"> features that supported a range of intents and purposes of the text and pinpoint</w:t>
      </w:r>
      <w:r w:rsidR="006F4B75">
        <w:t>ed</w:t>
      </w:r>
      <w:r w:rsidRPr="003F3169">
        <w:t xml:space="preserve"> </w:t>
      </w:r>
      <w:r w:rsidR="006F4B75">
        <w:t>(</w:t>
      </w:r>
      <w:r w:rsidRPr="003F3169">
        <w:t>with reference to language features</w:t>
      </w:r>
      <w:r w:rsidR="006F4B75">
        <w:t>)</w:t>
      </w:r>
      <w:r w:rsidRPr="003F3169">
        <w:t xml:space="preserve"> how the purposes changed at various points in the text</w:t>
      </w:r>
      <w:r w:rsidR="00BB6DBE">
        <w:t>, using complementary examples to support their analysis</w:t>
      </w:r>
      <w:r w:rsidRPr="003F3169">
        <w:t xml:space="preserve">. For example, </w:t>
      </w:r>
      <w:r w:rsidR="0037328B" w:rsidRPr="003F3169">
        <w:t>some higher</w:t>
      </w:r>
      <w:r w:rsidR="006F4B75">
        <w:t>-</w:t>
      </w:r>
      <w:r w:rsidR="0037328B" w:rsidRPr="003F3169">
        <w:t xml:space="preserve">level </w:t>
      </w:r>
      <w:r w:rsidR="006F4B75">
        <w:t>responses</w:t>
      </w:r>
      <w:r w:rsidR="006F4B75" w:rsidRPr="003F3169">
        <w:t xml:space="preserve"> </w:t>
      </w:r>
      <w:r w:rsidRPr="003F3169">
        <w:t xml:space="preserve">observed </w:t>
      </w:r>
      <w:r w:rsidR="006F4B75">
        <w:t>that,</w:t>
      </w:r>
      <w:r w:rsidR="006F4B75" w:rsidRPr="003F3169">
        <w:t xml:space="preserve"> </w:t>
      </w:r>
      <w:r w:rsidRPr="003F3169">
        <w:t xml:space="preserve">even though it was important to use his speech to educate the audience on the importance of ear health, </w:t>
      </w:r>
      <w:r w:rsidR="006F4B75">
        <w:t xml:space="preserve">Professor </w:t>
      </w:r>
      <w:r w:rsidRPr="003F3169">
        <w:t>Kong was also able to integrate humorous anecdotes and conclude it in a positive, celebratory manner, befitting of a speech at an awards ceremony, despite its more sombre moments.</w:t>
      </w:r>
    </w:p>
    <w:p w14:paraId="447C40D1" w14:textId="255A6ECE" w:rsidR="007B6F91" w:rsidRPr="003F3169" w:rsidRDefault="007C5F15" w:rsidP="003F3169">
      <w:pPr>
        <w:pStyle w:val="BodyText"/>
      </w:pPr>
      <w:r w:rsidRPr="003F3169">
        <w:t xml:space="preserve">The following responses demonstrate different approaches to the analytical commentary, both valid. </w:t>
      </w:r>
    </w:p>
    <w:p w14:paraId="04E7F1CF" w14:textId="738E653C" w:rsidR="00EE74BB" w:rsidRPr="002D14C7" w:rsidRDefault="007C5F15" w:rsidP="00D63201">
      <w:pPr>
        <w:pStyle w:val="BodyText"/>
        <w:rPr>
          <w:b/>
          <w:i/>
          <w:highlight w:val="lightGray"/>
        </w:rPr>
      </w:pPr>
      <w:r w:rsidRPr="003F3169">
        <w:t xml:space="preserve">The first sample </w:t>
      </w:r>
      <w:r w:rsidRPr="00527DEB">
        <w:t>focuse</w:t>
      </w:r>
      <w:r w:rsidR="00527DEB">
        <w:t>d</w:t>
      </w:r>
      <w:r w:rsidRPr="003F3169">
        <w:t xml:space="preserve"> on important purposes of the speech in order to shape </w:t>
      </w:r>
      <w:proofErr w:type="gramStart"/>
      <w:r w:rsidRPr="003F3169">
        <w:t xml:space="preserve">paragraphs, </w:t>
      </w:r>
      <w:r w:rsidR="00054376">
        <w:t>and</w:t>
      </w:r>
      <w:proofErr w:type="gramEnd"/>
      <w:r w:rsidR="00054376">
        <w:t xml:space="preserve"> </w:t>
      </w:r>
      <w:r w:rsidR="00527DEB" w:rsidRPr="00527DEB">
        <w:t>dr</w:t>
      </w:r>
      <w:r w:rsidR="00527DEB" w:rsidRPr="00DF66BA">
        <w:t>e</w:t>
      </w:r>
      <w:r w:rsidR="00527DEB" w:rsidRPr="00527DEB">
        <w:t>w</w:t>
      </w:r>
      <w:r w:rsidR="00527DEB" w:rsidRPr="003F3169">
        <w:t xml:space="preserve"> </w:t>
      </w:r>
      <w:r w:rsidRPr="003F3169">
        <w:t xml:space="preserve">from the text to provide relevant linguistic evidence. </w:t>
      </w:r>
    </w:p>
    <w:tbl>
      <w:tblPr>
        <w:tblStyle w:val="TableGrid"/>
        <w:tblW w:w="0" w:type="auto"/>
        <w:tblInd w:w="720" w:type="dxa"/>
        <w:tblLook w:val="04A0" w:firstRow="1" w:lastRow="0" w:firstColumn="1" w:lastColumn="0" w:noHBand="0" w:noVBand="1"/>
      </w:tblPr>
      <w:tblGrid>
        <w:gridCol w:w="5654"/>
        <w:gridCol w:w="3255"/>
      </w:tblGrid>
      <w:tr w:rsidR="00EE74BB" w:rsidRPr="00D01329" w14:paraId="1F0387B6" w14:textId="77777777" w:rsidTr="00857574">
        <w:tc>
          <w:tcPr>
            <w:tcW w:w="5654" w:type="dxa"/>
            <w:tcBorders>
              <w:bottom w:val="single" w:sz="4" w:space="0" w:color="auto"/>
            </w:tcBorders>
          </w:tcPr>
          <w:p w14:paraId="3803FC0F" w14:textId="77777777" w:rsidR="00EE74BB" w:rsidRPr="00C25F6E" w:rsidRDefault="00EE74BB" w:rsidP="00074015">
            <w:pPr>
              <w:pStyle w:val="Tableheading"/>
              <w:rPr>
                <w:i/>
              </w:rPr>
            </w:pPr>
            <w:r w:rsidRPr="00C25F6E">
              <w:t>Student sample</w:t>
            </w:r>
          </w:p>
        </w:tc>
        <w:tc>
          <w:tcPr>
            <w:tcW w:w="3255" w:type="dxa"/>
            <w:tcBorders>
              <w:bottom w:val="single" w:sz="4" w:space="0" w:color="auto"/>
            </w:tcBorders>
          </w:tcPr>
          <w:p w14:paraId="0BE9AFA2" w14:textId="77777777" w:rsidR="00EE74BB" w:rsidRPr="00C25F6E" w:rsidRDefault="00EE74BB" w:rsidP="00074015">
            <w:pPr>
              <w:pStyle w:val="Tableheading"/>
              <w:rPr>
                <w:i/>
              </w:rPr>
            </w:pPr>
            <w:r w:rsidRPr="00C25F6E">
              <w:t>Annotations</w:t>
            </w:r>
          </w:p>
        </w:tc>
      </w:tr>
      <w:tr w:rsidR="005427DD" w14:paraId="2C891F09" w14:textId="77777777" w:rsidTr="00857574">
        <w:tc>
          <w:tcPr>
            <w:tcW w:w="5654" w:type="dxa"/>
            <w:tcBorders>
              <w:bottom w:val="nil"/>
            </w:tcBorders>
          </w:tcPr>
          <w:p w14:paraId="657A0AE3" w14:textId="4C3BFB99" w:rsidR="00440CB6" w:rsidRPr="00440CB6" w:rsidRDefault="00440CB6" w:rsidP="000003F7">
            <w:pPr>
              <w:pStyle w:val="Studentresponse"/>
            </w:pPr>
            <w:r>
              <w:t xml:space="preserve">A key purpose of this speech is to allow K to thank </w:t>
            </w:r>
            <w:proofErr w:type="gramStart"/>
            <w:r>
              <w:t>all of</w:t>
            </w:r>
            <w:proofErr w:type="gramEnd"/>
            <w:r>
              <w:t xml:space="preserve"> the people that helped him receive this award. He uses emphatic stress in “</w:t>
            </w:r>
            <w:r>
              <w:rPr>
                <w:u w:val="single"/>
              </w:rPr>
              <w:t>regard</w:t>
            </w:r>
            <w:r>
              <w:t>” (2) and “</w:t>
            </w:r>
            <w:r>
              <w:rPr>
                <w:u w:val="single"/>
              </w:rPr>
              <w:t>this</w:t>
            </w:r>
            <w:r>
              <w:t>” (5) to place an emphasis and highlight how grateful he is to be receiving this award.</w:t>
            </w:r>
          </w:p>
        </w:tc>
        <w:tc>
          <w:tcPr>
            <w:tcW w:w="3255" w:type="dxa"/>
            <w:tcBorders>
              <w:bottom w:val="nil"/>
            </w:tcBorders>
          </w:tcPr>
          <w:p w14:paraId="16008208" w14:textId="4DB30FAF" w:rsidR="005427DD" w:rsidRPr="00042640" w:rsidRDefault="007A0E14" w:rsidP="006E6207">
            <w:pPr>
              <w:pStyle w:val="BodyText"/>
              <w:rPr>
                <w:b/>
                <w:i/>
                <w:highlight w:val="lightGray"/>
              </w:rPr>
            </w:pPr>
            <w:r>
              <w:rPr>
                <w:bCs/>
                <w:iCs/>
              </w:rPr>
              <w:t xml:space="preserve">This </w:t>
            </w:r>
            <w:r w:rsidR="008470F1">
              <w:rPr>
                <w:bCs/>
                <w:iCs/>
              </w:rPr>
              <w:t>wa</w:t>
            </w:r>
            <w:r>
              <w:rPr>
                <w:bCs/>
                <w:iCs/>
              </w:rPr>
              <w:t>s a</w:t>
            </w:r>
            <w:r w:rsidR="00E21B28">
              <w:rPr>
                <w:bCs/>
                <w:iCs/>
              </w:rPr>
              <w:t xml:space="preserve"> meaningful analysis of prosody, demonstrating awareness of mode-relevant aspects of Kong’s speech</w:t>
            </w:r>
            <w:r>
              <w:rPr>
                <w:bCs/>
                <w:iCs/>
              </w:rPr>
              <w:t>.</w:t>
            </w:r>
          </w:p>
        </w:tc>
      </w:tr>
      <w:tr w:rsidR="00E21B28" w14:paraId="638FC9DD" w14:textId="77777777" w:rsidTr="00857574">
        <w:tc>
          <w:tcPr>
            <w:tcW w:w="5654" w:type="dxa"/>
            <w:tcBorders>
              <w:top w:val="nil"/>
              <w:bottom w:val="nil"/>
            </w:tcBorders>
          </w:tcPr>
          <w:p w14:paraId="2F667AE6" w14:textId="77777777" w:rsidR="00E21B28" w:rsidRDefault="00E21B28" w:rsidP="000003F7">
            <w:pPr>
              <w:pStyle w:val="Studentresponse"/>
            </w:pPr>
            <w:r>
              <w:t xml:space="preserve">His use of culturally relevant lexemes such as “Elders” (61) as well as the collocation “acknowledge and pay my respects” (11) reflects K’s identity as a member of the First Nations community, specifically </w:t>
            </w:r>
            <w:proofErr w:type="spellStart"/>
            <w:r>
              <w:t>Worimi</w:t>
            </w:r>
            <w:proofErr w:type="spellEnd"/>
            <w:r>
              <w:t>.</w:t>
            </w:r>
          </w:p>
          <w:p w14:paraId="2378639A" w14:textId="3A591DA8" w:rsidR="00E21B28" w:rsidRPr="00D01329" w:rsidRDefault="00E21B28" w:rsidP="000003F7">
            <w:pPr>
              <w:pStyle w:val="Studentresponse"/>
              <w:rPr>
                <w:i/>
              </w:rPr>
            </w:pPr>
            <w:r>
              <w:rPr>
                <w:i/>
              </w:rPr>
              <w:t>…</w:t>
            </w:r>
          </w:p>
        </w:tc>
        <w:tc>
          <w:tcPr>
            <w:tcW w:w="3255" w:type="dxa"/>
            <w:tcBorders>
              <w:top w:val="nil"/>
              <w:bottom w:val="nil"/>
            </w:tcBorders>
          </w:tcPr>
          <w:p w14:paraId="5C91E1C9" w14:textId="2CC1400A" w:rsidR="00E21B28" w:rsidRPr="00042640" w:rsidRDefault="007A0E14" w:rsidP="006E6207">
            <w:pPr>
              <w:pStyle w:val="BodyText"/>
              <w:rPr>
                <w:i/>
                <w:highlight w:val="lightGray"/>
              </w:rPr>
            </w:pPr>
            <w:r>
              <w:rPr>
                <w:bCs/>
                <w:iCs/>
              </w:rPr>
              <w:t>This section a</w:t>
            </w:r>
            <w:r w:rsidR="00E21B28">
              <w:rPr>
                <w:bCs/>
                <w:iCs/>
              </w:rPr>
              <w:t>cknowledge</w:t>
            </w:r>
            <w:r w:rsidR="008470F1">
              <w:rPr>
                <w:bCs/>
                <w:iCs/>
              </w:rPr>
              <w:t>d</w:t>
            </w:r>
            <w:r w:rsidR="00E21B28">
              <w:rPr>
                <w:bCs/>
                <w:iCs/>
              </w:rPr>
              <w:t xml:space="preserve"> key aspects of the context and speaker, drawing from background information</w:t>
            </w:r>
            <w:r>
              <w:rPr>
                <w:bCs/>
                <w:iCs/>
              </w:rPr>
              <w:t>.</w:t>
            </w:r>
          </w:p>
        </w:tc>
      </w:tr>
      <w:tr w:rsidR="00E21B28" w14:paraId="5803E741" w14:textId="77777777" w:rsidTr="00857574">
        <w:tc>
          <w:tcPr>
            <w:tcW w:w="5654" w:type="dxa"/>
            <w:tcBorders>
              <w:top w:val="nil"/>
            </w:tcBorders>
          </w:tcPr>
          <w:p w14:paraId="60EF3216" w14:textId="79BE63AE" w:rsidR="00E21B28" w:rsidRDefault="00E21B28" w:rsidP="000003F7">
            <w:pPr>
              <w:pStyle w:val="Studentresponse"/>
            </w:pPr>
            <w:r>
              <w:t xml:space="preserve">Another key purpose of this speech is to portray to others how K is still working to improve the hearing health of First Nations community and how despite receiving the award he is not finished. K utters the metaphor “it’s a </w:t>
            </w:r>
            <w:proofErr w:type="gramStart"/>
            <w:r>
              <w:t>two edged</w:t>
            </w:r>
            <w:proofErr w:type="gramEnd"/>
            <w:r>
              <w:t xml:space="preserve"> sword” (17) to explain his feeling when receiving this award as somewhat bittersweet. This signals a shift in topic reflecting K’s identity as an advocate for improved healthcare in his community.</w:t>
            </w:r>
          </w:p>
        </w:tc>
        <w:tc>
          <w:tcPr>
            <w:tcW w:w="3255" w:type="dxa"/>
            <w:tcBorders>
              <w:top w:val="nil"/>
            </w:tcBorders>
          </w:tcPr>
          <w:p w14:paraId="536154ED" w14:textId="4DA6EABF" w:rsidR="00E21B28" w:rsidRPr="00042640" w:rsidRDefault="00E21B28" w:rsidP="006E6207">
            <w:pPr>
              <w:pStyle w:val="BodyText"/>
              <w:rPr>
                <w:i/>
                <w:highlight w:val="lightGray"/>
              </w:rPr>
            </w:pPr>
            <w:r>
              <w:rPr>
                <w:bCs/>
                <w:iCs/>
              </w:rPr>
              <w:t>Focuse</w:t>
            </w:r>
            <w:r w:rsidR="008470F1">
              <w:rPr>
                <w:bCs/>
                <w:iCs/>
              </w:rPr>
              <w:t>d</w:t>
            </w:r>
            <w:r>
              <w:rPr>
                <w:bCs/>
                <w:iCs/>
              </w:rPr>
              <w:t xml:space="preserve"> on salient features that support</w:t>
            </w:r>
            <w:r w:rsidR="008470F1">
              <w:rPr>
                <w:bCs/>
                <w:iCs/>
              </w:rPr>
              <w:t>ed</w:t>
            </w:r>
            <w:r>
              <w:rPr>
                <w:bCs/>
                <w:iCs/>
              </w:rPr>
              <w:t xml:space="preserve"> a purpose</w:t>
            </w:r>
            <w:r w:rsidR="008470F1">
              <w:rPr>
                <w:bCs/>
                <w:iCs/>
              </w:rPr>
              <w:t>,</w:t>
            </w:r>
            <w:r>
              <w:rPr>
                <w:bCs/>
                <w:iCs/>
              </w:rPr>
              <w:t xml:space="preserve"> while contributing to other elements of the text, such as affirming a particular identity of the speaker. There </w:t>
            </w:r>
            <w:r w:rsidR="008470F1">
              <w:rPr>
                <w:bCs/>
                <w:iCs/>
              </w:rPr>
              <w:t>was</w:t>
            </w:r>
            <w:r>
              <w:rPr>
                <w:bCs/>
                <w:iCs/>
              </w:rPr>
              <w:t xml:space="preserve"> a</w:t>
            </w:r>
            <w:r w:rsidR="00E4115A">
              <w:rPr>
                <w:bCs/>
                <w:iCs/>
              </w:rPr>
              <w:t xml:space="preserve"> brief mention of topic shift, linking to a relevant </w:t>
            </w:r>
            <w:r>
              <w:rPr>
                <w:bCs/>
                <w:iCs/>
              </w:rPr>
              <w:t>discourse strateg</w:t>
            </w:r>
            <w:r w:rsidR="00E4115A">
              <w:rPr>
                <w:bCs/>
                <w:iCs/>
              </w:rPr>
              <w:t>y</w:t>
            </w:r>
            <w:r>
              <w:rPr>
                <w:bCs/>
                <w:iCs/>
              </w:rPr>
              <w:t>.</w:t>
            </w:r>
          </w:p>
        </w:tc>
      </w:tr>
    </w:tbl>
    <w:p w14:paraId="129C4D41" w14:textId="77777777" w:rsidR="000C0D5B" w:rsidRPr="00D63201" w:rsidRDefault="000C0D5B" w:rsidP="00D63201">
      <w:pPr>
        <w:pStyle w:val="BodyText"/>
      </w:pPr>
      <w:r>
        <w:br w:type="page"/>
      </w:r>
    </w:p>
    <w:p w14:paraId="33FD1E27" w14:textId="0A084480" w:rsidR="00440CB6" w:rsidRPr="003F3169" w:rsidRDefault="009C6D58" w:rsidP="003F3169">
      <w:pPr>
        <w:pStyle w:val="BodyText"/>
      </w:pPr>
      <w:r w:rsidRPr="003F3169">
        <w:lastRenderedPageBreak/>
        <w:t>Th</w:t>
      </w:r>
      <w:r w:rsidR="007A0E14">
        <w:t>e</w:t>
      </w:r>
      <w:r w:rsidRPr="003F3169">
        <w:t xml:space="preserve"> second sample</w:t>
      </w:r>
      <w:r w:rsidR="007A0E14">
        <w:t xml:space="preserve"> </w:t>
      </w:r>
      <w:r w:rsidRPr="003F3169">
        <w:t>use</w:t>
      </w:r>
      <w:r w:rsidR="00054376">
        <w:t>d</w:t>
      </w:r>
      <w:r w:rsidRPr="003F3169">
        <w:t xml:space="preserve"> a free-flowing structural strategy that </w:t>
      </w:r>
      <w:r w:rsidR="00054376" w:rsidRPr="003F3169">
        <w:t>focuse</w:t>
      </w:r>
      <w:r w:rsidR="00054376">
        <w:t>d</w:t>
      </w:r>
      <w:r w:rsidR="00054376" w:rsidRPr="003F3169">
        <w:t xml:space="preserve"> </w:t>
      </w:r>
      <w:r w:rsidRPr="003F3169">
        <w:t xml:space="preserve">on a key element of the speech before transitioning to complementary elements. </w:t>
      </w:r>
    </w:p>
    <w:tbl>
      <w:tblPr>
        <w:tblStyle w:val="TableGrid"/>
        <w:tblW w:w="0" w:type="auto"/>
        <w:tblInd w:w="720" w:type="dxa"/>
        <w:tblLook w:val="04A0" w:firstRow="1" w:lastRow="0" w:firstColumn="1" w:lastColumn="0" w:noHBand="0" w:noVBand="1"/>
      </w:tblPr>
      <w:tblGrid>
        <w:gridCol w:w="5654"/>
        <w:gridCol w:w="3255"/>
      </w:tblGrid>
      <w:tr w:rsidR="00440CB6" w:rsidRPr="00D01329" w14:paraId="73FF8210" w14:textId="77777777" w:rsidTr="007C5F15">
        <w:tc>
          <w:tcPr>
            <w:tcW w:w="5654" w:type="dxa"/>
            <w:tcBorders>
              <w:bottom w:val="single" w:sz="4" w:space="0" w:color="auto"/>
            </w:tcBorders>
          </w:tcPr>
          <w:p w14:paraId="17DF0F43" w14:textId="77777777" w:rsidR="00440CB6" w:rsidRPr="00C25F6E" w:rsidRDefault="00440CB6" w:rsidP="00074015">
            <w:pPr>
              <w:pStyle w:val="Tableheading"/>
              <w:rPr>
                <w:i/>
              </w:rPr>
            </w:pPr>
            <w:r w:rsidRPr="00C25F6E">
              <w:t>Student sample</w:t>
            </w:r>
          </w:p>
        </w:tc>
        <w:tc>
          <w:tcPr>
            <w:tcW w:w="3255" w:type="dxa"/>
            <w:tcBorders>
              <w:bottom w:val="single" w:sz="4" w:space="0" w:color="auto"/>
            </w:tcBorders>
          </w:tcPr>
          <w:p w14:paraId="63594D83" w14:textId="77777777" w:rsidR="00440CB6" w:rsidRPr="00C25F6E" w:rsidRDefault="00440CB6" w:rsidP="00074015">
            <w:pPr>
              <w:pStyle w:val="Tableheading"/>
              <w:rPr>
                <w:i/>
              </w:rPr>
            </w:pPr>
            <w:r w:rsidRPr="00C25F6E">
              <w:t>Annotations</w:t>
            </w:r>
          </w:p>
        </w:tc>
      </w:tr>
      <w:tr w:rsidR="00440CB6" w14:paraId="63D8D78D" w14:textId="77777777" w:rsidTr="007C5F15">
        <w:tc>
          <w:tcPr>
            <w:tcW w:w="5654" w:type="dxa"/>
            <w:tcBorders>
              <w:bottom w:val="nil"/>
            </w:tcBorders>
          </w:tcPr>
          <w:p w14:paraId="240B76A7" w14:textId="25B13E67" w:rsidR="003F24F5" w:rsidRPr="00440CB6" w:rsidRDefault="003F24F5" w:rsidP="000003F7">
            <w:pPr>
              <w:pStyle w:val="Studentresponse"/>
            </w:pPr>
            <w:r>
              <w:t>Kong’s personal identity and values are revealed through various linguistic features. One such feature is the noun phrase “our Elders” (60). The term “Elder” (60</w:t>
            </w:r>
            <w:r w:rsidR="00CC06A9">
              <w:t>)</w:t>
            </w:r>
            <w:r>
              <w:t xml:space="preserve"> is an Aboriginal English term used to refer to one’s ancestors, and its use reflects Kong’s First Nations identity, which is further supported in the 1</w:t>
            </w:r>
            <w:r w:rsidRPr="006E6207">
              <w:t>st</w:t>
            </w:r>
            <w:r>
              <w:t xml:space="preserve"> person collective adverb “our” (60). This feature signifies Kong’s sense of belonging towards the First Nation’s peoples, while attributing the concept of ‘Elders’ to him directly. </w:t>
            </w:r>
            <w:proofErr w:type="gramStart"/>
            <w:r>
              <w:t>Thus</w:t>
            </w:r>
            <w:proofErr w:type="gramEnd"/>
            <w:r>
              <w:t xml:space="preserve"> Kong is able to express his First Nation’s identity.</w:t>
            </w:r>
          </w:p>
        </w:tc>
        <w:tc>
          <w:tcPr>
            <w:tcW w:w="3255" w:type="dxa"/>
            <w:tcBorders>
              <w:bottom w:val="nil"/>
            </w:tcBorders>
          </w:tcPr>
          <w:p w14:paraId="3F7F24F7" w14:textId="77777777" w:rsidR="00440CB6" w:rsidRDefault="00930B55" w:rsidP="006E6207">
            <w:pPr>
              <w:pStyle w:val="BodyText"/>
              <w:rPr>
                <w:iCs/>
              </w:rPr>
            </w:pPr>
            <w:r>
              <w:rPr>
                <w:bCs/>
                <w:iCs/>
              </w:rPr>
              <w:t>M</w:t>
            </w:r>
            <w:r>
              <w:rPr>
                <w:iCs/>
              </w:rPr>
              <w:t xml:space="preserve">etalanguage </w:t>
            </w:r>
            <w:r w:rsidR="008470F1">
              <w:rPr>
                <w:iCs/>
              </w:rPr>
              <w:t>wa</w:t>
            </w:r>
            <w:r>
              <w:rPr>
                <w:iCs/>
              </w:rPr>
              <w:t>s included for all examples provided and links made to key knowledge from the study design.</w:t>
            </w:r>
          </w:p>
          <w:p w14:paraId="66D3BBCF" w14:textId="6EE58149" w:rsidR="00E43433" w:rsidRPr="00886C52" w:rsidRDefault="00E43433" w:rsidP="00E43433">
            <w:pPr>
              <w:pStyle w:val="BodyText"/>
              <w:rPr>
                <w:highlight w:val="lightGray"/>
              </w:rPr>
            </w:pPr>
            <w:r w:rsidRPr="00DF66BA">
              <w:t>Note that a minor error under examination conditions, such as ‘</w:t>
            </w:r>
            <w:r w:rsidR="007405AD" w:rsidRPr="00DF66BA">
              <w:t xml:space="preserve">collective </w:t>
            </w:r>
            <w:r w:rsidRPr="00DF66BA">
              <w:t>adverb’ rather than ‘pronoun’, did not have a significant impact on overall positive marking</w:t>
            </w:r>
            <w:r w:rsidR="007405AD" w:rsidRPr="00DF66BA">
              <w:t xml:space="preserve"> of analytical commentaries</w:t>
            </w:r>
            <w:r w:rsidRPr="00DF66BA">
              <w:t>.</w:t>
            </w:r>
            <w:r w:rsidRPr="00886C52">
              <w:t xml:space="preserve"> </w:t>
            </w:r>
          </w:p>
        </w:tc>
      </w:tr>
      <w:tr w:rsidR="00440CB6" w14:paraId="177ADB8D" w14:textId="77777777" w:rsidTr="00930B55">
        <w:tc>
          <w:tcPr>
            <w:tcW w:w="5654" w:type="dxa"/>
            <w:tcBorders>
              <w:top w:val="nil"/>
              <w:bottom w:val="nil"/>
            </w:tcBorders>
          </w:tcPr>
          <w:p w14:paraId="10D236E2" w14:textId="3CE64A46" w:rsidR="00440CB6" w:rsidRPr="003F24F5" w:rsidRDefault="00930B55" w:rsidP="000003F7">
            <w:pPr>
              <w:pStyle w:val="Studentresponse"/>
            </w:pPr>
            <w:r>
              <w:t xml:space="preserve">Additionally, Kong also uses the adjective “ashamed” (35) to describe his feelings towards receiving the NAIDOC Person Award </w:t>
            </w:r>
            <w:proofErr w:type="gramStart"/>
            <w:r>
              <w:t>as a result of</w:t>
            </w:r>
            <w:proofErr w:type="gramEnd"/>
            <w:r>
              <w:t xml:space="preserve"> his work in ear health which results from poor ear health in Australia. The term “ashamed” bears connotations of guild and regret, reflecting Kong’s mixed feelings of benefiting due to the pain of others. As such, the direct attribution of the adjective to himself reflects his morals and values of humility.</w:t>
            </w:r>
          </w:p>
        </w:tc>
        <w:tc>
          <w:tcPr>
            <w:tcW w:w="3255" w:type="dxa"/>
            <w:tcBorders>
              <w:top w:val="nil"/>
              <w:bottom w:val="nil"/>
            </w:tcBorders>
          </w:tcPr>
          <w:p w14:paraId="6B903CD6" w14:textId="63913DCC" w:rsidR="00440CB6" w:rsidRPr="00042640" w:rsidRDefault="00930B55" w:rsidP="006E6207">
            <w:pPr>
              <w:pStyle w:val="BodyText"/>
              <w:rPr>
                <w:i/>
                <w:highlight w:val="lightGray"/>
              </w:rPr>
            </w:pPr>
            <w:r>
              <w:t xml:space="preserve">A complementary example </w:t>
            </w:r>
            <w:r w:rsidR="008470F1">
              <w:t>w</w:t>
            </w:r>
            <w:r>
              <w:t>as used</w:t>
            </w:r>
            <w:r w:rsidR="007A0E14">
              <w:t>,</w:t>
            </w:r>
            <w:r>
              <w:t xml:space="preserve"> acknowledging elements of the cultural context</w:t>
            </w:r>
            <w:r w:rsidR="007A0E14">
              <w:t>.</w:t>
            </w:r>
          </w:p>
        </w:tc>
      </w:tr>
      <w:tr w:rsidR="00930B55" w14:paraId="1800BB4A" w14:textId="77777777" w:rsidTr="00930B55">
        <w:tc>
          <w:tcPr>
            <w:tcW w:w="5654" w:type="dxa"/>
            <w:tcBorders>
              <w:top w:val="nil"/>
              <w:bottom w:val="nil"/>
            </w:tcBorders>
          </w:tcPr>
          <w:p w14:paraId="47A9160B" w14:textId="1C4A9E5E" w:rsidR="00930B55" w:rsidRPr="003F24F5" w:rsidRDefault="00930B55" w:rsidP="000003F7">
            <w:pPr>
              <w:pStyle w:val="Studentresponse"/>
            </w:pPr>
            <w:r>
              <w:t xml:space="preserve">The emotive function of the speech is supported by Kong’s purpose of meeting the positive face needs of the audience with the intent of expressing his gratitude. This is immediately made clear with his repetition of the interjection “thank you” (15) (72) (68). This feature is used in line 15 as “thank you… important” (15-16) which pays thanks to the NAIDOC Committee for acknowledging the importance of ear health. This feature acknowledges the contributions of the NAIDOC Committee through simple awareness of the effect ear health can have on society. As a result, Kong </w:t>
            </w:r>
            <w:proofErr w:type="gramStart"/>
            <w:r>
              <w:t>is able to</w:t>
            </w:r>
            <w:proofErr w:type="gramEnd"/>
            <w:r>
              <w:t xml:space="preserve"> express his gratitude by meeting the NAIDOC Committee’s positive face through his expression of appreciation which helps fulfill the emotive function. </w:t>
            </w:r>
          </w:p>
        </w:tc>
        <w:tc>
          <w:tcPr>
            <w:tcW w:w="3255" w:type="dxa"/>
            <w:tcBorders>
              <w:top w:val="nil"/>
              <w:bottom w:val="nil"/>
            </w:tcBorders>
          </w:tcPr>
          <w:p w14:paraId="3CBF7538" w14:textId="7B145A6D" w:rsidR="00930B55" w:rsidRPr="00042640" w:rsidRDefault="00071EE1" w:rsidP="006E6207">
            <w:pPr>
              <w:pStyle w:val="BodyText"/>
              <w:rPr>
                <w:i/>
                <w:highlight w:val="lightGray"/>
              </w:rPr>
            </w:pPr>
            <w:r>
              <w:t>Link</w:t>
            </w:r>
            <w:r w:rsidR="008470F1">
              <w:t>ed</w:t>
            </w:r>
            <w:r>
              <w:t xml:space="preserve"> to purpose/intent as well as politeness strategies such as face needs. Metalanguage here </w:t>
            </w:r>
            <w:r w:rsidR="008470F1">
              <w:t>wa</w:t>
            </w:r>
            <w:r>
              <w:t xml:space="preserve">s accurate and the interjection </w:t>
            </w:r>
            <w:r w:rsidR="008470F1">
              <w:t>wa</w:t>
            </w:r>
            <w:r>
              <w:t>s explained in detail in terms of how it assist</w:t>
            </w:r>
            <w:r w:rsidR="008470F1">
              <w:t>ed</w:t>
            </w:r>
            <w:r>
              <w:t xml:space="preserve"> in attending to positive face.</w:t>
            </w:r>
          </w:p>
        </w:tc>
      </w:tr>
      <w:tr w:rsidR="00930B55" w14:paraId="70452CBF" w14:textId="77777777" w:rsidTr="007C5F15">
        <w:tc>
          <w:tcPr>
            <w:tcW w:w="5654" w:type="dxa"/>
            <w:tcBorders>
              <w:top w:val="nil"/>
            </w:tcBorders>
          </w:tcPr>
          <w:p w14:paraId="61CF36C9" w14:textId="43167EAC" w:rsidR="00930B55" w:rsidRDefault="00930B55" w:rsidP="000003F7">
            <w:pPr>
              <w:pStyle w:val="Studentresponse"/>
            </w:pPr>
            <w:r>
              <w:t>Moreover, Kong utili</w:t>
            </w:r>
            <w:r w:rsidR="00B8082F">
              <w:t>s</w:t>
            </w:r>
            <w:r>
              <w:t>es the 1</w:t>
            </w:r>
            <w:r w:rsidRPr="006E6207">
              <w:t>st</w:t>
            </w:r>
            <w:r>
              <w:t xml:space="preserve"> person pronoun “</w:t>
            </w:r>
            <w:r>
              <w:rPr>
                <w:u w:val="single"/>
              </w:rPr>
              <w:t>you</w:t>
            </w:r>
            <w:r>
              <w:t xml:space="preserve">” (63) when addressing those who supported Kong and his community. The </w:t>
            </w:r>
            <w:proofErr w:type="gramStart"/>
            <w:r>
              <w:t>first person</w:t>
            </w:r>
            <w:proofErr w:type="gramEnd"/>
            <w:r>
              <w:t xml:space="preserve"> pronoun allows Kong to directly address the audience while allowing the individual audience members feel as though they are being personally appreciated and acknowledged, as supported by the emphasis placed on this feature due to emphatic stress. As such, Kong </w:t>
            </w:r>
            <w:proofErr w:type="gramStart"/>
            <w:r>
              <w:t>is able to</w:t>
            </w:r>
            <w:proofErr w:type="gramEnd"/>
            <w:r>
              <w:t xml:space="preserve"> meet the positive face needs of the audience in his expression of gratitude.</w:t>
            </w:r>
          </w:p>
        </w:tc>
        <w:tc>
          <w:tcPr>
            <w:tcW w:w="3255" w:type="dxa"/>
            <w:tcBorders>
              <w:top w:val="nil"/>
            </w:tcBorders>
          </w:tcPr>
          <w:p w14:paraId="3A4A0C17" w14:textId="35B7D4A1" w:rsidR="00930B55" w:rsidRDefault="00071EE1" w:rsidP="006E6207">
            <w:pPr>
              <w:pStyle w:val="BodyText"/>
            </w:pPr>
            <w:r>
              <w:t>Acknowledge</w:t>
            </w:r>
            <w:r w:rsidR="008470F1">
              <w:t>d</w:t>
            </w:r>
            <w:r>
              <w:t xml:space="preserve"> important elements of the situational context by considering the audience. </w:t>
            </w:r>
          </w:p>
          <w:p w14:paraId="6575B8F3" w14:textId="340009DC" w:rsidR="007405AD" w:rsidRPr="00042640" w:rsidRDefault="007405AD" w:rsidP="006E6207">
            <w:pPr>
              <w:pStyle w:val="BodyText"/>
              <w:rPr>
                <w:i/>
                <w:highlight w:val="lightGray"/>
              </w:rPr>
            </w:pPr>
            <w:r w:rsidRPr="00DF66BA">
              <w:t>Note that a minor error under examination conditions, such as ‘1st person' rather than ‘second person’, did not have a significant impact on overall positive marking of analytical commentaries.</w:t>
            </w:r>
          </w:p>
        </w:tc>
      </w:tr>
    </w:tbl>
    <w:p w14:paraId="6FE91CD3" w14:textId="746A4C8F" w:rsidR="00945034" w:rsidRPr="00515D1A" w:rsidRDefault="00945034" w:rsidP="0088613A">
      <w:pPr>
        <w:pStyle w:val="Heading1"/>
      </w:pPr>
      <w:r w:rsidRPr="00515D1A">
        <w:lastRenderedPageBreak/>
        <w:t>Section C: Essay</w:t>
      </w:r>
    </w:p>
    <w:tbl>
      <w:tblPr>
        <w:tblStyle w:val="VCAATableClosed"/>
        <w:tblW w:w="8926" w:type="dxa"/>
        <w:tblLayout w:type="fixed"/>
        <w:tblLook w:val="01E0" w:firstRow="1" w:lastRow="1" w:firstColumn="1" w:lastColumn="1" w:noHBand="0" w:noVBand="0"/>
      </w:tblPr>
      <w:tblGrid>
        <w:gridCol w:w="747"/>
        <w:gridCol w:w="472"/>
        <w:gridCol w:w="471"/>
        <w:gridCol w:w="471"/>
        <w:gridCol w:w="447"/>
        <w:gridCol w:w="370"/>
        <w:gridCol w:w="371"/>
        <w:gridCol w:w="371"/>
        <w:gridCol w:w="436"/>
        <w:gridCol w:w="436"/>
        <w:gridCol w:w="436"/>
        <w:gridCol w:w="441"/>
        <w:gridCol w:w="441"/>
        <w:gridCol w:w="441"/>
        <w:gridCol w:w="441"/>
        <w:gridCol w:w="441"/>
        <w:gridCol w:w="559"/>
        <w:gridCol w:w="1134"/>
      </w:tblGrid>
      <w:tr w:rsidR="00945034" w:rsidRPr="00515D1A" w14:paraId="209133F4" w14:textId="77777777" w:rsidTr="00DF66BA">
        <w:trPr>
          <w:cnfStyle w:val="100000000000" w:firstRow="1" w:lastRow="0" w:firstColumn="0" w:lastColumn="0" w:oddVBand="0" w:evenVBand="0" w:oddHBand="0" w:evenHBand="0" w:firstRowFirstColumn="0" w:firstRowLastColumn="0" w:lastRowFirstColumn="0" w:lastRowLastColumn="0"/>
          <w:trHeight w:val="386"/>
        </w:trPr>
        <w:tc>
          <w:tcPr>
            <w:tcW w:w="747" w:type="dxa"/>
          </w:tcPr>
          <w:p w14:paraId="5D03BBF1" w14:textId="77777777" w:rsidR="00945034" w:rsidRPr="00515D1A" w:rsidRDefault="00945034" w:rsidP="00244860">
            <w:pPr>
              <w:pStyle w:val="Tablecondensedheading"/>
              <w:rPr>
                <w:lang w:val="en-AU"/>
              </w:rPr>
            </w:pPr>
            <w:r w:rsidRPr="00515D1A">
              <w:rPr>
                <w:lang w:val="en-AU"/>
              </w:rPr>
              <w:t>Marks</w:t>
            </w:r>
          </w:p>
        </w:tc>
        <w:tc>
          <w:tcPr>
            <w:tcW w:w="472" w:type="dxa"/>
          </w:tcPr>
          <w:p w14:paraId="734DFEF7" w14:textId="77777777" w:rsidR="00945034" w:rsidRPr="00515D1A" w:rsidRDefault="00945034" w:rsidP="00244860">
            <w:pPr>
              <w:pStyle w:val="Tablecondensedheading"/>
              <w:rPr>
                <w:lang w:val="en-AU"/>
              </w:rPr>
            </w:pPr>
            <w:r w:rsidRPr="00515D1A">
              <w:rPr>
                <w:lang w:val="en-AU"/>
              </w:rPr>
              <w:t>0</w:t>
            </w:r>
          </w:p>
        </w:tc>
        <w:tc>
          <w:tcPr>
            <w:tcW w:w="471" w:type="dxa"/>
          </w:tcPr>
          <w:p w14:paraId="123B3196" w14:textId="77777777" w:rsidR="00945034" w:rsidRPr="00515D1A" w:rsidRDefault="00945034" w:rsidP="00244860">
            <w:pPr>
              <w:pStyle w:val="Tablecondensedheading"/>
              <w:rPr>
                <w:lang w:val="en-AU"/>
              </w:rPr>
            </w:pPr>
            <w:r w:rsidRPr="00515D1A">
              <w:rPr>
                <w:lang w:val="en-AU"/>
              </w:rPr>
              <w:t>1</w:t>
            </w:r>
          </w:p>
        </w:tc>
        <w:tc>
          <w:tcPr>
            <w:tcW w:w="471" w:type="dxa"/>
          </w:tcPr>
          <w:p w14:paraId="03E9F1AE" w14:textId="77777777" w:rsidR="00945034" w:rsidRPr="00515D1A" w:rsidRDefault="00945034" w:rsidP="00244860">
            <w:pPr>
              <w:pStyle w:val="Tablecondensedheading"/>
              <w:rPr>
                <w:lang w:val="en-AU"/>
              </w:rPr>
            </w:pPr>
            <w:r w:rsidRPr="00515D1A">
              <w:rPr>
                <w:lang w:val="en-AU"/>
              </w:rPr>
              <w:t>2</w:t>
            </w:r>
          </w:p>
        </w:tc>
        <w:tc>
          <w:tcPr>
            <w:tcW w:w="447" w:type="dxa"/>
          </w:tcPr>
          <w:p w14:paraId="40E95DCD" w14:textId="77777777" w:rsidR="00945034" w:rsidRPr="00515D1A" w:rsidRDefault="00945034" w:rsidP="00244860">
            <w:pPr>
              <w:pStyle w:val="Tablecondensedheading"/>
              <w:rPr>
                <w:lang w:val="en-AU"/>
              </w:rPr>
            </w:pPr>
            <w:r w:rsidRPr="00515D1A">
              <w:rPr>
                <w:lang w:val="en-AU"/>
              </w:rPr>
              <w:t>3</w:t>
            </w:r>
          </w:p>
        </w:tc>
        <w:tc>
          <w:tcPr>
            <w:tcW w:w="370" w:type="dxa"/>
          </w:tcPr>
          <w:p w14:paraId="53C06726" w14:textId="77777777" w:rsidR="00945034" w:rsidRPr="00515D1A" w:rsidRDefault="00945034" w:rsidP="00244860">
            <w:pPr>
              <w:pStyle w:val="Tablecondensedheading"/>
              <w:rPr>
                <w:lang w:val="en-AU"/>
              </w:rPr>
            </w:pPr>
            <w:r w:rsidRPr="00515D1A">
              <w:rPr>
                <w:lang w:val="en-AU"/>
              </w:rPr>
              <w:t>4</w:t>
            </w:r>
          </w:p>
        </w:tc>
        <w:tc>
          <w:tcPr>
            <w:tcW w:w="371" w:type="dxa"/>
          </w:tcPr>
          <w:p w14:paraId="1742094E" w14:textId="77777777" w:rsidR="00945034" w:rsidRPr="00515D1A" w:rsidRDefault="00945034" w:rsidP="00244860">
            <w:pPr>
              <w:pStyle w:val="Tablecondensedheading"/>
              <w:rPr>
                <w:lang w:val="en-AU"/>
              </w:rPr>
            </w:pPr>
            <w:r w:rsidRPr="00515D1A">
              <w:rPr>
                <w:lang w:val="en-AU"/>
              </w:rPr>
              <w:t>5</w:t>
            </w:r>
          </w:p>
        </w:tc>
        <w:tc>
          <w:tcPr>
            <w:tcW w:w="371" w:type="dxa"/>
          </w:tcPr>
          <w:p w14:paraId="5B6BA969" w14:textId="77777777" w:rsidR="00945034" w:rsidRPr="00515D1A" w:rsidRDefault="00945034" w:rsidP="00244860">
            <w:pPr>
              <w:pStyle w:val="Tablecondensedheading"/>
              <w:rPr>
                <w:lang w:val="en-AU"/>
              </w:rPr>
            </w:pPr>
            <w:r w:rsidRPr="00515D1A">
              <w:rPr>
                <w:lang w:val="en-AU"/>
              </w:rPr>
              <w:t>6</w:t>
            </w:r>
          </w:p>
        </w:tc>
        <w:tc>
          <w:tcPr>
            <w:tcW w:w="436" w:type="dxa"/>
          </w:tcPr>
          <w:p w14:paraId="4C4F0433" w14:textId="77777777" w:rsidR="00945034" w:rsidRPr="00515D1A" w:rsidRDefault="00945034" w:rsidP="00244860">
            <w:pPr>
              <w:pStyle w:val="Tablecondensedheading"/>
              <w:rPr>
                <w:lang w:val="en-AU"/>
              </w:rPr>
            </w:pPr>
            <w:r w:rsidRPr="00515D1A">
              <w:rPr>
                <w:lang w:val="en-AU"/>
              </w:rPr>
              <w:t>7</w:t>
            </w:r>
          </w:p>
        </w:tc>
        <w:tc>
          <w:tcPr>
            <w:tcW w:w="436" w:type="dxa"/>
          </w:tcPr>
          <w:p w14:paraId="0E60F751" w14:textId="77777777" w:rsidR="00945034" w:rsidRPr="00515D1A" w:rsidRDefault="00945034" w:rsidP="00244860">
            <w:pPr>
              <w:pStyle w:val="Tablecondensedheading"/>
              <w:rPr>
                <w:lang w:val="en-AU"/>
              </w:rPr>
            </w:pPr>
            <w:r w:rsidRPr="00515D1A">
              <w:rPr>
                <w:lang w:val="en-AU"/>
              </w:rPr>
              <w:t>8</w:t>
            </w:r>
          </w:p>
        </w:tc>
        <w:tc>
          <w:tcPr>
            <w:tcW w:w="436" w:type="dxa"/>
          </w:tcPr>
          <w:p w14:paraId="38FC8949" w14:textId="77777777" w:rsidR="00945034" w:rsidRPr="00515D1A" w:rsidRDefault="00945034" w:rsidP="00244860">
            <w:pPr>
              <w:pStyle w:val="Tablecondensedheading"/>
              <w:rPr>
                <w:lang w:val="en-AU"/>
              </w:rPr>
            </w:pPr>
            <w:r w:rsidRPr="00515D1A">
              <w:rPr>
                <w:lang w:val="en-AU"/>
              </w:rPr>
              <w:t>9</w:t>
            </w:r>
          </w:p>
        </w:tc>
        <w:tc>
          <w:tcPr>
            <w:tcW w:w="441" w:type="dxa"/>
          </w:tcPr>
          <w:p w14:paraId="4B2B8B76" w14:textId="77777777" w:rsidR="00945034" w:rsidRPr="00515D1A" w:rsidRDefault="00945034" w:rsidP="00244860">
            <w:pPr>
              <w:pStyle w:val="Tablecondensedheading"/>
              <w:rPr>
                <w:lang w:val="en-AU"/>
              </w:rPr>
            </w:pPr>
            <w:r w:rsidRPr="00515D1A">
              <w:rPr>
                <w:lang w:val="en-AU"/>
              </w:rPr>
              <w:t>10</w:t>
            </w:r>
          </w:p>
        </w:tc>
        <w:tc>
          <w:tcPr>
            <w:tcW w:w="441" w:type="dxa"/>
          </w:tcPr>
          <w:p w14:paraId="609214D1" w14:textId="77777777" w:rsidR="00945034" w:rsidRPr="00515D1A" w:rsidRDefault="00945034" w:rsidP="00244860">
            <w:pPr>
              <w:pStyle w:val="Tablecondensedheading"/>
              <w:rPr>
                <w:lang w:val="en-AU"/>
              </w:rPr>
            </w:pPr>
            <w:r w:rsidRPr="00515D1A">
              <w:rPr>
                <w:lang w:val="en-AU"/>
              </w:rPr>
              <w:t>11</w:t>
            </w:r>
          </w:p>
        </w:tc>
        <w:tc>
          <w:tcPr>
            <w:tcW w:w="441" w:type="dxa"/>
          </w:tcPr>
          <w:p w14:paraId="5F3585CB" w14:textId="77777777" w:rsidR="00945034" w:rsidRPr="00515D1A" w:rsidRDefault="00945034" w:rsidP="00244860">
            <w:pPr>
              <w:pStyle w:val="Tablecondensedheading"/>
              <w:rPr>
                <w:lang w:val="en-AU"/>
              </w:rPr>
            </w:pPr>
            <w:r w:rsidRPr="00515D1A">
              <w:rPr>
                <w:lang w:val="en-AU"/>
              </w:rPr>
              <w:t>12</w:t>
            </w:r>
          </w:p>
        </w:tc>
        <w:tc>
          <w:tcPr>
            <w:tcW w:w="441" w:type="dxa"/>
          </w:tcPr>
          <w:p w14:paraId="235A9DDB" w14:textId="77777777" w:rsidR="00945034" w:rsidRPr="00515D1A" w:rsidRDefault="00945034" w:rsidP="00244860">
            <w:pPr>
              <w:pStyle w:val="Tablecondensedheading"/>
              <w:rPr>
                <w:lang w:val="en-AU"/>
              </w:rPr>
            </w:pPr>
            <w:r w:rsidRPr="00515D1A">
              <w:rPr>
                <w:lang w:val="en-AU"/>
              </w:rPr>
              <w:t>13</w:t>
            </w:r>
          </w:p>
        </w:tc>
        <w:tc>
          <w:tcPr>
            <w:tcW w:w="441" w:type="dxa"/>
          </w:tcPr>
          <w:p w14:paraId="66669D9E" w14:textId="77777777" w:rsidR="00945034" w:rsidRPr="00515D1A" w:rsidRDefault="00945034" w:rsidP="00244860">
            <w:pPr>
              <w:pStyle w:val="Tablecondensedheading"/>
              <w:rPr>
                <w:lang w:val="en-AU"/>
              </w:rPr>
            </w:pPr>
            <w:r w:rsidRPr="00515D1A">
              <w:rPr>
                <w:lang w:val="en-AU"/>
              </w:rPr>
              <w:t>14</w:t>
            </w:r>
          </w:p>
        </w:tc>
        <w:tc>
          <w:tcPr>
            <w:tcW w:w="559" w:type="dxa"/>
          </w:tcPr>
          <w:p w14:paraId="09B9A60C" w14:textId="77777777" w:rsidR="00945034" w:rsidRPr="00515D1A" w:rsidRDefault="00945034" w:rsidP="00244860">
            <w:pPr>
              <w:pStyle w:val="Tablecondensedheading"/>
              <w:rPr>
                <w:lang w:val="en-AU"/>
              </w:rPr>
            </w:pPr>
            <w:r w:rsidRPr="00515D1A">
              <w:rPr>
                <w:lang w:val="en-AU"/>
              </w:rPr>
              <w:t>15</w:t>
            </w:r>
          </w:p>
        </w:tc>
        <w:tc>
          <w:tcPr>
            <w:tcW w:w="1134" w:type="dxa"/>
          </w:tcPr>
          <w:p w14:paraId="3223C033" w14:textId="77777777" w:rsidR="00945034" w:rsidRPr="00515D1A" w:rsidRDefault="00945034" w:rsidP="00244860">
            <w:pPr>
              <w:pStyle w:val="Tablecondensedheading"/>
              <w:rPr>
                <w:lang w:val="en-AU"/>
              </w:rPr>
            </w:pPr>
            <w:r w:rsidRPr="00515D1A">
              <w:rPr>
                <w:lang w:val="en-AU"/>
              </w:rPr>
              <w:t>Average</w:t>
            </w:r>
          </w:p>
        </w:tc>
      </w:tr>
      <w:tr w:rsidR="00945034" w:rsidRPr="00515D1A" w14:paraId="225DCE28" w14:textId="77777777" w:rsidTr="00DF66BA">
        <w:trPr>
          <w:trHeight w:hRule="exact" w:val="386"/>
        </w:trPr>
        <w:tc>
          <w:tcPr>
            <w:tcW w:w="747" w:type="dxa"/>
          </w:tcPr>
          <w:p w14:paraId="7D82DFCB" w14:textId="77777777" w:rsidR="00945034" w:rsidRPr="00515D1A" w:rsidRDefault="00945034" w:rsidP="00244860">
            <w:pPr>
              <w:pStyle w:val="Tablecondensed"/>
              <w:rPr>
                <w:lang w:val="en-AU"/>
              </w:rPr>
            </w:pPr>
            <w:r w:rsidRPr="00515D1A">
              <w:rPr>
                <w:lang w:val="en-AU"/>
              </w:rPr>
              <w:t>%</w:t>
            </w:r>
          </w:p>
        </w:tc>
        <w:tc>
          <w:tcPr>
            <w:tcW w:w="472" w:type="dxa"/>
          </w:tcPr>
          <w:p w14:paraId="20D06BE1" w14:textId="460C0035" w:rsidR="00945034" w:rsidRPr="00515D1A" w:rsidRDefault="005A0FA8" w:rsidP="00244860">
            <w:pPr>
              <w:pStyle w:val="Tablecondensed"/>
              <w:rPr>
                <w:rFonts w:eastAsia="Arial Unicode MS"/>
                <w:lang w:val="en-AU"/>
              </w:rPr>
            </w:pPr>
            <w:r>
              <w:rPr>
                <w:rFonts w:eastAsia="Arial Unicode MS"/>
                <w:lang w:val="en-AU"/>
              </w:rPr>
              <w:t>0.7</w:t>
            </w:r>
          </w:p>
        </w:tc>
        <w:tc>
          <w:tcPr>
            <w:tcW w:w="471" w:type="dxa"/>
          </w:tcPr>
          <w:p w14:paraId="76C75766" w14:textId="757A694D" w:rsidR="00945034" w:rsidRPr="00515D1A" w:rsidRDefault="005A0FA8" w:rsidP="00244860">
            <w:pPr>
              <w:pStyle w:val="Tablecondensed"/>
              <w:rPr>
                <w:rFonts w:eastAsia="Arial Unicode MS"/>
                <w:lang w:val="en-AU"/>
              </w:rPr>
            </w:pPr>
            <w:r>
              <w:rPr>
                <w:rFonts w:eastAsia="Arial Unicode MS"/>
                <w:lang w:val="en-AU"/>
              </w:rPr>
              <w:t>0.1</w:t>
            </w:r>
          </w:p>
        </w:tc>
        <w:tc>
          <w:tcPr>
            <w:tcW w:w="471" w:type="dxa"/>
          </w:tcPr>
          <w:p w14:paraId="5870DAE4" w14:textId="5A5AEBF2" w:rsidR="00945034" w:rsidRPr="00515D1A" w:rsidRDefault="005A0FA8" w:rsidP="00244860">
            <w:pPr>
              <w:pStyle w:val="Tablecondensed"/>
              <w:rPr>
                <w:rFonts w:eastAsia="Arial Unicode MS"/>
                <w:lang w:val="en-AU"/>
              </w:rPr>
            </w:pPr>
            <w:r>
              <w:rPr>
                <w:rFonts w:eastAsia="Arial Unicode MS"/>
                <w:lang w:val="en-AU"/>
              </w:rPr>
              <w:t>0.3</w:t>
            </w:r>
          </w:p>
        </w:tc>
        <w:tc>
          <w:tcPr>
            <w:tcW w:w="447" w:type="dxa"/>
          </w:tcPr>
          <w:p w14:paraId="7C8A39F6" w14:textId="3B8C23E7" w:rsidR="00945034" w:rsidRPr="00515D1A" w:rsidRDefault="005A0FA8" w:rsidP="00244860">
            <w:pPr>
              <w:pStyle w:val="Tablecondensed"/>
              <w:rPr>
                <w:rFonts w:eastAsia="Arial Unicode MS"/>
                <w:lang w:val="en-AU"/>
              </w:rPr>
            </w:pPr>
            <w:r>
              <w:rPr>
                <w:rFonts w:eastAsia="Arial Unicode MS"/>
                <w:lang w:val="en-AU"/>
              </w:rPr>
              <w:t>0.4</w:t>
            </w:r>
          </w:p>
        </w:tc>
        <w:tc>
          <w:tcPr>
            <w:tcW w:w="370" w:type="dxa"/>
          </w:tcPr>
          <w:p w14:paraId="5DDE8A1A" w14:textId="531167E7" w:rsidR="00945034" w:rsidRPr="00515D1A" w:rsidRDefault="005A0FA8" w:rsidP="00244860">
            <w:pPr>
              <w:pStyle w:val="Tablecondensed"/>
              <w:rPr>
                <w:rFonts w:eastAsia="Arial Unicode MS"/>
                <w:lang w:val="en-AU"/>
              </w:rPr>
            </w:pPr>
            <w:r>
              <w:rPr>
                <w:rFonts w:eastAsia="Arial Unicode MS"/>
                <w:lang w:val="en-AU"/>
              </w:rPr>
              <w:t>1</w:t>
            </w:r>
          </w:p>
        </w:tc>
        <w:tc>
          <w:tcPr>
            <w:tcW w:w="371" w:type="dxa"/>
          </w:tcPr>
          <w:p w14:paraId="3D64EB7A" w14:textId="15CA906A" w:rsidR="00945034" w:rsidRPr="00515D1A" w:rsidRDefault="00E008C8" w:rsidP="00244860">
            <w:pPr>
              <w:pStyle w:val="Tablecondensed"/>
              <w:rPr>
                <w:rFonts w:eastAsia="Arial Unicode MS"/>
                <w:lang w:val="en-AU"/>
              </w:rPr>
            </w:pPr>
            <w:r>
              <w:rPr>
                <w:rFonts w:eastAsia="Arial Unicode MS"/>
                <w:lang w:val="en-AU"/>
              </w:rPr>
              <w:t>3</w:t>
            </w:r>
          </w:p>
        </w:tc>
        <w:tc>
          <w:tcPr>
            <w:tcW w:w="371" w:type="dxa"/>
          </w:tcPr>
          <w:p w14:paraId="63AA6D9A" w14:textId="338E2784" w:rsidR="00945034" w:rsidRPr="00515D1A" w:rsidRDefault="005A0FA8" w:rsidP="00244860">
            <w:pPr>
              <w:pStyle w:val="Tablecondensed"/>
              <w:rPr>
                <w:rFonts w:eastAsia="Arial Unicode MS"/>
                <w:lang w:val="en-AU"/>
              </w:rPr>
            </w:pPr>
            <w:r>
              <w:rPr>
                <w:rFonts w:eastAsia="Arial Unicode MS"/>
                <w:lang w:val="en-AU"/>
              </w:rPr>
              <w:t>7</w:t>
            </w:r>
          </w:p>
        </w:tc>
        <w:tc>
          <w:tcPr>
            <w:tcW w:w="436" w:type="dxa"/>
          </w:tcPr>
          <w:p w14:paraId="1C3B9553" w14:textId="5B749F2E" w:rsidR="00945034" w:rsidRPr="00515D1A" w:rsidRDefault="005A0FA8" w:rsidP="00244860">
            <w:pPr>
              <w:pStyle w:val="Tablecondensed"/>
              <w:rPr>
                <w:rFonts w:eastAsia="Arial Unicode MS"/>
                <w:lang w:val="en-AU"/>
              </w:rPr>
            </w:pPr>
            <w:r>
              <w:rPr>
                <w:rFonts w:eastAsia="Arial Unicode MS"/>
                <w:lang w:val="en-AU"/>
              </w:rPr>
              <w:t>14</w:t>
            </w:r>
          </w:p>
        </w:tc>
        <w:tc>
          <w:tcPr>
            <w:tcW w:w="436" w:type="dxa"/>
          </w:tcPr>
          <w:p w14:paraId="34DC459A" w14:textId="2D3F2ECE" w:rsidR="00945034" w:rsidRPr="00515D1A" w:rsidRDefault="005A0FA8" w:rsidP="00244860">
            <w:pPr>
              <w:pStyle w:val="Tablecondensed"/>
              <w:rPr>
                <w:rFonts w:eastAsia="Arial Unicode MS"/>
                <w:lang w:val="en-AU"/>
              </w:rPr>
            </w:pPr>
            <w:r>
              <w:rPr>
                <w:rFonts w:eastAsia="Arial Unicode MS"/>
                <w:lang w:val="en-AU"/>
              </w:rPr>
              <w:t>22</w:t>
            </w:r>
          </w:p>
        </w:tc>
        <w:tc>
          <w:tcPr>
            <w:tcW w:w="436" w:type="dxa"/>
          </w:tcPr>
          <w:p w14:paraId="0167047C" w14:textId="739963A6" w:rsidR="00945034" w:rsidRPr="00515D1A" w:rsidRDefault="005A0FA8" w:rsidP="00244860">
            <w:pPr>
              <w:pStyle w:val="Tablecondensed"/>
              <w:rPr>
                <w:rFonts w:eastAsia="Arial Unicode MS"/>
                <w:lang w:val="en-AU"/>
              </w:rPr>
            </w:pPr>
            <w:r>
              <w:rPr>
                <w:rFonts w:eastAsia="Arial Unicode MS"/>
                <w:lang w:val="en-AU"/>
              </w:rPr>
              <w:t>20</w:t>
            </w:r>
          </w:p>
        </w:tc>
        <w:tc>
          <w:tcPr>
            <w:tcW w:w="441" w:type="dxa"/>
          </w:tcPr>
          <w:p w14:paraId="6823ACDC" w14:textId="731EC533" w:rsidR="00945034" w:rsidRPr="00515D1A" w:rsidRDefault="005A0FA8" w:rsidP="00244860">
            <w:pPr>
              <w:pStyle w:val="Tablecondensed"/>
              <w:rPr>
                <w:rFonts w:eastAsia="Arial Unicode MS"/>
                <w:lang w:val="en-AU"/>
              </w:rPr>
            </w:pPr>
            <w:r>
              <w:rPr>
                <w:rFonts w:eastAsia="Arial Unicode MS"/>
                <w:lang w:val="en-AU"/>
              </w:rPr>
              <w:t>15</w:t>
            </w:r>
          </w:p>
        </w:tc>
        <w:tc>
          <w:tcPr>
            <w:tcW w:w="441" w:type="dxa"/>
          </w:tcPr>
          <w:p w14:paraId="3BAB6D62" w14:textId="7E802085" w:rsidR="00945034" w:rsidRPr="00515D1A" w:rsidRDefault="005A0FA8" w:rsidP="00244860">
            <w:pPr>
              <w:pStyle w:val="Tablecondensed"/>
              <w:rPr>
                <w:rFonts w:eastAsia="Arial Unicode MS"/>
                <w:lang w:val="en-AU"/>
              </w:rPr>
            </w:pPr>
            <w:r>
              <w:rPr>
                <w:rFonts w:eastAsia="Arial Unicode MS"/>
                <w:lang w:val="en-AU"/>
              </w:rPr>
              <w:t>8</w:t>
            </w:r>
          </w:p>
        </w:tc>
        <w:tc>
          <w:tcPr>
            <w:tcW w:w="441" w:type="dxa"/>
          </w:tcPr>
          <w:p w14:paraId="3A901867" w14:textId="71E9C836" w:rsidR="00945034" w:rsidRPr="00515D1A" w:rsidRDefault="00D05405" w:rsidP="00244860">
            <w:pPr>
              <w:pStyle w:val="Tablecondensed"/>
              <w:rPr>
                <w:rFonts w:eastAsia="Arial Unicode MS"/>
                <w:lang w:val="en-AU"/>
              </w:rPr>
            </w:pPr>
            <w:r>
              <w:rPr>
                <w:rFonts w:eastAsia="Arial Unicode MS"/>
                <w:lang w:val="en-AU"/>
              </w:rPr>
              <w:t>5</w:t>
            </w:r>
          </w:p>
        </w:tc>
        <w:tc>
          <w:tcPr>
            <w:tcW w:w="441" w:type="dxa"/>
          </w:tcPr>
          <w:p w14:paraId="4504EC0D" w14:textId="500EDFBB" w:rsidR="00945034" w:rsidRPr="00515D1A" w:rsidRDefault="00D05405" w:rsidP="00244860">
            <w:pPr>
              <w:pStyle w:val="Tablecondensed"/>
              <w:rPr>
                <w:rFonts w:eastAsia="Arial Unicode MS"/>
                <w:lang w:val="en-AU"/>
              </w:rPr>
            </w:pPr>
            <w:r>
              <w:rPr>
                <w:rFonts w:eastAsia="Arial Unicode MS"/>
                <w:lang w:val="en-AU"/>
              </w:rPr>
              <w:t>2</w:t>
            </w:r>
          </w:p>
        </w:tc>
        <w:tc>
          <w:tcPr>
            <w:tcW w:w="441" w:type="dxa"/>
          </w:tcPr>
          <w:p w14:paraId="68E0973F" w14:textId="77FD3B5D" w:rsidR="00945034" w:rsidRPr="00515D1A" w:rsidRDefault="005A0FA8" w:rsidP="00244860">
            <w:pPr>
              <w:pStyle w:val="Tablecondensed"/>
              <w:rPr>
                <w:rFonts w:eastAsia="Arial Unicode MS"/>
                <w:lang w:val="en-AU"/>
              </w:rPr>
            </w:pPr>
            <w:r>
              <w:rPr>
                <w:rFonts w:eastAsia="Arial Unicode MS"/>
                <w:lang w:val="en-AU"/>
              </w:rPr>
              <w:t>1</w:t>
            </w:r>
          </w:p>
        </w:tc>
        <w:tc>
          <w:tcPr>
            <w:tcW w:w="559" w:type="dxa"/>
          </w:tcPr>
          <w:p w14:paraId="0B1734A4" w14:textId="102A76A3" w:rsidR="00945034" w:rsidRPr="00515D1A" w:rsidRDefault="005A0FA8" w:rsidP="00244860">
            <w:pPr>
              <w:pStyle w:val="Tablecondensed"/>
              <w:rPr>
                <w:rFonts w:eastAsia="Arial Unicode MS"/>
                <w:lang w:val="en-AU"/>
              </w:rPr>
            </w:pPr>
            <w:r>
              <w:rPr>
                <w:rFonts w:eastAsia="Arial Unicode MS"/>
                <w:lang w:val="en-AU"/>
              </w:rPr>
              <w:t>0.4</w:t>
            </w:r>
          </w:p>
        </w:tc>
        <w:tc>
          <w:tcPr>
            <w:tcW w:w="1134" w:type="dxa"/>
          </w:tcPr>
          <w:p w14:paraId="144B2882" w14:textId="66612B83" w:rsidR="00945034" w:rsidRPr="00515D1A" w:rsidRDefault="005A0FA8" w:rsidP="00244860">
            <w:pPr>
              <w:pStyle w:val="Tablecondensed"/>
              <w:rPr>
                <w:bCs/>
                <w:lang w:val="en-AU"/>
              </w:rPr>
            </w:pPr>
            <w:r>
              <w:rPr>
                <w:bCs/>
                <w:lang w:val="en-AU"/>
              </w:rPr>
              <w:t>8.</w:t>
            </w:r>
            <w:r w:rsidR="004C755C">
              <w:rPr>
                <w:bCs/>
                <w:lang w:val="en-AU"/>
              </w:rPr>
              <w:t>7</w:t>
            </w:r>
          </w:p>
        </w:tc>
      </w:tr>
    </w:tbl>
    <w:p w14:paraId="03BAA096" w14:textId="77777777" w:rsidR="00945034" w:rsidRPr="00515D1A" w:rsidRDefault="00945034" w:rsidP="000C7ACC">
      <w:pPr>
        <w:pStyle w:val="BodyText"/>
      </w:pPr>
    </w:p>
    <w:tbl>
      <w:tblPr>
        <w:tblStyle w:val="VCAATableClosed"/>
        <w:tblW w:w="0" w:type="auto"/>
        <w:tblLook w:val="01E0" w:firstRow="1" w:lastRow="1" w:firstColumn="1" w:lastColumn="1" w:noHBand="0" w:noVBand="0"/>
      </w:tblPr>
      <w:tblGrid>
        <w:gridCol w:w="927"/>
        <w:gridCol w:w="567"/>
        <w:gridCol w:w="567"/>
        <w:gridCol w:w="567"/>
        <w:gridCol w:w="567"/>
      </w:tblGrid>
      <w:tr w:rsidR="00945034" w:rsidRPr="00515D1A" w14:paraId="0B2C231B" w14:textId="77777777" w:rsidTr="00074015">
        <w:trPr>
          <w:cnfStyle w:val="100000000000" w:firstRow="1" w:lastRow="0" w:firstColumn="0" w:lastColumn="0" w:oddVBand="0" w:evenVBand="0" w:oddHBand="0" w:evenHBand="0" w:firstRowFirstColumn="0" w:firstRowLastColumn="0" w:lastRowFirstColumn="0" w:lastRowLastColumn="0"/>
          <w:trHeight w:hRule="exact" w:val="397"/>
        </w:trPr>
        <w:tc>
          <w:tcPr>
            <w:tcW w:w="846" w:type="dxa"/>
          </w:tcPr>
          <w:p w14:paraId="29AF5BFB" w14:textId="77777777" w:rsidR="00945034" w:rsidRPr="00515D1A" w:rsidRDefault="00945034" w:rsidP="00244860">
            <w:pPr>
              <w:pStyle w:val="Tablecondensedheading"/>
              <w:rPr>
                <w:lang w:val="en-AU"/>
              </w:rPr>
            </w:pPr>
            <w:r w:rsidRPr="00515D1A">
              <w:rPr>
                <w:lang w:val="en-AU"/>
              </w:rPr>
              <w:t>Question</w:t>
            </w:r>
          </w:p>
        </w:tc>
        <w:tc>
          <w:tcPr>
            <w:tcW w:w="567" w:type="dxa"/>
          </w:tcPr>
          <w:p w14:paraId="47687C95" w14:textId="77777777" w:rsidR="00945034" w:rsidRPr="00515D1A" w:rsidRDefault="00945034" w:rsidP="00244860">
            <w:pPr>
              <w:pStyle w:val="Tablecondensedheading"/>
              <w:rPr>
                <w:lang w:val="en-AU"/>
              </w:rPr>
            </w:pPr>
            <w:r w:rsidRPr="00515D1A">
              <w:rPr>
                <w:lang w:val="en-AU"/>
              </w:rPr>
              <w:t>0</w:t>
            </w:r>
          </w:p>
        </w:tc>
        <w:tc>
          <w:tcPr>
            <w:tcW w:w="567" w:type="dxa"/>
          </w:tcPr>
          <w:p w14:paraId="0E803626" w14:textId="38CF388D" w:rsidR="00945034" w:rsidRPr="00515D1A" w:rsidRDefault="005A6CF8" w:rsidP="00244860">
            <w:pPr>
              <w:pStyle w:val="Tablecondensedheading"/>
              <w:rPr>
                <w:lang w:val="en-AU"/>
              </w:rPr>
            </w:pPr>
            <w:r>
              <w:rPr>
                <w:lang w:val="en-AU"/>
              </w:rPr>
              <w:t>6</w:t>
            </w:r>
          </w:p>
        </w:tc>
        <w:tc>
          <w:tcPr>
            <w:tcW w:w="567" w:type="dxa"/>
          </w:tcPr>
          <w:p w14:paraId="67AA175C" w14:textId="00B94BA6" w:rsidR="00945034" w:rsidRPr="00515D1A" w:rsidRDefault="005A6CF8" w:rsidP="00244860">
            <w:pPr>
              <w:pStyle w:val="Tablecondensedheading"/>
              <w:rPr>
                <w:lang w:val="en-AU"/>
              </w:rPr>
            </w:pPr>
            <w:r>
              <w:rPr>
                <w:lang w:val="en-AU"/>
              </w:rPr>
              <w:t>7</w:t>
            </w:r>
          </w:p>
        </w:tc>
        <w:tc>
          <w:tcPr>
            <w:tcW w:w="567" w:type="dxa"/>
          </w:tcPr>
          <w:p w14:paraId="034F102C" w14:textId="5F97CB49" w:rsidR="00945034" w:rsidRPr="00515D1A" w:rsidRDefault="005A6CF8" w:rsidP="00244860">
            <w:pPr>
              <w:pStyle w:val="Tablecondensedheading"/>
              <w:rPr>
                <w:lang w:val="en-AU"/>
              </w:rPr>
            </w:pPr>
            <w:r>
              <w:rPr>
                <w:lang w:val="en-AU"/>
              </w:rPr>
              <w:t>8</w:t>
            </w:r>
          </w:p>
        </w:tc>
      </w:tr>
      <w:tr w:rsidR="00945034" w:rsidRPr="00515D1A" w14:paraId="10D5BF50" w14:textId="77777777" w:rsidTr="00074015">
        <w:trPr>
          <w:trHeight w:hRule="exact" w:val="397"/>
        </w:trPr>
        <w:tc>
          <w:tcPr>
            <w:tcW w:w="846" w:type="dxa"/>
          </w:tcPr>
          <w:p w14:paraId="374B825A" w14:textId="77777777" w:rsidR="00945034" w:rsidRPr="00515D1A" w:rsidRDefault="00945034" w:rsidP="00244860">
            <w:pPr>
              <w:pStyle w:val="Tablecondensed"/>
              <w:rPr>
                <w:lang w:val="en-AU"/>
              </w:rPr>
            </w:pPr>
            <w:r w:rsidRPr="00515D1A">
              <w:rPr>
                <w:lang w:val="en-AU"/>
              </w:rPr>
              <w:t>%</w:t>
            </w:r>
          </w:p>
        </w:tc>
        <w:tc>
          <w:tcPr>
            <w:tcW w:w="567" w:type="dxa"/>
          </w:tcPr>
          <w:p w14:paraId="66D4825D" w14:textId="2C091F53" w:rsidR="00945034" w:rsidRPr="00515D1A" w:rsidRDefault="005A0FA8" w:rsidP="00244860">
            <w:pPr>
              <w:pStyle w:val="Tablecondensed"/>
              <w:rPr>
                <w:lang w:val="en-AU"/>
              </w:rPr>
            </w:pPr>
            <w:r>
              <w:rPr>
                <w:lang w:val="en-AU"/>
              </w:rPr>
              <w:t>0.5</w:t>
            </w:r>
          </w:p>
        </w:tc>
        <w:tc>
          <w:tcPr>
            <w:tcW w:w="567" w:type="dxa"/>
          </w:tcPr>
          <w:p w14:paraId="019A05E0" w14:textId="211182CE" w:rsidR="00945034" w:rsidRPr="00515D1A" w:rsidRDefault="005A0FA8" w:rsidP="00244860">
            <w:pPr>
              <w:pStyle w:val="Tablecondensed"/>
              <w:rPr>
                <w:lang w:val="en-AU"/>
              </w:rPr>
            </w:pPr>
            <w:r>
              <w:rPr>
                <w:lang w:val="en-AU"/>
              </w:rPr>
              <w:t>48</w:t>
            </w:r>
          </w:p>
        </w:tc>
        <w:tc>
          <w:tcPr>
            <w:tcW w:w="567" w:type="dxa"/>
          </w:tcPr>
          <w:p w14:paraId="0CE01EEC" w14:textId="6E5015AE" w:rsidR="00945034" w:rsidRPr="00515D1A" w:rsidRDefault="005A0FA8" w:rsidP="00244860">
            <w:pPr>
              <w:pStyle w:val="Tablecondensed"/>
              <w:rPr>
                <w:lang w:val="en-AU"/>
              </w:rPr>
            </w:pPr>
            <w:r>
              <w:rPr>
                <w:lang w:val="en-AU"/>
              </w:rPr>
              <w:t>26</w:t>
            </w:r>
          </w:p>
        </w:tc>
        <w:tc>
          <w:tcPr>
            <w:tcW w:w="567" w:type="dxa"/>
          </w:tcPr>
          <w:p w14:paraId="0D0EEE39" w14:textId="0947D806" w:rsidR="00945034" w:rsidRPr="00515D1A" w:rsidRDefault="005A0FA8" w:rsidP="00244860">
            <w:pPr>
              <w:pStyle w:val="Tablecondensed"/>
              <w:rPr>
                <w:lang w:val="en-AU"/>
              </w:rPr>
            </w:pPr>
            <w:r>
              <w:rPr>
                <w:lang w:val="en-AU"/>
              </w:rPr>
              <w:t>26</w:t>
            </w:r>
          </w:p>
        </w:tc>
      </w:tr>
    </w:tbl>
    <w:p w14:paraId="73191D8A" w14:textId="5D5EA143" w:rsidR="00945034" w:rsidRDefault="005A6CF8" w:rsidP="003F3169">
      <w:pPr>
        <w:pStyle w:val="BodyText"/>
      </w:pPr>
      <w:r>
        <w:t>S</w:t>
      </w:r>
      <w:r w:rsidR="00945034" w:rsidRPr="00515D1A">
        <w:t>tudents were required to select one question and craft a sustained expository response, demonstrating their familiarity with the topics covered in Units 3 and 4 alongside their ability to use relevant, descriptive and appropriate metalanguage. Also required was reference to the stimulus provided.</w:t>
      </w:r>
    </w:p>
    <w:p w14:paraId="484F312E" w14:textId="12FF19D8" w:rsidR="006A00E6" w:rsidRDefault="006A00E6" w:rsidP="003F3169">
      <w:pPr>
        <w:pStyle w:val="BodyText"/>
      </w:pPr>
      <w:r>
        <w:t xml:space="preserve">Across all three questions, </w:t>
      </w:r>
      <w:r w:rsidR="00054F67">
        <w:t>responses</w:t>
      </w:r>
      <w:r>
        <w:t xml:space="preserve"> included</w:t>
      </w:r>
      <w:r w:rsidRPr="006A00E6">
        <w:t xml:space="preserve"> a range of diverse contemporary examples to support the discussion. </w:t>
      </w:r>
      <w:r w:rsidR="005A6CF8">
        <w:t>Some</w:t>
      </w:r>
      <w:r w:rsidR="002440F3">
        <w:t xml:space="preserve"> </w:t>
      </w:r>
      <w:r w:rsidR="00714FE2">
        <w:t>responses</w:t>
      </w:r>
      <w:r w:rsidR="00EB59A2">
        <w:t>, however,</w:t>
      </w:r>
      <w:r w:rsidRPr="006A00E6">
        <w:t xml:space="preserve"> </w:t>
      </w:r>
      <w:r w:rsidR="002440F3">
        <w:t>include</w:t>
      </w:r>
      <w:r w:rsidR="005A6CF8">
        <w:t>d</w:t>
      </w:r>
      <w:r w:rsidR="002440F3">
        <w:t xml:space="preserve"> tokenistic </w:t>
      </w:r>
      <w:r w:rsidRPr="006A00E6">
        <w:t>quotations of linguists</w:t>
      </w:r>
      <w:r w:rsidR="00802B09">
        <w:t xml:space="preserve"> and other </w:t>
      </w:r>
      <w:r w:rsidR="004B3D60">
        <w:t>academics</w:t>
      </w:r>
      <w:r w:rsidR="005A6CF8">
        <w:t>,</w:t>
      </w:r>
      <w:r w:rsidRPr="006A00E6">
        <w:t xml:space="preserve"> often quoted out of context and </w:t>
      </w:r>
      <w:r w:rsidR="002E5BD8">
        <w:t>frequently</w:t>
      </w:r>
      <w:r w:rsidRPr="006A00E6">
        <w:t xml:space="preserve"> attributed incorrectly to a particular </w:t>
      </w:r>
      <w:r w:rsidR="004B3D60">
        <w:t>source</w:t>
      </w:r>
      <w:r w:rsidRPr="006A00E6">
        <w:t xml:space="preserve">. </w:t>
      </w:r>
      <w:r w:rsidR="00C73528">
        <w:t>T</w:t>
      </w:r>
      <w:r>
        <w:t>hese types of quotations</w:t>
      </w:r>
      <w:r w:rsidR="002A05AB">
        <w:t xml:space="preserve"> </w:t>
      </w:r>
      <w:r w:rsidRPr="002B5F2F">
        <w:t>add</w:t>
      </w:r>
      <w:r w:rsidR="002B5F2F">
        <w:t>ed</w:t>
      </w:r>
      <w:r w:rsidRPr="006A00E6">
        <w:t xml:space="preserve"> little to the quality of the </w:t>
      </w:r>
      <w:r w:rsidR="00FC68E0">
        <w:t xml:space="preserve">response </w:t>
      </w:r>
      <w:r w:rsidRPr="006A00E6">
        <w:t>and</w:t>
      </w:r>
      <w:r w:rsidR="005A6CF8">
        <w:t xml:space="preserve"> often</w:t>
      </w:r>
      <w:r w:rsidRPr="006A00E6">
        <w:t xml:space="preserve"> </w:t>
      </w:r>
      <w:r w:rsidR="00031840" w:rsidRPr="002B5F2F">
        <w:t>d</w:t>
      </w:r>
      <w:r w:rsidRPr="002B5F2F">
        <w:t>etract</w:t>
      </w:r>
      <w:r w:rsidR="002B5F2F">
        <w:t>ed</w:t>
      </w:r>
      <w:r w:rsidRPr="006A00E6">
        <w:t xml:space="preserve"> significantly from </w:t>
      </w:r>
      <w:r w:rsidR="00C73528">
        <w:t>it</w:t>
      </w:r>
      <w:r>
        <w:t xml:space="preserve">, particularly when they </w:t>
      </w:r>
      <w:r w:rsidR="009D424A">
        <w:t>we</w:t>
      </w:r>
      <w:r>
        <w:t xml:space="preserve">re misattributed or </w:t>
      </w:r>
      <w:r w:rsidR="00C543FB" w:rsidRPr="002B5F2F">
        <w:t>ha</w:t>
      </w:r>
      <w:r w:rsidR="002B5F2F">
        <w:t>d</w:t>
      </w:r>
      <w:r w:rsidR="00C543FB">
        <w:t xml:space="preserve"> </w:t>
      </w:r>
      <w:r>
        <w:t xml:space="preserve">no verifiable </w:t>
      </w:r>
      <w:r w:rsidR="006438AE">
        <w:t>origin</w:t>
      </w:r>
      <w:r w:rsidRPr="006A00E6">
        <w:t xml:space="preserve">. </w:t>
      </w:r>
      <w:r>
        <w:t xml:space="preserve">It is important to note that the inclusion of these types of quotations </w:t>
      </w:r>
      <w:r w:rsidR="008911A6">
        <w:t>is</w:t>
      </w:r>
      <w:r w:rsidRPr="006A00E6">
        <w:t xml:space="preserve"> no substitute for the close analysis of contemporary examples in relation to the topic. </w:t>
      </w:r>
      <w:r>
        <w:t>While</w:t>
      </w:r>
      <w:r w:rsidR="00BB6DBE">
        <w:t xml:space="preserve"> scholarly quotations are</w:t>
      </w:r>
      <w:r>
        <w:t xml:space="preserve"> not required in Section C, </w:t>
      </w:r>
      <w:r w:rsidR="005A6CF8">
        <w:t xml:space="preserve">students are advised to </w:t>
      </w:r>
      <w:r w:rsidR="005A6CF8" w:rsidRPr="006A00E6">
        <w:t>contextualise and use them in a more meaningful way</w:t>
      </w:r>
      <w:r w:rsidR="005A6CF8">
        <w:t xml:space="preserve"> </w:t>
      </w:r>
      <w:r>
        <w:t>i</w:t>
      </w:r>
      <w:r w:rsidRPr="006A00E6">
        <w:t xml:space="preserve">f </w:t>
      </w:r>
      <w:r w:rsidR="005A6CF8">
        <w:t>they</w:t>
      </w:r>
      <w:r w:rsidRPr="006A00E6">
        <w:t xml:space="preserve"> incorporate </w:t>
      </w:r>
      <w:r w:rsidR="00BB6DBE">
        <w:t>them</w:t>
      </w:r>
      <w:r w:rsidRPr="006A00E6">
        <w:t>.</w:t>
      </w:r>
    </w:p>
    <w:p w14:paraId="7E494097" w14:textId="7335E125" w:rsidR="0007302D" w:rsidRDefault="00A43BAD" w:rsidP="003F3169">
      <w:pPr>
        <w:pStyle w:val="BodyText"/>
      </w:pPr>
      <w:r>
        <w:t xml:space="preserve">There was </w:t>
      </w:r>
      <w:r w:rsidR="0007302D">
        <w:t xml:space="preserve">an increased reliance on pre-prepared contemporary examples, particularly for Question 6. </w:t>
      </w:r>
      <w:r w:rsidR="0007302D" w:rsidRPr="0007302D">
        <w:t xml:space="preserve">In many </w:t>
      </w:r>
      <w:r w:rsidR="005E6F51">
        <w:t>responses</w:t>
      </w:r>
      <w:r w:rsidR="005D4B61">
        <w:t>,</w:t>
      </w:r>
      <w:r w:rsidR="005E6F51" w:rsidRPr="0007302D">
        <w:t xml:space="preserve"> </w:t>
      </w:r>
      <w:r w:rsidR="0007302D" w:rsidRPr="0007302D">
        <w:t xml:space="preserve">these examples </w:t>
      </w:r>
      <w:r w:rsidR="005D4B61">
        <w:t>often sat</w:t>
      </w:r>
      <w:r w:rsidR="0007302D" w:rsidRPr="0007302D">
        <w:t xml:space="preserve"> awkwardly alongside </w:t>
      </w:r>
      <w:r w:rsidR="0007302D">
        <w:t xml:space="preserve">a point being made </w:t>
      </w:r>
      <w:r w:rsidR="0007302D" w:rsidRPr="0007302D">
        <w:t xml:space="preserve">rather than </w:t>
      </w:r>
      <w:r w:rsidR="00FF7A65">
        <w:t>deepening the discussion or demonstrating conceptual understanding</w:t>
      </w:r>
      <w:r w:rsidR="0007302D" w:rsidRPr="0007302D">
        <w:t>. Section C require</w:t>
      </w:r>
      <w:r w:rsidR="002B5F2F">
        <w:t>d</w:t>
      </w:r>
      <w:r w:rsidR="0007302D" w:rsidRPr="0007302D">
        <w:t xml:space="preserve"> students to select examples that illuminat</w:t>
      </w:r>
      <w:r w:rsidR="0007302D" w:rsidRPr="002B5F2F">
        <w:t>e</w:t>
      </w:r>
      <w:r w:rsidR="002B5F2F">
        <w:t>d</w:t>
      </w:r>
      <w:r w:rsidR="0007302D" w:rsidRPr="0007302D">
        <w:t xml:space="preserve"> the linguistic ideas raised </w:t>
      </w:r>
      <w:r w:rsidR="0007302D">
        <w:t>by the topic</w:t>
      </w:r>
      <w:r w:rsidR="0007302D" w:rsidRPr="0007302D">
        <w:t xml:space="preserve">, </w:t>
      </w:r>
      <w:r w:rsidR="00FF7A65">
        <w:t xml:space="preserve">so </w:t>
      </w:r>
      <w:r w:rsidR="0007302D" w:rsidRPr="0007302D">
        <w:t xml:space="preserve">memorised material </w:t>
      </w:r>
      <w:r w:rsidR="0007302D" w:rsidRPr="00F83857">
        <w:t>c</w:t>
      </w:r>
      <w:r w:rsidR="00F83857">
        <w:t>ould</w:t>
      </w:r>
      <w:r w:rsidR="0007302D" w:rsidRPr="0007302D">
        <w:t xml:space="preserve"> detract from the quality of the response </w:t>
      </w:r>
      <w:r w:rsidR="005E2A56">
        <w:t>as</w:t>
      </w:r>
      <w:r w:rsidR="0007302D" w:rsidRPr="0007302D">
        <w:t xml:space="preserve"> it </w:t>
      </w:r>
      <w:r w:rsidR="00E210E5">
        <w:t>wa</w:t>
      </w:r>
      <w:r w:rsidR="0007302D" w:rsidRPr="00E210E5">
        <w:t>s</w:t>
      </w:r>
      <w:r w:rsidR="0007302D" w:rsidRPr="0007302D">
        <w:t xml:space="preserve"> not adapted to</w:t>
      </w:r>
      <w:r w:rsidR="002A29EE">
        <w:t xml:space="preserve"> its specific focus</w:t>
      </w:r>
      <w:r w:rsidR="0007302D" w:rsidRPr="0007302D">
        <w:t xml:space="preserve">. </w:t>
      </w:r>
      <w:r w:rsidR="00FF7A65">
        <w:t>S</w:t>
      </w:r>
      <w:r w:rsidR="0046107C" w:rsidRPr="0046107C">
        <w:t>tudents are expected to provide authentic and relevant responses to the questions asked, rather than rely on pre-prepared responses</w:t>
      </w:r>
      <w:r w:rsidR="00E85F81">
        <w:t>.</w:t>
      </w:r>
    </w:p>
    <w:p w14:paraId="52CD70F9" w14:textId="5720DCAC" w:rsidR="006A00E6" w:rsidRPr="006A00E6" w:rsidRDefault="00997B1E" w:rsidP="003F3169">
      <w:pPr>
        <w:pStyle w:val="BodyText"/>
      </w:pPr>
      <w:r>
        <w:t>Higher</w:t>
      </w:r>
      <w:r w:rsidR="005A6CF8">
        <w:t>-</w:t>
      </w:r>
      <w:r>
        <w:t xml:space="preserve">scoring </w:t>
      </w:r>
      <w:r w:rsidR="005E6F51">
        <w:t xml:space="preserve">responses </w:t>
      </w:r>
      <w:r>
        <w:t>contained</w:t>
      </w:r>
      <w:r w:rsidR="006A00E6" w:rsidRPr="006A00E6">
        <w:t xml:space="preserve"> relevant and meaningful </w:t>
      </w:r>
      <w:r w:rsidR="00EE31A5">
        <w:t>answers</w:t>
      </w:r>
      <w:r w:rsidR="00EE31A5" w:rsidRPr="006A00E6">
        <w:t xml:space="preserve"> </w:t>
      </w:r>
      <w:r w:rsidR="006A00E6" w:rsidRPr="006A00E6">
        <w:t xml:space="preserve">to the chosen topic, </w:t>
      </w:r>
      <w:r>
        <w:t xml:space="preserve">with </w:t>
      </w:r>
      <w:r w:rsidR="006A00E6" w:rsidRPr="006A00E6">
        <w:t xml:space="preserve">well-analysed evidence </w:t>
      </w:r>
      <w:r>
        <w:t xml:space="preserve">from contemporary Australian society </w:t>
      </w:r>
      <w:r w:rsidR="006A00E6" w:rsidRPr="006A00E6">
        <w:t>to support the discussion</w:t>
      </w:r>
      <w:r w:rsidR="006A00E6">
        <w:t>.</w:t>
      </w:r>
      <w:r w:rsidR="00775B61">
        <w:t xml:space="preserve"> While there </w:t>
      </w:r>
      <w:r w:rsidR="00F83857">
        <w:t>wa</w:t>
      </w:r>
      <w:r w:rsidR="00775B61" w:rsidRPr="00F83857">
        <w:t>s</w:t>
      </w:r>
      <w:r w:rsidR="00775B61">
        <w:t xml:space="preserve"> no date range for contemporary examples, </w:t>
      </w:r>
      <w:r w:rsidR="000B0C73">
        <w:t>e</w:t>
      </w:r>
      <w:r w:rsidR="00E657E6" w:rsidRPr="00E657E6">
        <w:t>vidence</w:t>
      </w:r>
      <w:r w:rsidR="000B0C73">
        <w:t xml:space="preserve"> should be sourced</w:t>
      </w:r>
      <w:r w:rsidR="00E657E6" w:rsidRPr="00E657E6">
        <w:t xml:space="preserve"> that </w:t>
      </w:r>
      <w:r w:rsidR="00F83857">
        <w:t>wa</w:t>
      </w:r>
      <w:r w:rsidR="00E657E6" w:rsidRPr="00F83857">
        <w:t>s</w:t>
      </w:r>
      <w:r w:rsidR="00E657E6" w:rsidRPr="00E657E6">
        <w:t xml:space="preserve"> socially and culturally relevant at the time of writing.</w:t>
      </w:r>
      <w:r w:rsidR="00E657E6">
        <w:t xml:space="preserve"> </w:t>
      </w:r>
      <w:r w:rsidR="00E657E6" w:rsidRPr="00E657E6">
        <w:t>In some instances, this mean</w:t>
      </w:r>
      <w:r w:rsidR="00F83857">
        <w:t>t</w:t>
      </w:r>
      <w:r w:rsidR="00E657E6" w:rsidRPr="00E657E6">
        <w:t xml:space="preserve"> examples must be very recent </w:t>
      </w:r>
      <w:r w:rsidR="005E6F51">
        <w:t>such as</w:t>
      </w:r>
      <w:r w:rsidR="00E657E6" w:rsidRPr="00E657E6">
        <w:t xml:space="preserve"> political rhetoric</w:t>
      </w:r>
      <w:r w:rsidR="005E6F51">
        <w:t xml:space="preserve"> or</w:t>
      </w:r>
      <w:r w:rsidR="00E657E6" w:rsidRPr="00E657E6">
        <w:t xml:space="preserve"> current slang terms. At other times, evidence and examples </w:t>
      </w:r>
      <w:r w:rsidR="00E657E6" w:rsidRPr="00F83857">
        <w:t>c</w:t>
      </w:r>
      <w:r w:rsidR="00F83857">
        <w:t>ould</w:t>
      </w:r>
      <w:r w:rsidR="00E657E6" w:rsidRPr="00E657E6">
        <w:t xml:space="preserve"> be older </w:t>
      </w:r>
      <w:r w:rsidR="001B4114">
        <w:t>as usage ha</w:t>
      </w:r>
      <w:r w:rsidR="00F83857">
        <w:t>d</w:t>
      </w:r>
      <w:r w:rsidR="001B4114">
        <w:t xml:space="preserve"> not changed</w:t>
      </w:r>
      <w:r w:rsidR="007F55DD">
        <w:t xml:space="preserve"> or</w:t>
      </w:r>
      <w:r w:rsidR="001B4114">
        <w:t xml:space="preserve"> the example ha</w:t>
      </w:r>
      <w:r w:rsidR="00F83857">
        <w:t>d</w:t>
      </w:r>
      <w:r w:rsidR="001B4114">
        <w:t xml:space="preserve"> not been subsumed or replaced by </w:t>
      </w:r>
      <w:r w:rsidR="00127FB9">
        <w:t>other</w:t>
      </w:r>
      <w:r w:rsidR="007F55DD">
        <w:t>, more relevant</w:t>
      </w:r>
      <w:r w:rsidR="005E6F51">
        <w:t>,</w:t>
      </w:r>
      <w:r w:rsidR="007F55DD">
        <w:t xml:space="preserve"> example</w:t>
      </w:r>
      <w:r w:rsidR="00127FB9">
        <w:t>s</w:t>
      </w:r>
      <w:r w:rsidR="00E657E6" w:rsidRPr="00E657E6">
        <w:t xml:space="preserve">. </w:t>
      </w:r>
      <w:r w:rsidR="00924D1E">
        <w:t xml:space="preserve">When discussing contemporary evidence, </w:t>
      </w:r>
      <w:r w:rsidR="00B54D41">
        <w:t>t</w:t>
      </w:r>
      <w:r w:rsidR="00E657E6" w:rsidRPr="00E657E6">
        <w:t xml:space="preserve">he focus </w:t>
      </w:r>
      <w:r w:rsidR="00B54D41">
        <w:t>shou</w:t>
      </w:r>
      <w:r w:rsidR="00E657E6" w:rsidRPr="00E657E6">
        <w:t xml:space="preserve">ld be on how </w:t>
      </w:r>
      <w:r w:rsidR="00E657E6" w:rsidRPr="0051302C">
        <w:t xml:space="preserve">Australian Englishes </w:t>
      </w:r>
      <w:r w:rsidR="00E657E6" w:rsidRPr="00E657E6">
        <w:t>are used now and the accompanying attitudes towards those usages. For example, contemporary examples in 2025 cover</w:t>
      </w:r>
      <w:r w:rsidR="0085218D">
        <w:t>ed</w:t>
      </w:r>
      <w:r w:rsidR="00E657E6" w:rsidRPr="00E657E6">
        <w:t xml:space="preserve"> recent slang, debates about inclusive language, </w:t>
      </w:r>
      <w:r w:rsidR="00A333B6">
        <w:t xml:space="preserve">and </w:t>
      </w:r>
      <w:r w:rsidR="00E657E6" w:rsidRPr="00E657E6">
        <w:t>ongoing changes in technology-driven communication</w:t>
      </w:r>
      <w:r w:rsidR="000F7D36">
        <w:t>.</w:t>
      </w:r>
      <w:r w:rsidR="00E657E6" w:rsidRPr="00E657E6">
        <w:t xml:space="preserve"> </w:t>
      </w:r>
    </w:p>
    <w:p w14:paraId="33A8523C" w14:textId="27FBEAF6" w:rsidR="006A00E6" w:rsidRDefault="006A00E6" w:rsidP="003F3169">
      <w:pPr>
        <w:pStyle w:val="BodyText"/>
      </w:pPr>
      <w:r w:rsidRPr="006A00E6">
        <w:t xml:space="preserve">Some </w:t>
      </w:r>
      <w:r w:rsidR="005E6F51">
        <w:t>responses, while otherwise very well written,</w:t>
      </w:r>
      <w:r w:rsidR="005E6F51" w:rsidRPr="006A00E6">
        <w:t xml:space="preserve"> </w:t>
      </w:r>
      <w:r w:rsidRPr="006A00E6">
        <w:t xml:space="preserve">did not meet the requirement of including reference to the stimulus material (either explicit or implicit). Many </w:t>
      </w:r>
      <w:r w:rsidR="00500255">
        <w:t>responses</w:t>
      </w:r>
      <w:r w:rsidRPr="006A00E6">
        <w:t xml:space="preserve"> include</w:t>
      </w:r>
      <w:r w:rsidR="005E6F51">
        <w:t>d</w:t>
      </w:r>
      <w:r w:rsidRPr="006A00E6">
        <w:t xml:space="preserve"> the stimulus item in brackets</w:t>
      </w:r>
      <w:r w:rsidR="005E6F51">
        <w:t>, for example</w:t>
      </w:r>
      <w:r w:rsidR="00F83857">
        <w:t>,</w:t>
      </w:r>
      <w:r w:rsidRPr="006A00E6">
        <w:t xml:space="preserve"> </w:t>
      </w:r>
      <w:r w:rsidR="005E6F51">
        <w:t>‘</w:t>
      </w:r>
      <w:r w:rsidRPr="006A00E6">
        <w:t>(Stimulus A)</w:t>
      </w:r>
      <w:r w:rsidR="005E6F51">
        <w:t>’,</w:t>
      </w:r>
      <w:r w:rsidRPr="006A00E6">
        <w:t xml:space="preserve"> when </w:t>
      </w:r>
      <w:r w:rsidR="00500255">
        <w:t>making</w:t>
      </w:r>
      <w:r w:rsidRPr="006A00E6">
        <w:t xml:space="preserve"> a reference to it</w:t>
      </w:r>
      <w:r w:rsidR="00EE31A5">
        <w:t>,</w:t>
      </w:r>
      <w:r w:rsidRPr="006A00E6">
        <w:t xml:space="preserve"> and this can be useful for assessors to make the connection easily and consider how meaningfully </w:t>
      </w:r>
      <w:r w:rsidR="00835FFC">
        <w:t>the material has been used</w:t>
      </w:r>
      <w:r w:rsidRPr="006A00E6">
        <w:t>. This c</w:t>
      </w:r>
      <w:r w:rsidR="004172A1">
        <w:t>ould</w:t>
      </w:r>
      <w:r w:rsidRPr="006A00E6">
        <w:t xml:space="preserve"> even be done when reference to an item of the stimulus material </w:t>
      </w:r>
      <w:r w:rsidR="00F83857">
        <w:t>wa</w:t>
      </w:r>
      <w:r w:rsidRPr="00F83857">
        <w:t>s</w:t>
      </w:r>
      <w:r w:rsidRPr="006A00E6">
        <w:t xml:space="preserve"> implicit.</w:t>
      </w:r>
    </w:p>
    <w:p w14:paraId="5E3CBD74" w14:textId="51BEA73E" w:rsidR="00CE7FF6" w:rsidRPr="006A00E6" w:rsidRDefault="00CE7FF6" w:rsidP="003F3169">
      <w:pPr>
        <w:pStyle w:val="BodyText"/>
      </w:pPr>
      <w:r>
        <w:t xml:space="preserve">All key words should be carefully considered </w:t>
      </w:r>
      <w:r w:rsidRPr="006A00E6">
        <w:t xml:space="preserve">in both the topic’s proposition and </w:t>
      </w:r>
      <w:r>
        <w:t xml:space="preserve">in the </w:t>
      </w:r>
      <w:r w:rsidRPr="006A00E6">
        <w:t xml:space="preserve">question </w:t>
      </w:r>
      <w:r>
        <w:t>itself</w:t>
      </w:r>
      <w:r w:rsidRPr="006A00E6">
        <w:t xml:space="preserve"> before planning </w:t>
      </w:r>
      <w:r>
        <w:t>the</w:t>
      </w:r>
      <w:r w:rsidRPr="006A00E6">
        <w:t xml:space="preserve"> essay and composing an introduction. </w:t>
      </w:r>
      <w:r w:rsidR="001B45BA">
        <w:t>A</w:t>
      </w:r>
      <w:r w:rsidR="001B45BA" w:rsidRPr="006A00E6">
        <w:t xml:space="preserve"> significant feature of higher</w:t>
      </w:r>
      <w:r w:rsidR="001B45BA">
        <w:t>-</w:t>
      </w:r>
      <w:r w:rsidR="001B45BA" w:rsidRPr="006A00E6">
        <w:t xml:space="preserve">scoring </w:t>
      </w:r>
      <w:r w:rsidR="00853E30">
        <w:t xml:space="preserve">responses </w:t>
      </w:r>
      <w:r w:rsidR="001B45BA">
        <w:t>was e</w:t>
      </w:r>
      <w:r w:rsidR="00BB6DBE">
        <w:t>xploring all key words</w:t>
      </w:r>
      <w:r w:rsidR="001B45BA">
        <w:t>, which</w:t>
      </w:r>
      <w:r>
        <w:t xml:space="preserve"> allow</w:t>
      </w:r>
      <w:r w:rsidR="001B45BA">
        <w:t>ed</w:t>
      </w:r>
      <w:r>
        <w:t xml:space="preserve"> greater </w:t>
      </w:r>
      <w:r w:rsidRPr="006A00E6">
        <w:t>exploration of more complex ideas</w:t>
      </w:r>
      <w:r w:rsidR="001B45BA">
        <w:t>.</w:t>
      </w:r>
    </w:p>
    <w:p w14:paraId="5CC39812" w14:textId="77777777" w:rsidR="000C0D5B" w:rsidRPr="00D63201" w:rsidRDefault="000C0D5B" w:rsidP="00D63201">
      <w:pPr>
        <w:pStyle w:val="BodyText"/>
      </w:pPr>
      <w:r w:rsidRPr="00D63201">
        <w:br w:type="page"/>
      </w:r>
    </w:p>
    <w:p w14:paraId="4F876078" w14:textId="283D8FD5" w:rsidR="00945034" w:rsidRPr="00515D1A" w:rsidRDefault="00945034" w:rsidP="0088613A">
      <w:pPr>
        <w:pStyle w:val="Heading3"/>
      </w:pPr>
      <w:r w:rsidRPr="00515D1A">
        <w:lastRenderedPageBreak/>
        <w:t xml:space="preserve">Question </w:t>
      </w:r>
      <w:r>
        <w:t>6</w:t>
      </w:r>
    </w:p>
    <w:p w14:paraId="605EB4D5" w14:textId="034D4CAC" w:rsidR="006C4F15" w:rsidRDefault="003A7BCD" w:rsidP="003F3169">
      <w:pPr>
        <w:pStyle w:val="BodyText"/>
      </w:pPr>
      <w:r>
        <w:t xml:space="preserve">Question 6 was </w:t>
      </w:r>
      <w:r w:rsidR="00267393">
        <w:t xml:space="preserve">answered </w:t>
      </w:r>
      <w:r w:rsidRPr="003A7BCD">
        <w:t>well</w:t>
      </w:r>
      <w:r w:rsidR="00267393">
        <w:t xml:space="preserve"> overall</w:t>
      </w:r>
      <w:r w:rsidRPr="003A7BCD">
        <w:t>. Most</w:t>
      </w:r>
      <w:r w:rsidR="00385FAE">
        <w:t xml:space="preserve"> responses demonstrated </w:t>
      </w:r>
      <w:r w:rsidR="002F2B13">
        <w:t xml:space="preserve">an </w:t>
      </w:r>
      <w:r w:rsidR="00385FAE">
        <w:t xml:space="preserve">understanding of </w:t>
      </w:r>
      <w:r w:rsidRPr="003A7BCD">
        <w:t xml:space="preserve">the requirement to discuss examples that </w:t>
      </w:r>
      <w:r w:rsidR="00267393">
        <w:t>‘</w:t>
      </w:r>
      <w:r w:rsidRPr="003A7BCD">
        <w:t>increased social separation</w:t>
      </w:r>
      <w:r w:rsidR="00267393">
        <w:t>’</w:t>
      </w:r>
      <w:r w:rsidRPr="003A7BCD">
        <w:t xml:space="preserve"> and </w:t>
      </w:r>
      <w:r w:rsidR="00267393">
        <w:t>‘</w:t>
      </w:r>
      <w:r w:rsidRPr="003A7BCD">
        <w:t>increased social equality</w:t>
      </w:r>
      <w:r w:rsidR="00267393">
        <w:t>’</w:t>
      </w:r>
      <w:r w:rsidRPr="003A7BCD">
        <w:t xml:space="preserve">. Some responses </w:t>
      </w:r>
      <w:r w:rsidR="00267393" w:rsidRPr="003A7BCD">
        <w:t xml:space="preserve">successfully </w:t>
      </w:r>
      <w:r w:rsidRPr="003A7BCD">
        <w:t>discuss</w:t>
      </w:r>
      <w:r w:rsidR="00267393">
        <w:t>ed</w:t>
      </w:r>
      <w:r w:rsidRPr="003A7BCD">
        <w:t xml:space="preserve"> how uses of language could simultaneously increase social separation and increase social equality, depending on the backgrounds of the various members of the audience.</w:t>
      </w:r>
    </w:p>
    <w:p w14:paraId="37A9E34F" w14:textId="77777777" w:rsidR="009F5EDC" w:rsidRDefault="009F5EDC" w:rsidP="003F3169">
      <w:pPr>
        <w:pStyle w:val="BodyText"/>
      </w:pPr>
      <w:r>
        <w:t>Potential points for discussion:</w:t>
      </w:r>
    </w:p>
    <w:p w14:paraId="0B822F09" w14:textId="77777777" w:rsidR="009F5EDC" w:rsidRDefault="009F5EDC" w:rsidP="003F3169">
      <w:pPr>
        <w:pStyle w:val="Bullet"/>
      </w:pPr>
      <w:r w:rsidRPr="00DD1C51">
        <w:t>In contemporary Australia, language has the unique capacity to create social bonds and</w:t>
      </w:r>
      <w:r>
        <w:t xml:space="preserve"> assist in advocating</w:t>
      </w:r>
      <w:r w:rsidRPr="00DD1C51">
        <w:t xml:space="preserve"> for change</w:t>
      </w:r>
      <w:r>
        <w:t>. D</w:t>
      </w:r>
      <w:r w:rsidRPr="00DD1C51">
        <w:t xml:space="preserve">espite this, it can also be used as a mechanism for harm and isolation. </w:t>
      </w:r>
    </w:p>
    <w:p w14:paraId="1C531DE0" w14:textId="77777777" w:rsidR="009F5EDC" w:rsidRDefault="009F5EDC" w:rsidP="003F3169">
      <w:pPr>
        <w:pStyle w:val="Bullet"/>
      </w:pPr>
      <w:r w:rsidRPr="00DD1C51">
        <w:t xml:space="preserve">Depending on the audience, purpose and context, language can be wielded to both foster social connections and create separation. </w:t>
      </w:r>
    </w:p>
    <w:p w14:paraId="3BADD74B" w14:textId="478326AB" w:rsidR="009F5EDC" w:rsidRDefault="009F5EDC" w:rsidP="003F3169">
      <w:pPr>
        <w:pStyle w:val="Bullet"/>
      </w:pPr>
      <w:r w:rsidRPr="00DD1C51">
        <w:t>Whil</w:t>
      </w:r>
      <w:r w:rsidR="00267393">
        <w:t>e</w:t>
      </w:r>
      <w:r w:rsidRPr="00DD1C51">
        <w:t xml:space="preserve"> language ha</w:t>
      </w:r>
      <w:r>
        <w:t>s</w:t>
      </w:r>
      <w:r w:rsidRPr="00DD1C51">
        <w:t xml:space="preserve"> the capacity to cause both social separation and equality, it </w:t>
      </w:r>
      <w:r w:rsidRPr="00EE31A5">
        <w:t>is</w:t>
      </w:r>
      <w:r w:rsidRPr="00DD1C51">
        <w:t xml:space="preserve"> predominantly used as a mechanism for connection. </w:t>
      </w:r>
    </w:p>
    <w:p w14:paraId="4AA836E1" w14:textId="06BA17EC" w:rsidR="009F5EDC" w:rsidRDefault="009F5EDC" w:rsidP="003F3169">
      <w:pPr>
        <w:pStyle w:val="Bullet"/>
      </w:pPr>
      <w:r w:rsidRPr="009F5EDC">
        <w:t>Overt and covert norms can dictate whether language can increase social separation of social equality</w:t>
      </w:r>
      <w:r w:rsidR="00267393">
        <w:t>.</w:t>
      </w:r>
      <w:r w:rsidRPr="009F5EDC">
        <w:t xml:space="preserve"> </w:t>
      </w:r>
    </w:p>
    <w:p w14:paraId="62164942" w14:textId="46469DC5" w:rsidR="00664747" w:rsidRDefault="00664747" w:rsidP="003F3169">
      <w:pPr>
        <w:pStyle w:val="BodyText"/>
      </w:pPr>
      <w:r>
        <w:t>Incorporating the stimulus:</w:t>
      </w:r>
    </w:p>
    <w:p w14:paraId="35C8FB62" w14:textId="1A22CD58" w:rsidR="009F5EDC" w:rsidRDefault="007378A3" w:rsidP="003F3169">
      <w:pPr>
        <w:pStyle w:val="Bullet"/>
      </w:pPr>
      <w:r w:rsidRPr="009F5EDC">
        <w:t xml:space="preserve">Stimulus A </w:t>
      </w:r>
      <w:r w:rsidR="00777602" w:rsidRPr="009F5EDC">
        <w:t xml:space="preserve">provided scope to </w:t>
      </w:r>
      <w:r w:rsidR="00C80081" w:rsidRPr="009F5EDC">
        <w:t xml:space="preserve">consider what language can achieve beyond denotative meaning, particularly as a method to ‘advocate for change’. Coming from </w:t>
      </w:r>
      <w:r w:rsidR="00F83857">
        <w:t>Edith Cowan U</w:t>
      </w:r>
      <w:r w:rsidR="00C80081" w:rsidRPr="009F5EDC">
        <w:t>niversity</w:t>
      </w:r>
      <w:r w:rsidR="00F83857">
        <w:t>’s</w:t>
      </w:r>
      <w:r w:rsidR="00C80081" w:rsidRPr="009F5EDC">
        <w:t xml:space="preserve"> </w:t>
      </w:r>
      <w:r w:rsidR="00C80081" w:rsidRPr="00DF66BA">
        <w:rPr>
          <w:rStyle w:val="Emphasis"/>
        </w:rPr>
        <w:t>Inclusive Language Guide</w:t>
      </w:r>
      <w:r w:rsidR="00C80081" w:rsidRPr="009F5EDC">
        <w:t xml:space="preserve">, the stimulus </w:t>
      </w:r>
      <w:r w:rsidR="00E35873" w:rsidRPr="009F5EDC">
        <w:t>required consideration of</w:t>
      </w:r>
      <w:r w:rsidR="00C80081" w:rsidRPr="009F5EDC">
        <w:t xml:space="preserve"> language as a voice for those who are marginalised, as a driver for change </w:t>
      </w:r>
      <w:r w:rsidR="00267393">
        <w:t>–</w:t>
      </w:r>
      <w:r w:rsidR="00C80081" w:rsidRPr="009F5EDC">
        <w:t xml:space="preserve"> both uniting and dividing </w:t>
      </w:r>
      <w:r w:rsidR="00267393">
        <w:t>–</w:t>
      </w:r>
      <w:r w:rsidR="00C80081" w:rsidRPr="009F5EDC">
        <w:t xml:space="preserve"> and as a unifying force that can assist those in finding ‘their community’.</w:t>
      </w:r>
    </w:p>
    <w:p w14:paraId="37C3274E" w14:textId="442C57F3" w:rsidR="009F5EDC" w:rsidRDefault="003A7BCD" w:rsidP="003F3169">
      <w:pPr>
        <w:pStyle w:val="Bullet"/>
      </w:pPr>
      <w:r w:rsidRPr="009F5EDC">
        <w:t>Stimulus B was not always clearly understood</w:t>
      </w:r>
      <w:r w:rsidR="003E046B" w:rsidRPr="009F5EDC">
        <w:t xml:space="preserve"> in </w:t>
      </w:r>
      <w:r w:rsidR="00EE31A5">
        <w:t>responses</w:t>
      </w:r>
      <w:r w:rsidR="00EE31A5" w:rsidRPr="009F5EDC">
        <w:t xml:space="preserve"> </w:t>
      </w:r>
      <w:r w:rsidR="003E046B" w:rsidRPr="009F5EDC">
        <w:t>that addressed it</w:t>
      </w:r>
      <w:r w:rsidRPr="009F5EDC">
        <w:t xml:space="preserve">. </w:t>
      </w:r>
      <w:r w:rsidR="009577B5">
        <w:t>Responses needed to display g</w:t>
      </w:r>
      <w:r w:rsidR="00A40CFD" w:rsidRPr="009F5EDC">
        <w:t xml:space="preserve">reater understanding of how </w:t>
      </w:r>
      <w:r w:rsidRPr="009F5EDC">
        <w:t>it criticised the patronising use of euphemistic language. H</w:t>
      </w:r>
      <w:r w:rsidR="00A40CFD" w:rsidRPr="009F5EDC">
        <w:t>igher</w:t>
      </w:r>
      <w:r w:rsidR="009577B5">
        <w:t>-</w:t>
      </w:r>
      <w:r w:rsidR="00A40CFD" w:rsidRPr="009F5EDC">
        <w:t xml:space="preserve">scoring responses </w:t>
      </w:r>
      <w:r w:rsidRPr="009F5EDC">
        <w:t>discuss</w:t>
      </w:r>
      <w:r w:rsidR="009577B5">
        <w:t>ed</w:t>
      </w:r>
      <w:r w:rsidRPr="009F5EDC">
        <w:t xml:space="preserve"> this issue</w:t>
      </w:r>
      <w:r w:rsidR="009577B5">
        <w:t>,</w:t>
      </w:r>
      <w:r w:rsidRPr="009F5EDC">
        <w:t xml:space="preserve"> </w:t>
      </w:r>
      <w:r w:rsidR="00AC6FA2">
        <w:t xml:space="preserve">as well as </w:t>
      </w:r>
      <w:r w:rsidRPr="009F5EDC">
        <w:t>how other examples of non-discriminatory language could indeed promote social equality.</w:t>
      </w:r>
    </w:p>
    <w:p w14:paraId="611B896A" w14:textId="7436DAD8" w:rsidR="009F5EDC" w:rsidRDefault="009577B5" w:rsidP="003F3169">
      <w:pPr>
        <w:pStyle w:val="Bullet"/>
      </w:pPr>
      <w:r>
        <w:t>H</w:t>
      </w:r>
      <w:r w:rsidR="00A40CFD" w:rsidRPr="009F5EDC">
        <w:t>igher</w:t>
      </w:r>
      <w:r>
        <w:t>-</w:t>
      </w:r>
      <w:r w:rsidR="00A40CFD" w:rsidRPr="009F5EDC">
        <w:t>scoring responses</w:t>
      </w:r>
      <w:r>
        <w:t xml:space="preserve"> that used stimulus C</w:t>
      </w:r>
      <w:r w:rsidR="00A40CFD" w:rsidRPr="009F5EDC">
        <w:t xml:space="preserve"> explore</w:t>
      </w:r>
      <w:r>
        <w:t>d</w:t>
      </w:r>
      <w:r w:rsidR="00E46D37" w:rsidRPr="009F5EDC">
        <w:t xml:space="preserve"> the prescriptive and descriptive attitudes language users hold towards different varieties of English, particularly those that deviate from the standard. </w:t>
      </w:r>
      <w:r w:rsidR="00EE31A5">
        <w:t xml:space="preserve">Responses </w:t>
      </w:r>
      <w:r w:rsidR="00A40CFD" w:rsidRPr="009F5EDC">
        <w:t>that</w:t>
      </w:r>
      <w:r w:rsidR="00E46D37" w:rsidRPr="009F5EDC">
        <w:t xml:space="preserve"> addressed this stimulus well considered how society places high prestige on a standard</w:t>
      </w:r>
      <w:r>
        <w:t>,</w:t>
      </w:r>
      <w:r w:rsidR="00E46D37" w:rsidRPr="009F5EDC">
        <w:t xml:space="preserve"> which thereby acts as a form of discrimination and judgement against varieties</w:t>
      </w:r>
      <w:r>
        <w:t xml:space="preserve"> of English</w:t>
      </w:r>
      <w:r w:rsidR="00E46D37" w:rsidRPr="009F5EDC">
        <w:t xml:space="preserve"> that do not conform to this. </w:t>
      </w:r>
    </w:p>
    <w:p w14:paraId="170E8BED" w14:textId="77767AF0" w:rsidR="00DD1C51" w:rsidRPr="009F5EDC" w:rsidRDefault="00CB2CED" w:rsidP="003F3169">
      <w:pPr>
        <w:pStyle w:val="Bullet"/>
      </w:pPr>
      <w:r>
        <w:t>Responses</w:t>
      </w:r>
      <w:r w:rsidRPr="009F5EDC">
        <w:t xml:space="preserve"> </w:t>
      </w:r>
      <w:r w:rsidR="00A40CFD" w:rsidRPr="009F5EDC">
        <w:t xml:space="preserve">that referred to </w:t>
      </w:r>
      <w:r w:rsidR="009577B5">
        <w:t>s</w:t>
      </w:r>
      <w:r w:rsidR="00E46D37" w:rsidRPr="009F5EDC">
        <w:t xml:space="preserve">timulus D </w:t>
      </w:r>
      <w:r w:rsidR="00A40CFD" w:rsidRPr="009F5EDC">
        <w:t>often used</w:t>
      </w:r>
      <w:r w:rsidR="00E46D37" w:rsidRPr="009F5EDC">
        <w:t xml:space="preserve"> complementary contemporary examples that were relevant in 2025, such as those involving Martin </w:t>
      </w:r>
      <w:proofErr w:type="spellStart"/>
      <w:r w:rsidR="00E46D37" w:rsidRPr="009F5EDC">
        <w:t>Sheargold</w:t>
      </w:r>
      <w:proofErr w:type="spellEnd"/>
      <w:r w:rsidR="00E46D37" w:rsidRPr="009F5EDC">
        <w:t xml:space="preserve"> and </w:t>
      </w:r>
      <w:proofErr w:type="spellStart"/>
      <w:r w:rsidR="00E46D37" w:rsidRPr="009F5EDC">
        <w:t>Izak</w:t>
      </w:r>
      <w:proofErr w:type="spellEnd"/>
      <w:r w:rsidR="00E46D37" w:rsidRPr="009F5EDC">
        <w:t xml:space="preserve"> Rankine in particular, with many valid links made to how language can increase social separation</w:t>
      </w:r>
      <w:r w:rsidR="00DF623F" w:rsidRPr="009F5EDC">
        <w:t>.</w:t>
      </w:r>
      <w:r w:rsidR="00A40CFD" w:rsidRPr="009F5EDC">
        <w:t xml:space="preserve"> This worked well to accompany the stimulus item.</w:t>
      </w:r>
      <w:r w:rsidR="00DD1C51" w:rsidRPr="009F5EDC">
        <w:t xml:space="preserve"> </w:t>
      </w:r>
    </w:p>
    <w:p w14:paraId="5BE317FD" w14:textId="4629816B" w:rsidR="00426472" w:rsidRDefault="00426472" w:rsidP="003F3169">
      <w:pPr>
        <w:pStyle w:val="BodyText"/>
      </w:pPr>
      <w:r w:rsidRPr="00426472">
        <w:t xml:space="preserve">Relevant key knowledge and </w:t>
      </w:r>
      <w:r w:rsidR="00154B3A">
        <w:t>concept</w:t>
      </w:r>
      <w:r w:rsidRPr="00426472">
        <w:t>s from the study design</w:t>
      </w:r>
      <w:r w:rsidR="0097102E">
        <w:t xml:space="preserve"> include</w:t>
      </w:r>
      <w:r w:rsidR="009577B5">
        <w:t>d</w:t>
      </w:r>
      <w:r w:rsidRPr="00426472">
        <w:t>:</w:t>
      </w:r>
    </w:p>
    <w:p w14:paraId="4E834E18" w14:textId="77777777" w:rsidR="00426472" w:rsidRDefault="00426472" w:rsidP="003F3169">
      <w:pPr>
        <w:pStyle w:val="Bullet"/>
      </w:pPr>
      <w:r w:rsidRPr="00426472">
        <w:t xml:space="preserve">major functions that language serves when used in each context </w:t>
      </w:r>
    </w:p>
    <w:p w14:paraId="258666D2" w14:textId="77777777" w:rsidR="00426472" w:rsidRDefault="00426472" w:rsidP="003F3169">
      <w:pPr>
        <w:pStyle w:val="Bullet"/>
      </w:pPr>
      <w:r w:rsidRPr="00426472">
        <w:t>the relationship between context and features of language in informal and formal texts</w:t>
      </w:r>
    </w:p>
    <w:p w14:paraId="6B5F7ACA" w14:textId="77777777" w:rsidR="00426472" w:rsidRDefault="00426472" w:rsidP="003F3169">
      <w:pPr>
        <w:pStyle w:val="Bullet"/>
      </w:pPr>
      <w:r w:rsidRPr="00426472">
        <w:t>the role of language in encouraging intimacy, solidarity and equality</w:t>
      </w:r>
    </w:p>
    <w:p w14:paraId="109AE649" w14:textId="77777777" w:rsidR="00426472" w:rsidRDefault="00426472" w:rsidP="003F3169">
      <w:pPr>
        <w:pStyle w:val="Bullet"/>
      </w:pPr>
      <w:r w:rsidRPr="00426472">
        <w:t xml:space="preserve">politeness strategies and their role in increasing social equity </w:t>
      </w:r>
    </w:p>
    <w:p w14:paraId="409F0627" w14:textId="77777777" w:rsidR="00426472" w:rsidRDefault="00426472" w:rsidP="003F3169">
      <w:pPr>
        <w:pStyle w:val="Bullet"/>
      </w:pPr>
      <w:r w:rsidRPr="00426472">
        <w:t>non-discriminatory language</w:t>
      </w:r>
    </w:p>
    <w:p w14:paraId="14946210" w14:textId="1BC2D446" w:rsidR="00426472" w:rsidRDefault="00E30AC7" w:rsidP="003F3169">
      <w:pPr>
        <w:pStyle w:val="Bullet"/>
      </w:pPr>
      <w:r>
        <w:t>features of informal speech and writing (e.g. swearing, taboo language, dysphemism, slang</w:t>
      </w:r>
      <w:r w:rsidR="00C725B7">
        <w:t>, etc.</w:t>
      </w:r>
      <w:r>
        <w:t>)</w:t>
      </w:r>
    </w:p>
    <w:p w14:paraId="4834D1F0" w14:textId="7DD323C0" w:rsidR="00426472" w:rsidRDefault="00426472" w:rsidP="003F3169">
      <w:pPr>
        <w:pStyle w:val="Bullet"/>
      </w:pPr>
      <w:r w:rsidRPr="00426472">
        <w:t>how English varies according to culture, including Standard Australian English</w:t>
      </w:r>
      <w:r w:rsidR="00F83857">
        <w:t xml:space="preserve"> (SAE)</w:t>
      </w:r>
      <w:r w:rsidRPr="00426472">
        <w:t xml:space="preserve">, Aboriginal Australian </w:t>
      </w:r>
      <w:proofErr w:type="spellStart"/>
      <w:r w:rsidRPr="00CB2CED">
        <w:t>Englishes</w:t>
      </w:r>
      <w:proofErr w:type="spellEnd"/>
      <w:r w:rsidRPr="00426472">
        <w:t xml:space="preserve"> and migrant ethnolects</w:t>
      </w:r>
    </w:p>
    <w:p w14:paraId="27648994" w14:textId="24B432B7" w:rsidR="00426472" w:rsidRDefault="00426472" w:rsidP="003F3169">
      <w:pPr>
        <w:pStyle w:val="Bullet"/>
      </w:pPr>
      <w:r w:rsidRPr="00426472">
        <w:t xml:space="preserve">social and personal variation (sociolects and idiolects) in language according to factors such as </w:t>
      </w:r>
      <w:r w:rsidR="0097102E" w:rsidRPr="0097102E">
        <w:t>age, gender, sexuality, occupation, interests, aspirations and education</w:t>
      </w:r>
    </w:p>
    <w:p w14:paraId="16BBC0CF" w14:textId="77777777" w:rsidR="00426472" w:rsidRDefault="00426472" w:rsidP="003F3169">
      <w:pPr>
        <w:pStyle w:val="Bullet"/>
      </w:pPr>
      <w:r w:rsidRPr="00426472">
        <w:t>the ways in which people draw on their linguistic repertoire to gain power and prestige, including exploiting overt and covert norms</w:t>
      </w:r>
    </w:p>
    <w:p w14:paraId="29965DFE" w14:textId="77777777" w:rsidR="00426472" w:rsidRDefault="00426472" w:rsidP="003F3169">
      <w:pPr>
        <w:pStyle w:val="Bullet"/>
      </w:pPr>
      <w:r w:rsidRPr="00426472">
        <w:t>code switching as a means of demonstrating group membership and belonging</w:t>
      </w:r>
    </w:p>
    <w:p w14:paraId="1824FB9F" w14:textId="0B834941" w:rsidR="00426472" w:rsidRDefault="00426472" w:rsidP="003F3169">
      <w:pPr>
        <w:pStyle w:val="Bullet"/>
      </w:pPr>
      <w:r w:rsidRPr="00426472">
        <w:t>the relationship between social attitudes and language choices</w:t>
      </w:r>
      <w:r w:rsidR="009577B5">
        <w:t>.</w:t>
      </w:r>
    </w:p>
    <w:p w14:paraId="67275CC1" w14:textId="641DB890" w:rsidR="00A7663A" w:rsidRPr="00D63201" w:rsidRDefault="00FE2442" w:rsidP="00D63201">
      <w:pPr>
        <w:pStyle w:val="BodyText"/>
      </w:pPr>
      <w:r w:rsidRPr="00D63201">
        <w:lastRenderedPageBreak/>
        <w:t>The following body paragraph was the first paragraph in a high</w:t>
      </w:r>
      <w:r w:rsidR="009577B5" w:rsidRPr="00D63201">
        <w:t>-</w:t>
      </w:r>
      <w:r w:rsidRPr="00D63201">
        <w:t xml:space="preserve">scoring response. </w:t>
      </w:r>
      <w:proofErr w:type="gramStart"/>
      <w:r w:rsidR="00BB6DBE" w:rsidRPr="00D63201">
        <w:t>For the purpose of</w:t>
      </w:r>
      <w:proofErr w:type="gramEnd"/>
      <w:r w:rsidR="00BB6DBE" w:rsidRPr="00D63201">
        <w:t xml:space="preserve"> annotation, the paragraph has been broken into sections.</w:t>
      </w:r>
    </w:p>
    <w:tbl>
      <w:tblPr>
        <w:tblStyle w:val="TableGrid"/>
        <w:tblW w:w="0" w:type="auto"/>
        <w:tblInd w:w="720" w:type="dxa"/>
        <w:tblLook w:val="04A0" w:firstRow="1" w:lastRow="0" w:firstColumn="1" w:lastColumn="0" w:noHBand="0" w:noVBand="1"/>
      </w:tblPr>
      <w:tblGrid>
        <w:gridCol w:w="5654"/>
        <w:gridCol w:w="3255"/>
      </w:tblGrid>
      <w:tr w:rsidR="00E00B47" w:rsidRPr="00D01329" w14:paraId="6AE45461" w14:textId="77777777" w:rsidTr="00080AB8">
        <w:tc>
          <w:tcPr>
            <w:tcW w:w="5654" w:type="dxa"/>
            <w:tcBorders>
              <w:bottom w:val="single" w:sz="4" w:space="0" w:color="auto"/>
            </w:tcBorders>
          </w:tcPr>
          <w:p w14:paraId="40BF43F7" w14:textId="77777777" w:rsidR="00E00B47" w:rsidRPr="00C25F6E" w:rsidRDefault="00E00B47" w:rsidP="00074015">
            <w:pPr>
              <w:pStyle w:val="Tableheading"/>
              <w:rPr>
                <w:i/>
              </w:rPr>
            </w:pPr>
            <w:r w:rsidRPr="00C25F6E">
              <w:t>Student sample</w:t>
            </w:r>
          </w:p>
        </w:tc>
        <w:tc>
          <w:tcPr>
            <w:tcW w:w="3255" w:type="dxa"/>
            <w:tcBorders>
              <w:bottom w:val="single" w:sz="4" w:space="0" w:color="auto"/>
            </w:tcBorders>
          </w:tcPr>
          <w:p w14:paraId="049F35EC" w14:textId="77777777" w:rsidR="00E00B47" w:rsidRPr="00C25F6E" w:rsidRDefault="00E00B47" w:rsidP="00074015">
            <w:pPr>
              <w:pStyle w:val="Tableheading"/>
              <w:rPr>
                <w:i/>
              </w:rPr>
            </w:pPr>
            <w:r w:rsidRPr="00C25F6E">
              <w:t>Annotations</w:t>
            </w:r>
          </w:p>
        </w:tc>
      </w:tr>
      <w:tr w:rsidR="00E00B47" w14:paraId="7706FC67" w14:textId="77777777" w:rsidTr="00080AB8">
        <w:tc>
          <w:tcPr>
            <w:tcW w:w="5654" w:type="dxa"/>
            <w:tcBorders>
              <w:bottom w:val="nil"/>
            </w:tcBorders>
          </w:tcPr>
          <w:p w14:paraId="54860F8A" w14:textId="746770C3" w:rsidR="00E00B47" w:rsidRPr="005427DD" w:rsidRDefault="002F2B13" w:rsidP="000003F7">
            <w:pPr>
              <w:pStyle w:val="Studentresponse"/>
            </w:pPr>
            <w:r>
              <w:t>Language may simultaneously create separation and reinforce equality depending on public perceptions. Use of obfuscatory language in the conversion of noun ‘disability’ to adjectival phrase ‘differently abled’ (Stimulus B) may initially be intended to foster social harmony by avoiding using the noun i</w:t>
            </w:r>
            <w:r w:rsidR="00BB6DBE">
              <w:t>n</w:t>
            </w:r>
            <w:r>
              <w:t xml:space="preserve"> a more concr</w:t>
            </w:r>
            <w:r w:rsidR="00640736">
              <w:t xml:space="preserve">ete manner. </w:t>
            </w:r>
          </w:p>
        </w:tc>
        <w:tc>
          <w:tcPr>
            <w:tcW w:w="3255" w:type="dxa"/>
            <w:tcBorders>
              <w:bottom w:val="nil"/>
            </w:tcBorders>
          </w:tcPr>
          <w:p w14:paraId="360EF62D" w14:textId="7AE466C5" w:rsidR="00E00B47" w:rsidRPr="00042640" w:rsidRDefault="00080AB8" w:rsidP="006E6207">
            <w:pPr>
              <w:pStyle w:val="BodyText"/>
              <w:rPr>
                <w:b/>
                <w:i/>
                <w:highlight w:val="lightGray"/>
              </w:rPr>
            </w:pPr>
            <w:r>
              <w:rPr>
                <w:bCs/>
                <w:iCs/>
              </w:rPr>
              <w:t>Directly addresse</w:t>
            </w:r>
            <w:r w:rsidR="006021E7">
              <w:rPr>
                <w:bCs/>
                <w:iCs/>
              </w:rPr>
              <w:t>d</w:t>
            </w:r>
            <w:r>
              <w:rPr>
                <w:bCs/>
                <w:iCs/>
              </w:rPr>
              <w:t xml:space="preserve"> core elements of the topic – separation and equality. Stimulus </w:t>
            </w:r>
            <w:r w:rsidR="006021E7">
              <w:rPr>
                <w:bCs/>
                <w:iCs/>
              </w:rPr>
              <w:t>wa</w:t>
            </w:r>
            <w:r>
              <w:rPr>
                <w:bCs/>
                <w:iCs/>
              </w:rPr>
              <w:t>s addressed early.</w:t>
            </w:r>
          </w:p>
        </w:tc>
      </w:tr>
      <w:tr w:rsidR="00E00B47" w14:paraId="54F66B3D" w14:textId="77777777" w:rsidTr="00080AB8">
        <w:tc>
          <w:tcPr>
            <w:tcW w:w="5654" w:type="dxa"/>
            <w:tcBorders>
              <w:top w:val="nil"/>
              <w:bottom w:val="nil"/>
            </w:tcBorders>
          </w:tcPr>
          <w:p w14:paraId="620DF660" w14:textId="12C0678F" w:rsidR="00E00B47" w:rsidRPr="009A503F" w:rsidRDefault="00FE2442" w:rsidP="000003F7">
            <w:pPr>
              <w:pStyle w:val="Studentresponse"/>
            </w:pPr>
            <w:r>
              <w:t xml:space="preserve">Although attempting to meet the positive face needs of those with a disability, the lexical ambiguity of adverb ‘differently’ created confusion and euphemistically hides the true nature of disabilities. Hence, despite attempts to increase equality by presenting disabilities as a less concrete and more ambiguous light to try to empower individuals, the language instead risks perpetuating a narrative where disabilities are something needed to be obfuscated, rendering division instead. </w:t>
            </w:r>
          </w:p>
        </w:tc>
        <w:tc>
          <w:tcPr>
            <w:tcW w:w="3255" w:type="dxa"/>
            <w:tcBorders>
              <w:top w:val="nil"/>
              <w:bottom w:val="nil"/>
            </w:tcBorders>
          </w:tcPr>
          <w:p w14:paraId="4CB19D90" w14:textId="17574DBD" w:rsidR="00E00B47" w:rsidRPr="00042640" w:rsidRDefault="00080AB8" w:rsidP="006E6207">
            <w:pPr>
              <w:pStyle w:val="BodyText"/>
              <w:rPr>
                <w:i/>
                <w:highlight w:val="lightGray"/>
              </w:rPr>
            </w:pPr>
            <w:r>
              <w:rPr>
                <w:bCs/>
                <w:iCs/>
              </w:rPr>
              <w:t xml:space="preserve">Discussion of the stimulus </w:t>
            </w:r>
            <w:r w:rsidR="006021E7">
              <w:rPr>
                <w:bCs/>
                <w:iCs/>
              </w:rPr>
              <w:t>wa</w:t>
            </w:r>
            <w:r>
              <w:rPr>
                <w:bCs/>
                <w:iCs/>
              </w:rPr>
              <w:t xml:space="preserve">s explored further, providing meaningful analysis of what the terms </w:t>
            </w:r>
            <w:r w:rsidRPr="002C5DB6">
              <w:rPr>
                <w:bCs/>
                <w:iCs/>
              </w:rPr>
              <w:t>help</w:t>
            </w:r>
            <w:r w:rsidR="007108A6">
              <w:rPr>
                <w:bCs/>
                <w:iCs/>
              </w:rPr>
              <w:t>ed</w:t>
            </w:r>
            <w:r>
              <w:rPr>
                <w:bCs/>
                <w:iCs/>
              </w:rPr>
              <w:t xml:space="preserve"> to achieve </w:t>
            </w:r>
            <w:r w:rsidR="009577B5">
              <w:rPr>
                <w:bCs/>
                <w:iCs/>
              </w:rPr>
              <w:t>with</w:t>
            </w:r>
            <w:r w:rsidR="00AC6FA2">
              <w:rPr>
                <w:bCs/>
                <w:iCs/>
              </w:rPr>
              <w:t xml:space="preserve"> regard to</w:t>
            </w:r>
            <w:r>
              <w:rPr>
                <w:bCs/>
                <w:iCs/>
              </w:rPr>
              <w:t xml:space="preserve"> social harmony and </w:t>
            </w:r>
            <w:proofErr w:type="gramStart"/>
            <w:r>
              <w:rPr>
                <w:bCs/>
                <w:iCs/>
              </w:rPr>
              <w:t>division</w:t>
            </w:r>
            <w:r w:rsidR="00EE31A5">
              <w:rPr>
                <w:bCs/>
                <w:iCs/>
              </w:rPr>
              <w:t>;</w:t>
            </w:r>
            <w:proofErr w:type="gramEnd"/>
            <w:r w:rsidR="00EE31A5">
              <w:rPr>
                <w:bCs/>
                <w:iCs/>
              </w:rPr>
              <w:t xml:space="preserve"> </w:t>
            </w:r>
            <w:r>
              <w:rPr>
                <w:bCs/>
                <w:iCs/>
              </w:rPr>
              <w:t xml:space="preserve">a synonym for separation. Synonymy </w:t>
            </w:r>
            <w:r w:rsidR="006021E7">
              <w:rPr>
                <w:bCs/>
                <w:iCs/>
              </w:rPr>
              <w:t>wa</w:t>
            </w:r>
            <w:r>
              <w:rPr>
                <w:bCs/>
                <w:iCs/>
              </w:rPr>
              <w:t>s effective to use when linking back to core elements of the topic.</w:t>
            </w:r>
          </w:p>
        </w:tc>
      </w:tr>
      <w:tr w:rsidR="00FE2442" w14:paraId="1037998D" w14:textId="77777777" w:rsidTr="00080AB8">
        <w:tc>
          <w:tcPr>
            <w:tcW w:w="5654" w:type="dxa"/>
            <w:tcBorders>
              <w:top w:val="nil"/>
              <w:bottom w:val="nil"/>
            </w:tcBorders>
          </w:tcPr>
          <w:p w14:paraId="3E12F4F3" w14:textId="3F5DCF1E" w:rsidR="00FE2442" w:rsidRDefault="00FE2442" w:rsidP="000003F7">
            <w:pPr>
              <w:pStyle w:val="Studentresponse"/>
            </w:pPr>
            <w:r>
              <w:t xml:space="preserve">Similarly, Sephora’s new makeup range targeted at </w:t>
            </w:r>
            <w:r w:rsidR="00BB6DBE">
              <w:t>men</w:t>
            </w:r>
            <w:r>
              <w:t xml:space="preserve">, labelled with the noun phrase ‘war paint’ sought to make makeup – overtly associated with women – more accessible to men. However, connotations of adjective ‘war’ being violence and strength reinforce stereotypical views that men must present as masculine, instead disempowering both men and women by reinforcing a divide between what </w:t>
            </w:r>
            <w:r w:rsidRPr="007108A6">
              <w:t>is</w:t>
            </w:r>
            <w:r>
              <w:t xml:space="preserve"> acceptably feminine or masculine. </w:t>
            </w:r>
          </w:p>
        </w:tc>
        <w:tc>
          <w:tcPr>
            <w:tcW w:w="3255" w:type="dxa"/>
            <w:tcBorders>
              <w:top w:val="nil"/>
              <w:bottom w:val="nil"/>
            </w:tcBorders>
          </w:tcPr>
          <w:p w14:paraId="784BD502" w14:textId="63BD2B26" w:rsidR="00FE2442" w:rsidRPr="00080AB8" w:rsidRDefault="00080AB8" w:rsidP="006E6207">
            <w:pPr>
              <w:pStyle w:val="BodyText"/>
              <w:rPr>
                <w:iCs/>
                <w:highlight w:val="lightGray"/>
              </w:rPr>
            </w:pPr>
            <w:r>
              <w:rPr>
                <w:bCs/>
                <w:iCs/>
              </w:rPr>
              <w:t xml:space="preserve">A complementary contemporary </w:t>
            </w:r>
            <w:r w:rsidR="00A52D1F">
              <w:rPr>
                <w:bCs/>
                <w:iCs/>
              </w:rPr>
              <w:t xml:space="preserve">example </w:t>
            </w:r>
            <w:r w:rsidR="006021E7">
              <w:rPr>
                <w:bCs/>
                <w:iCs/>
              </w:rPr>
              <w:t>w</w:t>
            </w:r>
            <w:r>
              <w:rPr>
                <w:bCs/>
                <w:iCs/>
              </w:rPr>
              <w:t>as provided and explored</w:t>
            </w:r>
            <w:r w:rsidR="00A52D1F">
              <w:rPr>
                <w:bCs/>
                <w:iCs/>
              </w:rPr>
              <w:t xml:space="preserve"> in some detail</w:t>
            </w:r>
            <w:r>
              <w:rPr>
                <w:bCs/>
                <w:iCs/>
              </w:rPr>
              <w:t>. Metalanguage move</w:t>
            </w:r>
            <w:r w:rsidR="006021E7">
              <w:rPr>
                <w:bCs/>
                <w:iCs/>
              </w:rPr>
              <w:t>d</w:t>
            </w:r>
            <w:r>
              <w:rPr>
                <w:bCs/>
                <w:iCs/>
              </w:rPr>
              <w:t xml:space="preserve"> beyond word classes and explore</w:t>
            </w:r>
            <w:r w:rsidR="006021E7">
              <w:rPr>
                <w:bCs/>
                <w:iCs/>
              </w:rPr>
              <w:t>d</w:t>
            </w:r>
            <w:r>
              <w:rPr>
                <w:bCs/>
                <w:iCs/>
              </w:rPr>
              <w:t xml:space="preserve"> other linguistic elements related to the terms used by Sephora.</w:t>
            </w:r>
          </w:p>
        </w:tc>
      </w:tr>
      <w:tr w:rsidR="00FE2442" w14:paraId="598D3905" w14:textId="77777777" w:rsidTr="00080AB8">
        <w:tc>
          <w:tcPr>
            <w:tcW w:w="5654" w:type="dxa"/>
            <w:tcBorders>
              <w:top w:val="nil"/>
            </w:tcBorders>
          </w:tcPr>
          <w:p w14:paraId="2FE73934" w14:textId="19D15A32" w:rsidR="00FE2442" w:rsidRDefault="00FE2442" w:rsidP="000003F7">
            <w:pPr>
              <w:pStyle w:val="Studentresponse"/>
            </w:pPr>
            <w:r>
              <w:t xml:space="preserve">In such cases, despite attempts to create equality for men to be more freely able to buy makeup without feeling ‘weak’, an environment where rigid gender stereotypes are instead reinforced is fostered, highlighting archaic gender norms through language choices. Hence, language that intends to create equality may instead divide audiences </w:t>
            </w:r>
            <w:proofErr w:type="gramStart"/>
            <w:r>
              <w:t>on the basis of</w:t>
            </w:r>
            <w:proofErr w:type="gramEnd"/>
            <w:r>
              <w:t xml:space="preserve"> their identity.</w:t>
            </w:r>
          </w:p>
        </w:tc>
        <w:tc>
          <w:tcPr>
            <w:tcW w:w="3255" w:type="dxa"/>
            <w:tcBorders>
              <w:top w:val="nil"/>
            </w:tcBorders>
          </w:tcPr>
          <w:p w14:paraId="548A5289" w14:textId="76AA6735" w:rsidR="00FE2442" w:rsidRPr="00042640" w:rsidRDefault="00080AB8" w:rsidP="006E6207">
            <w:pPr>
              <w:pStyle w:val="BodyText"/>
              <w:rPr>
                <w:i/>
                <w:highlight w:val="lightGray"/>
              </w:rPr>
            </w:pPr>
            <w:r>
              <w:rPr>
                <w:bCs/>
                <w:iCs/>
              </w:rPr>
              <w:t xml:space="preserve">Meaningful conclusions made as to how the additional contemporary example links to the point being made. </w:t>
            </w:r>
          </w:p>
        </w:tc>
      </w:tr>
    </w:tbl>
    <w:p w14:paraId="4849F286" w14:textId="4E237DB3" w:rsidR="00945034" w:rsidRPr="00515D1A" w:rsidRDefault="00945034" w:rsidP="0088613A">
      <w:pPr>
        <w:pStyle w:val="Heading3"/>
      </w:pPr>
      <w:r w:rsidRPr="00515D1A">
        <w:t xml:space="preserve">Question </w:t>
      </w:r>
      <w:r>
        <w:t>7</w:t>
      </w:r>
    </w:p>
    <w:p w14:paraId="57E9DDD6" w14:textId="0B4E0B94" w:rsidR="00945034" w:rsidRDefault="00945034" w:rsidP="003F3169">
      <w:pPr>
        <w:pStyle w:val="BodyText"/>
      </w:pPr>
      <w:r w:rsidRPr="00515D1A">
        <w:t xml:space="preserve">Question </w:t>
      </w:r>
      <w:r w:rsidR="00992DCA">
        <w:t>7</w:t>
      </w:r>
      <w:r w:rsidRPr="00515D1A">
        <w:t xml:space="preserve"> required </w:t>
      </w:r>
      <w:r w:rsidR="005321D5">
        <w:t>an exploration of</w:t>
      </w:r>
      <w:r w:rsidR="005321D5" w:rsidRPr="005321D5">
        <w:t xml:space="preserve"> how current social shifts and recent technologies are reshaping Australian language practices</w:t>
      </w:r>
      <w:r w:rsidR="005321D5">
        <w:t>. Many responses considered</w:t>
      </w:r>
      <w:r w:rsidR="005321D5" w:rsidRPr="005321D5">
        <w:t xml:space="preserve"> how changes in social attitudes, identities and cultural values alter norms around </w:t>
      </w:r>
      <w:r w:rsidR="005321D5">
        <w:t>what is and is not considered standard. Also considered was the impact of such change on what society deems appropriate and inclusive when using language, particularly when negotiating sensitive and taboo topics. T</w:t>
      </w:r>
      <w:r w:rsidR="005321D5" w:rsidRPr="005321D5">
        <w:t xml:space="preserve">echnologies such as social media platforms, messaging apps, </w:t>
      </w:r>
      <w:r w:rsidR="00493174">
        <w:t xml:space="preserve">artificial intelligence (AI) </w:t>
      </w:r>
      <w:r w:rsidR="005321D5" w:rsidRPr="005321D5">
        <w:t>and multimodal communication accelerate or redirect these changes</w:t>
      </w:r>
      <w:r w:rsidR="005321D5">
        <w:t xml:space="preserve"> and higher</w:t>
      </w:r>
      <w:r w:rsidR="005727D6">
        <w:t>-</w:t>
      </w:r>
      <w:r w:rsidR="005321D5">
        <w:t>scoring responses explored this meaningfully</w:t>
      </w:r>
      <w:r w:rsidR="005321D5" w:rsidRPr="005321D5">
        <w:t xml:space="preserve">. </w:t>
      </w:r>
    </w:p>
    <w:p w14:paraId="031F9DC6" w14:textId="77777777" w:rsidR="000C0D5B" w:rsidRDefault="000C0D5B" w:rsidP="00D63201">
      <w:pPr>
        <w:pStyle w:val="BodyText"/>
      </w:pPr>
      <w:r>
        <w:br w:type="page"/>
      </w:r>
    </w:p>
    <w:p w14:paraId="0D8F39FD" w14:textId="53F54331" w:rsidR="005321D5" w:rsidRDefault="00426472" w:rsidP="003F3169">
      <w:pPr>
        <w:pStyle w:val="BodyText"/>
      </w:pPr>
      <w:r w:rsidRPr="00426472">
        <w:lastRenderedPageBreak/>
        <w:t xml:space="preserve">This question was handled with varying degrees of success. Not all </w:t>
      </w:r>
      <w:r w:rsidR="00B6611D">
        <w:t>responses</w:t>
      </w:r>
      <w:r w:rsidRPr="00426472">
        <w:t xml:space="preserve"> discussed both </w:t>
      </w:r>
      <w:r w:rsidR="005727D6">
        <w:t>‘</w:t>
      </w:r>
      <w:r w:rsidRPr="00426472">
        <w:t>social changes</w:t>
      </w:r>
      <w:r w:rsidR="005727D6">
        <w:t>’</w:t>
      </w:r>
      <w:r w:rsidRPr="00426472">
        <w:t xml:space="preserve"> and </w:t>
      </w:r>
      <w:r w:rsidR="005727D6">
        <w:t>‘</w:t>
      </w:r>
      <w:r w:rsidRPr="00426472">
        <w:t>technologies</w:t>
      </w:r>
      <w:r w:rsidR="005727D6">
        <w:t>’</w:t>
      </w:r>
      <w:r w:rsidR="002B7D39">
        <w:t>, which were key components of the question</w:t>
      </w:r>
      <w:r w:rsidRPr="00426472">
        <w:t>.</w:t>
      </w:r>
      <w:r w:rsidR="005321D5">
        <w:t xml:space="preserve"> </w:t>
      </w:r>
      <w:r w:rsidR="005321D5" w:rsidRPr="005321D5">
        <w:t xml:space="preserve">Some responses focused narrowly on technology and treated contemporary communication platforms as the sole driver of linguistic change, while others discussed broad social movements without linking them to evolving language norms in Australia. The task, however, demanded an exploration of </w:t>
      </w:r>
      <w:r w:rsidR="005321D5">
        <w:t xml:space="preserve">both </w:t>
      </w:r>
      <w:r w:rsidR="00C84D94">
        <w:t>socially driven</w:t>
      </w:r>
      <w:r w:rsidR="005321D5">
        <w:t xml:space="preserve"> change as well as technological change, with nuanced responses also considering how these intersect</w:t>
      </w:r>
      <w:r w:rsidR="005321D5" w:rsidRPr="005321D5">
        <w:t xml:space="preserve"> to shape linguistic behaviour. </w:t>
      </w:r>
    </w:p>
    <w:p w14:paraId="1F283FC1" w14:textId="4C1EDDEB" w:rsidR="00426472" w:rsidRDefault="00B6611D" w:rsidP="003F3169">
      <w:pPr>
        <w:pStyle w:val="BodyText"/>
      </w:pPr>
      <w:r>
        <w:t xml:space="preserve">Contemporary examples used in Question 7 responses demonstrated </w:t>
      </w:r>
      <w:r w:rsidR="00426472" w:rsidRPr="00426472">
        <w:t>a good understanding of the language used on social media and how technology is advancing rapidly</w:t>
      </w:r>
      <w:r>
        <w:t xml:space="preserve">, </w:t>
      </w:r>
      <w:r w:rsidR="00426472" w:rsidRPr="00426472">
        <w:t>changing the expectations of language usage</w:t>
      </w:r>
      <w:r>
        <w:t>. S</w:t>
      </w:r>
      <w:r w:rsidR="00426472" w:rsidRPr="00426472">
        <w:t xml:space="preserve">ome </w:t>
      </w:r>
      <w:r w:rsidR="00CE24A0">
        <w:t>responses</w:t>
      </w:r>
      <w:r w:rsidR="00426472" w:rsidRPr="00426472">
        <w:t xml:space="preserve"> were more descriptive than analytical in nature.</w:t>
      </w:r>
    </w:p>
    <w:p w14:paraId="6A27118D" w14:textId="13126698" w:rsidR="00134A64" w:rsidRDefault="00134A64" w:rsidP="003F3169">
      <w:pPr>
        <w:pStyle w:val="BodyText"/>
      </w:pPr>
      <w:r w:rsidRPr="00426472">
        <w:t>Potential points for discussion</w:t>
      </w:r>
      <w:r w:rsidR="003E5D74">
        <w:t xml:space="preserve"> were</w:t>
      </w:r>
      <w:r w:rsidRPr="00426472">
        <w:t>:</w:t>
      </w:r>
    </w:p>
    <w:p w14:paraId="77D946DB" w14:textId="49B4F418" w:rsidR="00134A64" w:rsidRDefault="008B36F5" w:rsidP="003F3169">
      <w:pPr>
        <w:pStyle w:val="Bullet"/>
      </w:pPr>
      <w:r>
        <w:t>t</w:t>
      </w:r>
      <w:r w:rsidR="00134A64" w:rsidRPr="00426472">
        <w:t xml:space="preserve">he modern landscape of language </w:t>
      </w:r>
      <w:r w:rsidR="00784467">
        <w:t>being</w:t>
      </w:r>
      <w:r w:rsidR="00134A64" w:rsidRPr="00426472">
        <w:t xml:space="preserve"> heavily influenced by increasing technological and social changes</w:t>
      </w:r>
    </w:p>
    <w:p w14:paraId="65802A54" w14:textId="64A3D918" w:rsidR="00134A64" w:rsidRDefault="008B36F5" w:rsidP="003F3169">
      <w:pPr>
        <w:pStyle w:val="Bullet"/>
      </w:pPr>
      <w:r>
        <w:t>t</w:t>
      </w:r>
      <w:r w:rsidR="00742427">
        <w:t xml:space="preserve">echnology’s large impact on language, acknowledging that </w:t>
      </w:r>
      <w:r w:rsidR="00134A64" w:rsidRPr="00426472">
        <w:t xml:space="preserve">only when combined with social change that the breadth of its impact </w:t>
      </w:r>
      <w:r w:rsidR="00134A64" w:rsidRPr="00BE380B">
        <w:t>is</w:t>
      </w:r>
      <w:r w:rsidR="00134A64" w:rsidRPr="00426472">
        <w:t xml:space="preserve"> clear</w:t>
      </w:r>
    </w:p>
    <w:p w14:paraId="00E4D294" w14:textId="45325B7D" w:rsidR="00134A64" w:rsidRDefault="008B36F5" w:rsidP="003F3169">
      <w:pPr>
        <w:pStyle w:val="Bullet"/>
      </w:pPr>
      <w:r>
        <w:t>s</w:t>
      </w:r>
      <w:r w:rsidR="00134A64" w:rsidRPr="00426472">
        <w:t xml:space="preserve">ocial impacts </w:t>
      </w:r>
      <w:r w:rsidR="009E1B9C">
        <w:t>heightening</w:t>
      </w:r>
      <w:r w:rsidR="00134A64" w:rsidRPr="00426472">
        <w:t xml:space="preserve"> the impact technology has had on language</w:t>
      </w:r>
    </w:p>
    <w:p w14:paraId="1D91220E" w14:textId="57346034" w:rsidR="00134A64" w:rsidRDefault="008B36F5" w:rsidP="003F3169">
      <w:pPr>
        <w:pStyle w:val="Bullet"/>
      </w:pPr>
      <w:r>
        <w:t>l</w:t>
      </w:r>
      <w:r w:rsidR="00134A64" w:rsidRPr="00134A64">
        <w:t xml:space="preserve">anguage </w:t>
      </w:r>
      <w:r w:rsidR="009E1B9C">
        <w:t>being always</w:t>
      </w:r>
      <w:r w:rsidR="00134A64" w:rsidRPr="00134A64">
        <w:t xml:space="preserve"> in flux</w:t>
      </w:r>
      <w:r w:rsidR="009E1B9C">
        <w:t xml:space="preserve">, with changes that seem minor in isolation, but can mirror </w:t>
      </w:r>
      <w:r w:rsidR="00134A64" w:rsidRPr="00134A64">
        <w:t>society</w:t>
      </w:r>
      <w:r w:rsidR="009E1B9C">
        <w:t>;</w:t>
      </w:r>
      <w:r w:rsidR="00134A64" w:rsidRPr="00134A64">
        <w:t xml:space="preserve"> </w:t>
      </w:r>
      <w:r w:rsidR="00493174">
        <w:t>thus,</w:t>
      </w:r>
      <w:r w:rsidR="009E1B9C">
        <w:t xml:space="preserve"> </w:t>
      </w:r>
      <w:r w:rsidR="00134A64" w:rsidRPr="00134A64">
        <w:t>language norms are adapting to reflect</w:t>
      </w:r>
      <w:r w:rsidR="009E1B9C">
        <w:t xml:space="preserve"> social and community attitudes.</w:t>
      </w:r>
    </w:p>
    <w:p w14:paraId="41F25200" w14:textId="77777777" w:rsidR="00E30A64" w:rsidRDefault="00E30A64" w:rsidP="003F3169">
      <w:pPr>
        <w:pStyle w:val="BodyText"/>
      </w:pPr>
      <w:r>
        <w:t>Incorporating the stimulus:</w:t>
      </w:r>
    </w:p>
    <w:p w14:paraId="4A319975" w14:textId="4B0E1B82" w:rsidR="00134A64" w:rsidRDefault="009B786D" w:rsidP="003F3169">
      <w:pPr>
        <w:pStyle w:val="Bullet"/>
      </w:pPr>
      <w:r w:rsidRPr="00134A64">
        <w:t>Stimulus A provided scope to explore how online platforms have altered the use of informal language and spontaneous speech interactions that now exist in both written and spoken modes. This include</w:t>
      </w:r>
      <w:r w:rsidR="008B36F5">
        <w:t>d</w:t>
      </w:r>
      <w:r w:rsidRPr="00134A64">
        <w:t xml:space="preserve"> the rise of informality in settings that previously prescribed formality as a norm. Online language trends spread at lightning speed, ‘making more common’</w:t>
      </w:r>
      <w:r w:rsidR="00C84D94">
        <w:t xml:space="preserve"> the inclusion</w:t>
      </w:r>
      <w:r w:rsidR="009D7AF6">
        <w:t xml:space="preserve"> of</w:t>
      </w:r>
      <w:r w:rsidRPr="00134A64">
        <w:t xml:space="preserve"> transient slang terms into everyday vernacular</w:t>
      </w:r>
      <w:r w:rsidR="00776868">
        <w:t xml:space="preserve">, </w:t>
      </w:r>
      <w:r w:rsidRPr="00134A64">
        <w:t>including those arising out of the myriad online subcultures, each with their own linguistic norms.</w:t>
      </w:r>
    </w:p>
    <w:p w14:paraId="6CA2EB46" w14:textId="46D45686" w:rsidR="009B786D" w:rsidRDefault="009B786D" w:rsidP="003F3169">
      <w:pPr>
        <w:pStyle w:val="Bullet"/>
      </w:pPr>
      <w:r w:rsidRPr="00134A64">
        <w:t>Stimulus B</w:t>
      </w:r>
      <w:r w:rsidR="009D2DD9">
        <w:t xml:space="preserve"> contain</w:t>
      </w:r>
      <w:r w:rsidR="008B36F5">
        <w:t>ed</w:t>
      </w:r>
      <w:r w:rsidR="009D2DD9">
        <w:t xml:space="preserve"> </w:t>
      </w:r>
      <w:r w:rsidR="00935B44">
        <w:t>specific</w:t>
      </w:r>
      <w:r w:rsidR="009D2DD9">
        <w:t xml:space="preserve"> examples of neologised terms that have been named </w:t>
      </w:r>
      <w:r w:rsidR="00493174">
        <w:t>‘</w:t>
      </w:r>
      <w:r w:rsidR="009D2DD9">
        <w:t>Oxford Word of the Year’ recently, with some terms encapsulating social change arising out of technology (</w:t>
      </w:r>
      <w:r w:rsidR="008B36F5">
        <w:t>‘</w:t>
      </w:r>
      <w:r w:rsidR="009D2DD9">
        <w:t>brain rot</w:t>
      </w:r>
      <w:r w:rsidR="008B36F5">
        <w:t>’</w:t>
      </w:r>
      <w:r w:rsidR="00493174">
        <w:t xml:space="preserve"> and </w:t>
      </w:r>
      <w:r w:rsidR="008B36F5">
        <w:t>‘</w:t>
      </w:r>
      <w:r w:rsidR="009D2DD9">
        <w:t>goblin mode</w:t>
      </w:r>
      <w:r w:rsidR="008B36F5">
        <w:t>’</w:t>
      </w:r>
      <w:r w:rsidR="009D2DD9">
        <w:t>). Higher</w:t>
      </w:r>
      <w:r w:rsidR="008B36F5">
        <w:t>-</w:t>
      </w:r>
      <w:r w:rsidR="009D2DD9">
        <w:t>scoring responses explore</w:t>
      </w:r>
      <w:r w:rsidR="00D6296C">
        <w:t xml:space="preserve">d </w:t>
      </w:r>
      <w:r w:rsidR="009D2DD9">
        <w:t xml:space="preserve">the irony behind ‘goblin mode’ influencing social norms, given that </w:t>
      </w:r>
      <w:r w:rsidR="00273BD2">
        <w:t xml:space="preserve">the term’s denotation </w:t>
      </w:r>
      <w:r w:rsidR="00273BD2" w:rsidRPr="00BE380B">
        <w:t>refers</w:t>
      </w:r>
      <w:r w:rsidR="00273BD2">
        <w:t xml:space="preserve"> to </w:t>
      </w:r>
      <w:r w:rsidR="009D2DD9">
        <w:t xml:space="preserve">behaviours that </w:t>
      </w:r>
      <w:r w:rsidR="009D2DD9" w:rsidRPr="00BE380B">
        <w:t>reject</w:t>
      </w:r>
      <w:r w:rsidR="009D2DD9">
        <w:t xml:space="preserve"> </w:t>
      </w:r>
      <w:r w:rsidR="00D211FD">
        <w:t xml:space="preserve">some of </w:t>
      </w:r>
      <w:r w:rsidR="004D144E">
        <w:t>them</w:t>
      </w:r>
      <w:r w:rsidR="009D2DD9">
        <w:t>.</w:t>
      </w:r>
      <w:r w:rsidR="00444D60">
        <w:t xml:space="preserve"> Stimulus B also allow</w:t>
      </w:r>
      <w:r w:rsidR="008B36F5">
        <w:t>ed</w:t>
      </w:r>
      <w:r w:rsidR="00444D60">
        <w:t xml:space="preserve"> for the exploration of codification as a reflection of social change in public usage, and the role of the dictionary in reflecting changing language standards in contemporary society.</w:t>
      </w:r>
    </w:p>
    <w:p w14:paraId="1A145491" w14:textId="75E2E035" w:rsidR="009B786D" w:rsidRDefault="00371D21" w:rsidP="003F3169">
      <w:pPr>
        <w:pStyle w:val="Bullet"/>
      </w:pPr>
      <w:r>
        <w:t xml:space="preserve">Many of the responses that referred to </w:t>
      </w:r>
      <w:r w:rsidR="004D15C4">
        <w:t>s</w:t>
      </w:r>
      <w:r>
        <w:t>timulus C explored the impact</w:t>
      </w:r>
      <w:r w:rsidR="008B36F5">
        <w:t xml:space="preserve"> that</w:t>
      </w:r>
      <w:r>
        <w:t xml:space="preserve"> generative </w:t>
      </w:r>
      <w:r w:rsidR="008B36F5">
        <w:t>AI</w:t>
      </w:r>
      <w:r>
        <w:t xml:space="preserve"> engines have had on language use, particularly in terms of the </w:t>
      </w:r>
      <w:r w:rsidR="008B36F5">
        <w:t>‘</w:t>
      </w:r>
      <w:r>
        <w:t>generic and vague</w:t>
      </w:r>
      <w:r w:rsidR="008B36F5">
        <w:t>’</w:t>
      </w:r>
      <w:r>
        <w:t xml:space="preserve"> language arising </w:t>
      </w:r>
      <w:r w:rsidR="008B36F5">
        <w:t>from</w:t>
      </w:r>
      <w:r>
        <w:t xml:space="preserve"> its use. Higher</w:t>
      </w:r>
      <w:r w:rsidR="008B36F5">
        <w:t>-</w:t>
      </w:r>
      <w:r>
        <w:t>scoring responses not only explored the bland and lifeless language created by tools such as ChatGPT, but also the effect AI-created language is having on reinforcing</w:t>
      </w:r>
      <w:r w:rsidR="00850A4D">
        <w:t xml:space="preserve"> standards and norms</w:t>
      </w:r>
      <w:r>
        <w:t xml:space="preserve">, </w:t>
      </w:r>
      <w:r w:rsidR="00850A4D">
        <w:t xml:space="preserve">as seen in </w:t>
      </w:r>
      <w:r w:rsidR="008B36F5">
        <w:t>higher usage</w:t>
      </w:r>
      <w:r w:rsidR="00850A4D">
        <w:t xml:space="preserve"> of </w:t>
      </w:r>
      <w:r w:rsidR="008B36F5">
        <w:t xml:space="preserve">US </w:t>
      </w:r>
      <w:r w:rsidR="00850A4D">
        <w:t>spelling by Australians</w:t>
      </w:r>
      <w:r>
        <w:t xml:space="preserve"> and </w:t>
      </w:r>
      <w:r w:rsidR="00850A4D">
        <w:t xml:space="preserve">the </w:t>
      </w:r>
      <w:r w:rsidR="00880DE6">
        <w:t>increased use of previously rare</w:t>
      </w:r>
      <w:r w:rsidR="00850A4D">
        <w:t xml:space="preserve"> p</w:t>
      </w:r>
      <w:r>
        <w:t xml:space="preserve">unctuation, such as the </w:t>
      </w:r>
      <w:proofErr w:type="spellStart"/>
      <w:r>
        <w:t>em</w:t>
      </w:r>
      <w:proofErr w:type="spellEnd"/>
      <w:r>
        <w:t>-dash.</w:t>
      </w:r>
    </w:p>
    <w:p w14:paraId="3407BD98" w14:textId="1BC05714" w:rsidR="00F579BA" w:rsidRDefault="001124B6" w:rsidP="003F3169">
      <w:pPr>
        <w:pStyle w:val="Bullet"/>
      </w:pPr>
      <w:r>
        <w:t xml:space="preserve">Stimulus D was </w:t>
      </w:r>
      <w:r w:rsidR="004D15C4">
        <w:t xml:space="preserve">frequently </w:t>
      </w:r>
      <w:r>
        <w:t xml:space="preserve">integrated into responses that addressed the language norms arising out of platforms such as TikTok, where linguistic norms are often tied to subcultures and groups created and </w:t>
      </w:r>
      <w:r w:rsidR="006842F3">
        <w:t>reinforced</w:t>
      </w:r>
      <w:r>
        <w:t xml:space="preserve"> through social media. Also explored was the increasing ‘universality’ of slang terms, no longer bound by </w:t>
      </w:r>
      <w:r w:rsidR="00907ADE">
        <w:t>geography</w:t>
      </w:r>
      <w:r>
        <w:t xml:space="preserve"> and spreading with lightning speed. Some responses addressed stimulus </w:t>
      </w:r>
      <w:r w:rsidR="00493174">
        <w:t xml:space="preserve">D </w:t>
      </w:r>
      <w:r>
        <w:t xml:space="preserve">alongside </w:t>
      </w:r>
      <w:r w:rsidR="004D15C4">
        <w:t>s</w:t>
      </w:r>
      <w:r>
        <w:t>timulus B,</w:t>
      </w:r>
      <w:r w:rsidR="00B62A93">
        <w:t xml:space="preserve"> considering</w:t>
      </w:r>
      <w:r>
        <w:t xml:space="preserve"> </w:t>
      </w:r>
      <w:r w:rsidR="00B62A93">
        <w:t xml:space="preserve">how the </w:t>
      </w:r>
      <w:r>
        <w:t xml:space="preserve">increasing codification of slang terms </w:t>
      </w:r>
      <w:r w:rsidR="00B01755">
        <w:t xml:space="preserve">arising </w:t>
      </w:r>
      <w:r w:rsidR="004D15C4">
        <w:t>from</w:t>
      </w:r>
      <w:r w:rsidR="00B01755">
        <w:t xml:space="preserve"> social media have</w:t>
      </w:r>
      <w:r>
        <w:t xml:space="preserve"> gained notoriety</w:t>
      </w:r>
      <w:r w:rsidR="00B01755">
        <w:t xml:space="preserve"> and longevity, having</w:t>
      </w:r>
      <w:r w:rsidR="00B62A93">
        <w:t xml:space="preserve"> an impact on covert and overt norms.</w:t>
      </w:r>
    </w:p>
    <w:p w14:paraId="0EDAA168" w14:textId="77777777" w:rsidR="000C0D5B" w:rsidRDefault="000C0D5B" w:rsidP="00D63201">
      <w:pPr>
        <w:pStyle w:val="BodyText"/>
      </w:pPr>
      <w:r>
        <w:br w:type="page"/>
      </w:r>
    </w:p>
    <w:p w14:paraId="3ECC89E1" w14:textId="621A15F7" w:rsidR="00426472" w:rsidRPr="00F579BA" w:rsidRDefault="00426472" w:rsidP="003F3169">
      <w:pPr>
        <w:pStyle w:val="BodyText"/>
      </w:pPr>
      <w:r w:rsidRPr="00F579BA">
        <w:lastRenderedPageBreak/>
        <w:t xml:space="preserve">Relevant key knowledge and </w:t>
      </w:r>
      <w:r w:rsidR="00D33B89">
        <w:t>concept</w:t>
      </w:r>
      <w:r w:rsidRPr="00F579BA">
        <w:t>s from the study design:</w:t>
      </w:r>
    </w:p>
    <w:p w14:paraId="1B8D080F" w14:textId="77777777" w:rsidR="00426472" w:rsidRDefault="00426472" w:rsidP="003F3169">
      <w:pPr>
        <w:pStyle w:val="Bullet"/>
      </w:pPr>
      <w:r w:rsidRPr="00426472">
        <w:t xml:space="preserve">how </w:t>
      </w:r>
      <w:r w:rsidRPr="002C520B">
        <w:t>English</w:t>
      </w:r>
      <w:r w:rsidRPr="00426472">
        <w:t xml:space="preserve"> in Australian society is influenced by global contact and modern technologies</w:t>
      </w:r>
    </w:p>
    <w:p w14:paraId="2B6F18C2" w14:textId="77777777" w:rsidR="00426472" w:rsidRDefault="00426472" w:rsidP="003F3169">
      <w:pPr>
        <w:pStyle w:val="Bullet"/>
      </w:pPr>
      <w:r w:rsidRPr="00426472">
        <w:t>the ways in which the language of individuals and the language of groups is shaped by social expectations and community attitudes</w:t>
      </w:r>
    </w:p>
    <w:p w14:paraId="4B976F5D" w14:textId="77777777" w:rsidR="00426472" w:rsidRDefault="00426472" w:rsidP="003F3169">
      <w:pPr>
        <w:pStyle w:val="Bullet"/>
      </w:pPr>
      <w:r w:rsidRPr="00426472">
        <w:t xml:space="preserve">major functions that language serves when used </w:t>
      </w:r>
      <w:proofErr w:type="gramStart"/>
      <w:r w:rsidRPr="00426472">
        <w:t>in a given</w:t>
      </w:r>
      <w:proofErr w:type="gramEnd"/>
      <w:r w:rsidRPr="00426472">
        <w:t xml:space="preserve"> context</w:t>
      </w:r>
    </w:p>
    <w:p w14:paraId="712D56DA" w14:textId="77777777" w:rsidR="00426472" w:rsidRDefault="00426472" w:rsidP="003F3169">
      <w:pPr>
        <w:pStyle w:val="Bullet"/>
      </w:pPr>
      <w:r w:rsidRPr="00426472">
        <w:t>the influence of register, tenor and audience in informal texts</w:t>
      </w:r>
    </w:p>
    <w:p w14:paraId="311DE14D" w14:textId="77777777" w:rsidR="00426472" w:rsidRDefault="00426472" w:rsidP="003F3169">
      <w:pPr>
        <w:pStyle w:val="Bullet"/>
      </w:pPr>
      <w:r w:rsidRPr="00426472">
        <w:t>the features of informal writing and informal speech as represented in a range of texts</w:t>
      </w:r>
    </w:p>
    <w:p w14:paraId="765C345B" w14:textId="77777777" w:rsidR="00426472" w:rsidRDefault="00426472" w:rsidP="003F3169">
      <w:pPr>
        <w:pStyle w:val="Bullet"/>
      </w:pPr>
      <w:r w:rsidRPr="00426472">
        <w:t>the relationship between context and features of language in informal texts</w:t>
      </w:r>
    </w:p>
    <w:p w14:paraId="4C71474B" w14:textId="77777777" w:rsidR="00426472" w:rsidRDefault="00426472" w:rsidP="003F3169">
      <w:pPr>
        <w:pStyle w:val="Bullet"/>
      </w:pPr>
      <w:r w:rsidRPr="00426472">
        <w:t>features of spoken discourse in creating informal texts</w:t>
      </w:r>
    </w:p>
    <w:p w14:paraId="0B6D2408" w14:textId="77777777" w:rsidR="00426472" w:rsidRDefault="00426472" w:rsidP="003F3169">
      <w:pPr>
        <w:pStyle w:val="Bullet"/>
      </w:pPr>
      <w:r w:rsidRPr="00426472">
        <w:t>the relationship between context and features of language in formal texts</w:t>
      </w:r>
    </w:p>
    <w:p w14:paraId="7C47659F" w14:textId="13F492CF" w:rsidR="00E00B47" w:rsidRDefault="00426472" w:rsidP="003F3169">
      <w:pPr>
        <w:pStyle w:val="Bullet"/>
      </w:pPr>
      <w:r w:rsidRPr="00426472">
        <w:t>the role of language in conveying a perceived national identity</w:t>
      </w:r>
      <w:r w:rsidR="004D15C4">
        <w:t>.</w:t>
      </w:r>
    </w:p>
    <w:p w14:paraId="6A7F9184" w14:textId="3CD95DA0" w:rsidR="00426472" w:rsidRPr="00426472" w:rsidRDefault="00BB6DBE" w:rsidP="000C7ACC">
      <w:pPr>
        <w:pStyle w:val="BodyText"/>
      </w:pPr>
      <w:r w:rsidRPr="000C7ACC">
        <w:t xml:space="preserve">The following body paragraph was the second paragraph in a high-scoring response. </w:t>
      </w:r>
      <w:proofErr w:type="gramStart"/>
      <w:r w:rsidRPr="000C7ACC">
        <w:t>For the purpose of</w:t>
      </w:r>
      <w:proofErr w:type="gramEnd"/>
      <w:r w:rsidRPr="000C7ACC">
        <w:t xml:space="preserve"> annotation, the paragraph has been broken into sections.</w:t>
      </w:r>
    </w:p>
    <w:tbl>
      <w:tblPr>
        <w:tblStyle w:val="TableGrid"/>
        <w:tblW w:w="0" w:type="auto"/>
        <w:tblInd w:w="720" w:type="dxa"/>
        <w:tblLook w:val="04A0" w:firstRow="1" w:lastRow="0" w:firstColumn="1" w:lastColumn="0" w:noHBand="0" w:noVBand="1"/>
      </w:tblPr>
      <w:tblGrid>
        <w:gridCol w:w="5512"/>
        <w:gridCol w:w="3397"/>
      </w:tblGrid>
      <w:tr w:rsidR="00E00B47" w:rsidRPr="00D01329" w14:paraId="3ED5EBED" w14:textId="77777777" w:rsidTr="00242C29">
        <w:tc>
          <w:tcPr>
            <w:tcW w:w="5512" w:type="dxa"/>
            <w:tcBorders>
              <w:bottom w:val="single" w:sz="4" w:space="0" w:color="auto"/>
            </w:tcBorders>
          </w:tcPr>
          <w:p w14:paraId="2189AC75" w14:textId="77777777" w:rsidR="00E00B47" w:rsidRPr="00C25F6E" w:rsidRDefault="00E00B47" w:rsidP="00074015">
            <w:pPr>
              <w:pStyle w:val="Tableheading"/>
              <w:rPr>
                <w:i/>
              </w:rPr>
            </w:pPr>
            <w:r w:rsidRPr="00C25F6E">
              <w:t>Student sample</w:t>
            </w:r>
          </w:p>
        </w:tc>
        <w:tc>
          <w:tcPr>
            <w:tcW w:w="3397" w:type="dxa"/>
            <w:tcBorders>
              <w:bottom w:val="single" w:sz="4" w:space="0" w:color="auto"/>
            </w:tcBorders>
          </w:tcPr>
          <w:p w14:paraId="39A9B6C8" w14:textId="77777777" w:rsidR="00E00B47" w:rsidRPr="00C25F6E" w:rsidRDefault="00E00B47" w:rsidP="00074015">
            <w:pPr>
              <w:pStyle w:val="Tableheading"/>
              <w:rPr>
                <w:i/>
              </w:rPr>
            </w:pPr>
            <w:r w:rsidRPr="00C25F6E">
              <w:t>Annotations</w:t>
            </w:r>
          </w:p>
        </w:tc>
      </w:tr>
      <w:tr w:rsidR="00E00B47" w14:paraId="7427EB39" w14:textId="77777777" w:rsidTr="00242C29">
        <w:tc>
          <w:tcPr>
            <w:tcW w:w="5512" w:type="dxa"/>
            <w:tcBorders>
              <w:top w:val="nil"/>
              <w:bottom w:val="nil"/>
            </w:tcBorders>
          </w:tcPr>
          <w:p w14:paraId="23CD6DE0" w14:textId="6801203A" w:rsidR="00E00B47" w:rsidRPr="006E1A67" w:rsidRDefault="006E1A67" w:rsidP="000003F7">
            <w:pPr>
              <w:pStyle w:val="Studentresponse"/>
            </w:pPr>
            <w:r>
              <w:t>The continuous growth of technology has influenced the norms behind the coining of new terms. This is seen in 2024 with the winner of the Oxford Word of the year being “</w:t>
            </w:r>
            <w:proofErr w:type="spellStart"/>
            <w:r>
              <w:t>brainrot</w:t>
            </w:r>
            <w:proofErr w:type="spellEnd"/>
            <w:r>
              <w:t xml:space="preserve">” (Stimulus B). This term represents the idea of people’s thoughts being influenced by digital media in a negative fashion. </w:t>
            </w:r>
          </w:p>
        </w:tc>
        <w:tc>
          <w:tcPr>
            <w:tcW w:w="3397" w:type="dxa"/>
            <w:tcBorders>
              <w:top w:val="nil"/>
              <w:bottom w:val="nil"/>
            </w:tcBorders>
          </w:tcPr>
          <w:p w14:paraId="1AFCED4A" w14:textId="618C3848" w:rsidR="00E00B47" w:rsidRPr="00042640" w:rsidRDefault="00242C29" w:rsidP="006E6207">
            <w:pPr>
              <w:pStyle w:val="BodyText"/>
              <w:rPr>
                <w:i/>
                <w:highlight w:val="lightGray"/>
              </w:rPr>
            </w:pPr>
            <w:r>
              <w:rPr>
                <w:bCs/>
                <w:iCs/>
              </w:rPr>
              <w:t xml:space="preserve">Directly addressed the stimulus early. </w:t>
            </w:r>
          </w:p>
        </w:tc>
      </w:tr>
      <w:tr w:rsidR="00EC2313" w14:paraId="5473378A" w14:textId="77777777" w:rsidTr="001724EB">
        <w:tc>
          <w:tcPr>
            <w:tcW w:w="5512" w:type="dxa"/>
            <w:tcBorders>
              <w:top w:val="nil"/>
              <w:bottom w:val="nil"/>
            </w:tcBorders>
          </w:tcPr>
          <w:p w14:paraId="77C24702" w14:textId="5095E725" w:rsidR="00EC2313" w:rsidRDefault="00242C29" w:rsidP="000003F7">
            <w:pPr>
              <w:pStyle w:val="Studentresponse"/>
            </w:pPr>
            <w:r>
              <w:t xml:space="preserve">This newly coined term demonstrates society’s increasing tendency to create neologisms based on new activities and habits of the internet that otherwise had not previously existed. </w:t>
            </w:r>
            <w:proofErr w:type="gramStart"/>
            <w:r>
              <w:t>Thus</w:t>
            </w:r>
            <w:proofErr w:type="gramEnd"/>
            <w:r>
              <w:t xml:space="preserve"> the rise of digital activity has influenced the norms behind slang, especially as its spread is now “more universal than it was in pre-social media days” (Stimulus D) due to the rise of social media.</w:t>
            </w:r>
          </w:p>
        </w:tc>
        <w:tc>
          <w:tcPr>
            <w:tcW w:w="3397" w:type="dxa"/>
            <w:tcBorders>
              <w:top w:val="nil"/>
              <w:bottom w:val="nil"/>
            </w:tcBorders>
          </w:tcPr>
          <w:p w14:paraId="732B0532" w14:textId="13E98DE1" w:rsidR="00242C29" w:rsidRPr="00242C29" w:rsidRDefault="00242C29" w:rsidP="006E6207">
            <w:pPr>
              <w:pStyle w:val="BodyText"/>
              <w:rPr>
                <w:bCs/>
                <w:iCs/>
              </w:rPr>
            </w:pPr>
            <w:r>
              <w:rPr>
                <w:bCs/>
                <w:iCs/>
              </w:rPr>
              <w:t>Relevant metalanguage used to refer to the terms from the stimulus. By combining this example with elements of stimulus D, this response show</w:t>
            </w:r>
            <w:r w:rsidR="007108A6">
              <w:rPr>
                <w:bCs/>
                <w:iCs/>
              </w:rPr>
              <w:t>ed</w:t>
            </w:r>
            <w:r>
              <w:rPr>
                <w:bCs/>
                <w:iCs/>
              </w:rPr>
              <w:t xml:space="preserve"> an understanding that digital activity ha</w:t>
            </w:r>
            <w:r w:rsidR="007108A6">
              <w:rPr>
                <w:bCs/>
                <w:iCs/>
              </w:rPr>
              <w:t>d</w:t>
            </w:r>
            <w:r>
              <w:rPr>
                <w:bCs/>
                <w:iCs/>
              </w:rPr>
              <w:t xml:space="preserve"> played a role in shaping norms. </w:t>
            </w:r>
          </w:p>
        </w:tc>
      </w:tr>
      <w:tr w:rsidR="00242C29" w14:paraId="153DB60D" w14:textId="77777777" w:rsidTr="001724EB">
        <w:tc>
          <w:tcPr>
            <w:tcW w:w="5512" w:type="dxa"/>
            <w:tcBorders>
              <w:top w:val="nil"/>
              <w:bottom w:val="single" w:sz="4" w:space="0" w:color="auto"/>
            </w:tcBorders>
          </w:tcPr>
          <w:p w14:paraId="4A66DF16" w14:textId="121E042B" w:rsidR="00242C29" w:rsidRDefault="00242C29" w:rsidP="000003F7">
            <w:pPr>
              <w:pStyle w:val="Studentresponse"/>
            </w:pPr>
            <w:r>
              <w:t>Furthermore, neologisms based on neologisms has also become a language norm. This is seen in October when the Australian Federal Police Chief used the neologism “</w:t>
            </w:r>
            <w:proofErr w:type="spellStart"/>
            <w:r>
              <w:t>crimefluencer</w:t>
            </w:r>
            <w:proofErr w:type="spellEnd"/>
            <w:r>
              <w:t>” which is a blending of the nouns “crime” and “influencer”. The term “influencer” is a relatively new term that was coined with the rise of online celebrities. This AFP Chief was using a relatively familiar term with a clearly defined meaning of a digital persona that influences to create a new term that embodies a different concept – that being a person who encourages crime via digital communication.</w:t>
            </w:r>
          </w:p>
        </w:tc>
        <w:tc>
          <w:tcPr>
            <w:tcW w:w="3397" w:type="dxa"/>
            <w:tcBorders>
              <w:top w:val="nil"/>
              <w:bottom w:val="single" w:sz="4" w:space="0" w:color="auto"/>
            </w:tcBorders>
          </w:tcPr>
          <w:p w14:paraId="67893185" w14:textId="3F1A4756" w:rsidR="00242C29" w:rsidRPr="00042640" w:rsidRDefault="00242C29" w:rsidP="006E6207">
            <w:pPr>
              <w:pStyle w:val="BodyText"/>
              <w:rPr>
                <w:i/>
                <w:highlight w:val="lightGray"/>
              </w:rPr>
            </w:pPr>
            <w:r>
              <w:rPr>
                <w:bCs/>
                <w:iCs/>
              </w:rPr>
              <w:t>An interesting complementary example to include, implicitly addressing the speed at which new terms ente</w:t>
            </w:r>
            <w:r w:rsidRPr="007108A6">
              <w:rPr>
                <w:bCs/>
                <w:iCs/>
              </w:rPr>
              <w:t>r</w:t>
            </w:r>
            <w:r w:rsidR="007108A6">
              <w:rPr>
                <w:bCs/>
                <w:iCs/>
              </w:rPr>
              <w:t>ed</w:t>
            </w:r>
            <w:r>
              <w:rPr>
                <w:bCs/>
                <w:iCs/>
              </w:rPr>
              <w:t xml:space="preserve"> the lexicon. This </w:t>
            </w:r>
            <w:r w:rsidR="004D15C4">
              <w:rPr>
                <w:bCs/>
                <w:iCs/>
              </w:rPr>
              <w:t>wa</w:t>
            </w:r>
            <w:r>
              <w:rPr>
                <w:bCs/>
                <w:iCs/>
              </w:rPr>
              <w:t>s then linked to some elements of social change</w:t>
            </w:r>
            <w:r w:rsidR="00BE380B">
              <w:rPr>
                <w:bCs/>
                <w:iCs/>
              </w:rPr>
              <w:t>.</w:t>
            </w:r>
          </w:p>
        </w:tc>
      </w:tr>
    </w:tbl>
    <w:p w14:paraId="383B713B" w14:textId="77777777" w:rsidR="003E5D74" w:rsidRPr="00D63201" w:rsidRDefault="003E5D74" w:rsidP="00D63201">
      <w:pPr>
        <w:pStyle w:val="BodyText"/>
      </w:pPr>
      <w:r w:rsidRPr="00D63201">
        <w:br w:type="page"/>
      </w:r>
    </w:p>
    <w:p w14:paraId="1AC8F0DC" w14:textId="662518F6" w:rsidR="00945034" w:rsidRPr="00515D1A" w:rsidRDefault="00945034" w:rsidP="0088613A">
      <w:pPr>
        <w:pStyle w:val="Heading3"/>
      </w:pPr>
      <w:r w:rsidRPr="00515D1A">
        <w:lastRenderedPageBreak/>
        <w:t xml:space="preserve">Question </w:t>
      </w:r>
      <w:r>
        <w:t>8</w:t>
      </w:r>
    </w:p>
    <w:p w14:paraId="29CCE3B7" w14:textId="01F49B60" w:rsidR="00945034" w:rsidRDefault="00FA05D1" w:rsidP="0088613A">
      <w:pPr>
        <w:pStyle w:val="BodyText"/>
      </w:pPr>
      <w:r>
        <w:t>Question 8 required an examination of how non-S</w:t>
      </w:r>
      <w:r w:rsidR="004D15C4">
        <w:t xml:space="preserve">tandard </w:t>
      </w:r>
      <w:r>
        <w:t>A</w:t>
      </w:r>
      <w:r w:rsidR="004D15C4">
        <w:t xml:space="preserve">ustralian </w:t>
      </w:r>
      <w:r>
        <w:t>E</w:t>
      </w:r>
      <w:r w:rsidR="004D15C4">
        <w:t>nglish (non-SAE)</w:t>
      </w:r>
      <w:r>
        <w:t xml:space="preserve"> varieties of </w:t>
      </w:r>
      <w:r w:rsidRPr="0051302C">
        <w:t>Australian English</w:t>
      </w:r>
      <w:r>
        <w:t xml:space="preserve"> </w:t>
      </w:r>
      <w:r w:rsidRPr="00FA05D1">
        <w:t xml:space="preserve">function as a resource for constructing identity in public contexts, then </w:t>
      </w:r>
      <w:r>
        <w:t>an evaluation of</w:t>
      </w:r>
      <w:r w:rsidRPr="00FA05D1">
        <w:t xml:space="preserve"> the extent of its impact rather than simply assuming it is always effective. </w:t>
      </w:r>
      <w:r>
        <w:t>Many responses analysed how non-SAE</w:t>
      </w:r>
      <w:r w:rsidRPr="00FA05D1">
        <w:t xml:space="preserve"> </w:t>
      </w:r>
      <w:r w:rsidR="00893E1A">
        <w:t>language features</w:t>
      </w:r>
      <w:r>
        <w:t xml:space="preserve"> </w:t>
      </w:r>
      <w:r w:rsidRPr="00BC12D1">
        <w:t>highlight</w:t>
      </w:r>
      <w:r w:rsidR="00BC12D1">
        <w:t>ed</w:t>
      </w:r>
      <w:r>
        <w:t xml:space="preserve"> or </w:t>
      </w:r>
      <w:r w:rsidRPr="00BC12D1">
        <w:t>reinforce</w:t>
      </w:r>
      <w:r w:rsidR="00BC12D1">
        <w:t>d</w:t>
      </w:r>
      <w:r>
        <w:t xml:space="preserve"> </w:t>
      </w:r>
      <w:proofErr w:type="gramStart"/>
      <w:r w:rsidRPr="00FA05D1">
        <w:t>particular identities</w:t>
      </w:r>
      <w:proofErr w:type="gramEnd"/>
      <w:r w:rsidRPr="00FA05D1">
        <w:t xml:space="preserve">, whether individual, </w:t>
      </w:r>
      <w:r>
        <w:t>social, cultural or national</w:t>
      </w:r>
      <w:r w:rsidRPr="00FA05D1">
        <w:t xml:space="preserve">. </w:t>
      </w:r>
      <w:r>
        <w:t xml:space="preserve">This question also allowed consideration of </w:t>
      </w:r>
      <w:r w:rsidRPr="00FA05D1">
        <w:t xml:space="preserve">how these identities </w:t>
      </w:r>
      <w:r w:rsidR="00BC12D1">
        <w:t>we</w:t>
      </w:r>
      <w:r w:rsidRPr="00BC12D1">
        <w:t>re</w:t>
      </w:r>
      <w:r w:rsidRPr="00FA05D1">
        <w:t xml:space="preserve"> taken up, negotiated or resisted in the public domain, such as</w:t>
      </w:r>
      <w:r>
        <w:t xml:space="preserve"> in</w:t>
      </w:r>
      <w:r w:rsidRPr="00FA05D1">
        <w:t xml:space="preserve"> politics, </w:t>
      </w:r>
      <w:r>
        <w:t>reportage</w:t>
      </w:r>
      <w:r w:rsidRPr="00FA05D1">
        <w:t xml:space="preserve">, </w:t>
      </w:r>
      <w:r>
        <w:t>bureaucracy or the law</w:t>
      </w:r>
      <w:r w:rsidRPr="00FA05D1">
        <w:t>.</w:t>
      </w:r>
      <w:r>
        <w:t xml:space="preserve"> Higher</w:t>
      </w:r>
      <w:r w:rsidR="004D15C4">
        <w:t>-</w:t>
      </w:r>
      <w:r>
        <w:t xml:space="preserve">scoring responses also weighed in on contexts where varieties that </w:t>
      </w:r>
      <w:r w:rsidRPr="00BC12D1">
        <w:t>deviate</w:t>
      </w:r>
      <w:r w:rsidR="00BC12D1">
        <w:t>d</w:t>
      </w:r>
      <w:r>
        <w:t xml:space="preserve"> from the standard </w:t>
      </w:r>
      <w:r w:rsidRPr="00BC12D1">
        <w:t>strengthen</w:t>
      </w:r>
      <w:r w:rsidR="00BC12D1">
        <w:t>ed</w:t>
      </w:r>
      <w:r w:rsidRPr="00FA05D1">
        <w:t xml:space="preserve"> identity construction </w:t>
      </w:r>
      <w:r>
        <w:t xml:space="preserve">and contrasted them with </w:t>
      </w:r>
      <w:r w:rsidRPr="00FA05D1">
        <w:t>those where they may be constrained</w:t>
      </w:r>
      <w:r>
        <w:t xml:space="preserve"> or</w:t>
      </w:r>
      <w:r w:rsidRPr="00FA05D1">
        <w:t xml:space="preserve"> suppressed by expectations of </w:t>
      </w:r>
      <w:r w:rsidR="004D15C4">
        <w:t>SAE</w:t>
      </w:r>
      <w:r w:rsidRPr="00FA05D1">
        <w:t xml:space="preserve"> in public communication.</w:t>
      </w:r>
    </w:p>
    <w:p w14:paraId="3E05634A" w14:textId="4F1A1654" w:rsidR="00634B85" w:rsidRPr="00634B85" w:rsidRDefault="0093582D" w:rsidP="0088613A">
      <w:pPr>
        <w:pStyle w:val="BodyText"/>
      </w:pPr>
      <w:r w:rsidRPr="0093582D">
        <w:t>Responses to this question did not always demonstrate a clear understanding of what constituted non-standard varieties of English, with</w:t>
      </w:r>
      <w:r>
        <w:t xml:space="preserve"> discussions of g</w:t>
      </w:r>
      <w:r w:rsidRPr="0093582D">
        <w:t xml:space="preserve">eneral informality rather than features that sit outside </w:t>
      </w:r>
      <w:r w:rsidR="004D15C4" w:rsidRPr="0051302C">
        <w:t>SAE</w:t>
      </w:r>
      <w:r w:rsidRPr="0093582D">
        <w:t>.</w:t>
      </w:r>
      <w:r>
        <w:t xml:space="preserve"> </w:t>
      </w:r>
      <w:r w:rsidRPr="0093582D">
        <w:t xml:space="preserve">Likewise, many responses </w:t>
      </w:r>
      <w:r w:rsidR="004D15C4">
        <w:t>needed to show</w:t>
      </w:r>
      <w:r w:rsidRPr="0093582D">
        <w:t xml:space="preserve"> a clearer distinction between constructing an identity and merely reflecting one. Constructing identity involves the deliberate or strategic use of linguistic features to project a particular persona or </w:t>
      </w:r>
      <w:r w:rsidR="00DF383C">
        <w:t>affiliation</w:t>
      </w:r>
      <w:r w:rsidRPr="0093582D">
        <w:t xml:space="preserve">, whereas reflecting identity simply mirrors traits or backgrounds that are already socially attributed to the speaker. Without this distinction, </w:t>
      </w:r>
      <w:r>
        <w:t>responses</w:t>
      </w:r>
      <w:r w:rsidRPr="0093582D">
        <w:t xml:space="preserve"> often defaulted to description rather than analysis of how language actively shapes identity in the public domain.</w:t>
      </w:r>
    </w:p>
    <w:p w14:paraId="6FBEE180" w14:textId="3FBA47F6" w:rsidR="00634B85" w:rsidRPr="00634B85" w:rsidRDefault="0040075C" w:rsidP="0088613A">
      <w:pPr>
        <w:pStyle w:val="BodyText"/>
      </w:pPr>
      <w:r w:rsidRPr="0040075C">
        <w:t xml:space="preserve">Most </w:t>
      </w:r>
      <w:r w:rsidR="004D6418">
        <w:t>responses</w:t>
      </w:r>
      <w:r w:rsidR="004D6418" w:rsidRPr="0040075C">
        <w:t xml:space="preserve"> </w:t>
      </w:r>
      <w:r w:rsidRPr="0040075C">
        <w:t xml:space="preserve">recognised and responded to the key directive </w:t>
      </w:r>
      <w:r w:rsidR="004D15C4">
        <w:t>‘</w:t>
      </w:r>
      <w:r w:rsidRPr="0040075C">
        <w:t>To what extent is this true?</w:t>
      </w:r>
      <w:r w:rsidR="004D15C4">
        <w:t>’</w:t>
      </w:r>
      <w:r w:rsidRPr="0040075C">
        <w:t xml:space="preserve">, offering some form of evaluation about how effectively non-standard varieties construct identity in the public domain. </w:t>
      </w:r>
      <w:r w:rsidR="00BC12D1">
        <w:t>Higher-scoring</w:t>
      </w:r>
      <w:r w:rsidR="00BC12D1" w:rsidRPr="0040075C">
        <w:t xml:space="preserve"> </w:t>
      </w:r>
      <w:r w:rsidRPr="0040075C">
        <w:t xml:space="preserve">responses weighed contexts, </w:t>
      </w:r>
      <w:proofErr w:type="gramStart"/>
      <w:r w:rsidRPr="0040075C">
        <w:t>counter-examples</w:t>
      </w:r>
      <w:proofErr w:type="gramEnd"/>
      <w:r w:rsidRPr="0040075C">
        <w:t xml:space="preserve"> and limitations to develop a more qualified argument. However, </w:t>
      </w:r>
      <w:r w:rsidR="004D15C4">
        <w:t>some responses</w:t>
      </w:r>
      <w:r w:rsidRPr="0040075C">
        <w:t xml:space="preserve"> overlooked this evaluative requirement and instead produced an explanatory piece that merely discussed the proposition at face value. The absence of evaluation meant these </w:t>
      </w:r>
      <w:r w:rsidR="004D15C4">
        <w:t>responses</w:t>
      </w:r>
      <w:r w:rsidR="004D15C4" w:rsidRPr="0040075C">
        <w:t xml:space="preserve"> </w:t>
      </w:r>
      <w:r w:rsidRPr="0040075C">
        <w:t>did not fully meet the demands of the prompt.</w:t>
      </w:r>
    </w:p>
    <w:p w14:paraId="4212DA11" w14:textId="686787C0" w:rsidR="00634B85" w:rsidRDefault="00BC12D1" w:rsidP="0088613A">
      <w:pPr>
        <w:pStyle w:val="BodyText"/>
      </w:pPr>
      <w:r>
        <w:t>Most</w:t>
      </w:r>
      <w:r w:rsidR="007B6270">
        <w:t xml:space="preserve"> responses</w:t>
      </w:r>
      <w:r w:rsidR="00634B85" w:rsidRPr="00634B85">
        <w:t xml:space="preserve"> did not confine their discussion to examples of language used in the </w:t>
      </w:r>
      <w:r w:rsidR="004D15C4">
        <w:t>‘</w:t>
      </w:r>
      <w:r w:rsidR="00634B85" w:rsidRPr="00634B85">
        <w:t>public domain</w:t>
      </w:r>
      <w:r w:rsidR="004D15C4">
        <w:t>’</w:t>
      </w:r>
      <w:r w:rsidR="00791ACB">
        <w:t xml:space="preserve"> as directed by the question</w:t>
      </w:r>
      <w:r w:rsidR="00634B85" w:rsidRPr="00634B85">
        <w:t xml:space="preserve">. Some </w:t>
      </w:r>
      <w:r w:rsidR="007B6270">
        <w:t>referred</w:t>
      </w:r>
      <w:r w:rsidR="00634B85" w:rsidRPr="00634B85">
        <w:t xml:space="preserve"> only to the use of language in the private domain</w:t>
      </w:r>
      <w:r w:rsidR="00864503">
        <w:t xml:space="preserve">, such as private conversations </w:t>
      </w:r>
      <w:r w:rsidR="003C43F7">
        <w:t>between</w:t>
      </w:r>
      <w:r w:rsidR="00864503">
        <w:t xml:space="preserve"> friends or family</w:t>
      </w:r>
      <w:r w:rsidR="00634B85" w:rsidRPr="00634B85">
        <w:t>.</w:t>
      </w:r>
      <w:r w:rsidR="00864503">
        <w:t xml:space="preserve"> It is important </w:t>
      </w:r>
      <w:r w:rsidR="007B6270">
        <w:t>to</w:t>
      </w:r>
      <w:r w:rsidR="006F3DD6">
        <w:t xml:space="preserve"> </w:t>
      </w:r>
      <w:r w:rsidR="00864503">
        <w:t xml:space="preserve">read questions carefully, and in full, before constructing </w:t>
      </w:r>
      <w:r w:rsidR="00DF2760">
        <w:t>a</w:t>
      </w:r>
      <w:r w:rsidR="00383CA0">
        <w:t xml:space="preserve"> response. </w:t>
      </w:r>
    </w:p>
    <w:p w14:paraId="269547B2" w14:textId="38384775" w:rsidR="00942D30" w:rsidRDefault="00942D30" w:rsidP="0088613A">
      <w:pPr>
        <w:pStyle w:val="BodyText"/>
      </w:pPr>
      <w:r w:rsidRPr="00FA4EF2">
        <w:t>Possible points for discussion:</w:t>
      </w:r>
    </w:p>
    <w:p w14:paraId="47EC4E35" w14:textId="0FE400CE" w:rsidR="00942D30" w:rsidRDefault="00710D94" w:rsidP="0088613A">
      <w:pPr>
        <w:pStyle w:val="Bullet"/>
      </w:pPr>
      <w:r>
        <w:t>Some</w:t>
      </w:r>
      <w:r w:rsidR="0062336F">
        <w:t xml:space="preserve"> public figures</w:t>
      </w:r>
      <w:r w:rsidR="004D15C4">
        <w:t>,</w:t>
      </w:r>
      <w:r w:rsidR="0062336F">
        <w:t xml:space="preserve"> such as </w:t>
      </w:r>
      <w:r w:rsidR="00942D30" w:rsidRPr="00FA4EF2">
        <w:t xml:space="preserve">politicians, </w:t>
      </w:r>
      <w:r w:rsidR="0062336F">
        <w:t>media personalities</w:t>
      </w:r>
      <w:r w:rsidR="004D15C4">
        <w:t xml:space="preserve"> or</w:t>
      </w:r>
      <w:r w:rsidR="0062336F">
        <w:t xml:space="preserve"> </w:t>
      </w:r>
      <w:r w:rsidR="00942D30" w:rsidRPr="00FA4EF2">
        <w:t>reporters</w:t>
      </w:r>
      <w:r w:rsidR="0062336F">
        <w:t xml:space="preserve">, </w:t>
      </w:r>
      <w:r w:rsidR="00942D30" w:rsidRPr="00FA4EF2">
        <w:t>incorporat</w:t>
      </w:r>
      <w:r w:rsidR="0062336F">
        <w:t>e</w:t>
      </w:r>
      <w:r w:rsidR="00942D30" w:rsidRPr="00FA4EF2">
        <w:t xml:space="preserve"> slang into their language to establish sense of solidarity with certain groups</w:t>
      </w:r>
      <w:r w:rsidR="00585082">
        <w:t xml:space="preserve"> to form a social connection</w:t>
      </w:r>
      <w:r w:rsidR="00942D30" w:rsidRPr="00FA4EF2">
        <w:t>.</w:t>
      </w:r>
      <w:r w:rsidR="00585082">
        <w:t xml:space="preserve"> D</w:t>
      </w:r>
      <w:r w:rsidR="0062336F">
        <w:t>eliberate employment of slang can also reflect more manipulative purposes, such as highlighting</w:t>
      </w:r>
      <w:r w:rsidR="00942D30" w:rsidRPr="00FA4EF2">
        <w:t xml:space="preserve"> who they want to make feel more importa</w:t>
      </w:r>
      <w:r w:rsidR="00BB3B49">
        <w:t>n</w:t>
      </w:r>
      <w:r w:rsidR="00942D30" w:rsidRPr="00FA4EF2">
        <w:t xml:space="preserve">t. </w:t>
      </w:r>
    </w:p>
    <w:p w14:paraId="51E7B564" w14:textId="05290269" w:rsidR="00AC6CA4" w:rsidRDefault="00AC6CA4" w:rsidP="0088613A">
      <w:pPr>
        <w:pStyle w:val="Bullet"/>
      </w:pPr>
      <w:r w:rsidRPr="00AC6CA4">
        <w:t xml:space="preserve">Mainstream media often draw on </w:t>
      </w:r>
      <w:r w:rsidRPr="0051302C">
        <w:t>Australian English</w:t>
      </w:r>
      <w:r w:rsidR="00046815" w:rsidRPr="0051302C">
        <w:t xml:space="preserve"> </w:t>
      </w:r>
      <w:r w:rsidR="00046815">
        <w:t xml:space="preserve">varieties that deviate from </w:t>
      </w:r>
      <w:r w:rsidR="00046815" w:rsidRPr="0051302C">
        <w:t>SAE</w:t>
      </w:r>
      <w:r w:rsidRPr="00AC6CA4">
        <w:t xml:space="preserve"> as a way of signalling a shared national identity. </w:t>
      </w:r>
      <w:r w:rsidR="005D4F0C" w:rsidRPr="005D4F0C">
        <w:t xml:space="preserve">Such non-SAE choices tap into values Australians tend to </w:t>
      </w:r>
      <w:r w:rsidR="00585082">
        <w:t>hold dear</w:t>
      </w:r>
      <w:r w:rsidR="005D4F0C" w:rsidRPr="005D4F0C">
        <w:t>, including equality, fairness and a relaxed friendliness that works to reduce social distance.</w:t>
      </w:r>
    </w:p>
    <w:p w14:paraId="05ACD234" w14:textId="49208565" w:rsidR="00942D30" w:rsidRPr="00710D94" w:rsidRDefault="00BC12D1" w:rsidP="0088613A">
      <w:pPr>
        <w:pStyle w:val="Bullet"/>
      </w:pPr>
      <w:r>
        <w:t>L</w:t>
      </w:r>
      <w:r w:rsidR="007722E2" w:rsidRPr="00710D94">
        <w:t>anguage</w:t>
      </w:r>
      <w:r w:rsidR="00942D30" w:rsidRPr="00710D94">
        <w:t xml:space="preserve"> varieties </w:t>
      </w:r>
      <w:r>
        <w:t xml:space="preserve">exist </w:t>
      </w:r>
      <w:r w:rsidR="00942D30" w:rsidRPr="00710D94">
        <w:t xml:space="preserve">that mark covert prestige and the ability to move between </w:t>
      </w:r>
      <w:r w:rsidR="00942D30" w:rsidRPr="0051302C">
        <w:t>S</w:t>
      </w:r>
      <w:r w:rsidR="00411105" w:rsidRPr="0051302C">
        <w:t>AE</w:t>
      </w:r>
      <w:r w:rsidR="00942D30" w:rsidRPr="00710D94">
        <w:t xml:space="preserve"> and varieties that do not conform to the standard creates a certain kind of identity that is </w:t>
      </w:r>
      <w:proofErr w:type="gramStart"/>
      <w:r w:rsidR="00585082" w:rsidRPr="00710D94">
        <w:t>context</w:t>
      </w:r>
      <w:r w:rsidR="004D15C4">
        <w:t>-</w:t>
      </w:r>
      <w:r w:rsidR="00585082" w:rsidRPr="00710D94">
        <w:t>dependent</w:t>
      </w:r>
      <w:proofErr w:type="gramEnd"/>
      <w:r w:rsidR="00942D30" w:rsidRPr="00710D94">
        <w:t>.</w:t>
      </w:r>
      <w:r w:rsidR="00710D94" w:rsidRPr="00710D94">
        <w:t xml:space="preserve"> Similarly, </w:t>
      </w:r>
      <w:r w:rsidR="00710D94">
        <w:t>t</w:t>
      </w:r>
      <w:r w:rsidR="00942D30" w:rsidRPr="00710D94">
        <w:t>he use of SAE when another variety is expected can challenge the stereotypical identities some Australians have forced upon them.</w:t>
      </w:r>
    </w:p>
    <w:p w14:paraId="5208BBC7" w14:textId="310C9654" w:rsidR="00942D30" w:rsidRDefault="00942D30" w:rsidP="0088613A">
      <w:pPr>
        <w:pStyle w:val="Bullet"/>
      </w:pPr>
      <w:r w:rsidRPr="00FA4EF2">
        <w:t xml:space="preserve">With the ever-growing reach of the internet, </w:t>
      </w:r>
      <w:r w:rsidRPr="0051302C">
        <w:t>Australian English</w:t>
      </w:r>
      <w:r w:rsidRPr="00FA4EF2">
        <w:t xml:space="preserve"> as a variety is being employed deliberately by both celebrities and influencers </w:t>
      </w:r>
      <w:r w:rsidR="00585082" w:rsidRPr="00FA4EF2">
        <w:t>to</w:t>
      </w:r>
      <w:r w:rsidRPr="00FA4EF2">
        <w:t xml:space="preserve"> display a specific ‘likeable’ persona, and comment on world events in a personalised way, particularly in newer forms of reportage</w:t>
      </w:r>
      <w:r w:rsidR="004D15C4">
        <w:t>.</w:t>
      </w:r>
    </w:p>
    <w:p w14:paraId="1B4608B1" w14:textId="77777777" w:rsidR="003E5D74" w:rsidRDefault="003E5D74" w:rsidP="00D63201">
      <w:pPr>
        <w:pStyle w:val="BodyText"/>
      </w:pPr>
      <w:r>
        <w:br w:type="page"/>
      </w:r>
    </w:p>
    <w:p w14:paraId="3914DEF1" w14:textId="6A2B5418" w:rsidR="00105236" w:rsidRDefault="00105236" w:rsidP="0088613A">
      <w:pPr>
        <w:pStyle w:val="BodyText"/>
      </w:pPr>
      <w:r>
        <w:lastRenderedPageBreak/>
        <w:t>Incorporating the stimulus:</w:t>
      </w:r>
    </w:p>
    <w:p w14:paraId="10493023" w14:textId="45D73046" w:rsidR="000838F3" w:rsidRPr="00F30AD6" w:rsidRDefault="00286275" w:rsidP="0088613A">
      <w:pPr>
        <w:pStyle w:val="Bullet"/>
        <w:rPr>
          <w:iCs/>
          <w:szCs w:val="20"/>
        </w:rPr>
      </w:pPr>
      <w:r>
        <w:t xml:space="preserve">Stimulus A was commonly used to discuss media outlets that are a vehicle for widespread representation. Mainstream media more openly represents </w:t>
      </w:r>
      <w:r w:rsidR="00BC12D1">
        <w:t xml:space="preserve">Aboriginal and Torres Strait </w:t>
      </w:r>
      <w:r w:rsidR="00427A1A">
        <w:t>I</w:t>
      </w:r>
      <w:r w:rsidR="00BC12D1">
        <w:t>slander</w:t>
      </w:r>
      <w:r>
        <w:t xml:space="preserve"> identities, particularly when using common terms from </w:t>
      </w:r>
      <w:r w:rsidR="000C4A56">
        <w:t xml:space="preserve">Aboriginal Australian </w:t>
      </w:r>
      <w:proofErr w:type="spellStart"/>
      <w:r w:rsidR="000C4A56">
        <w:t>Englishes</w:t>
      </w:r>
      <w:proofErr w:type="spellEnd"/>
      <w:r>
        <w:t>, such as ‘mob’ and ‘</w:t>
      </w:r>
      <w:proofErr w:type="spellStart"/>
      <w:r>
        <w:t>blak</w:t>
      </w:r>
      <w:proofErr w:type="spellEnd"/>
      <w:r>
        <w:t>’. This acts as a marker of group membership and solidarity while reinforcing covert norms for identity construction and representation in the media.</w:t>
      </w:r>
    </w:p>
    <w:p w14:paraId="16E09E28" w14:textId="6B63C338" w:rsidR="00F30AD6" w:rsidRPr="00AA4026" w:rsidRDefault="00F30AD6" w:rsidP="0088613A">
      <w:pPr>
        <w:pStyle w:val="Bullet"/>
        <w:rPr>
          <w:iCs/>
          <w:szCs w:val="20"/>
        </w:rPr>
      </w:pPr>
      <w:r>
        <w:t xml:space="preserve">Frequently used alongside </w:t>
      </w:r>
      <w:r w:rsidR="00427A1A">
        <w:t>s</w:t>
      </w:r>
      <w:r>
        <w:t>timulus B were complementary examples of hypocorisms used in Australian society, such as the nicknaming of politicians and public figures. Higher</w:t>
      </w:r>
      <w:r w:rsidR="00427A1A">
        <w:t>-</w:t>
      </w:r>
      <w:r>
        <w:t xml:space="preserve">scoring responses drew </w:t>
      </w:r>
      <w:r w:rsidRPr="00F30AD6">
        <w:t xml:space="preserve">connections between the shortened, affectionate </w:t>
      </w:r>
      <w:r>
        <w:t>nicknames</w:t>
      </w:r>
      <w:r w:rsidRPr="00F30AD6">
        <w:t xml:space="preserve"> </w:t>
      </w:r>
      <w:r w:rsidR="00CF2A8E">
        <w:t xml:space="preserve">for </w:t>
      </w:r>
      <w:r w:rsidRPr="00F30AD6">
        <w:t>well-known public</w:t>
      </w:r>
      <w:r>
        <w:t xml:space="preserve"> figures, such as </w:t>
      </w:r>
      <w:r w:rsidR="00427A1A">
        <w:t xml:space="preserve">Australia’s </w:t>
      </w:r>
      <w:r>
        <w:t>Prime Minister Anthony ‘Albo’ Albanese</w:t>
      </w:r>
      <w:r w:rsidRPr="00F30AD6">
        <w:t xml:space="preserve">, showing an awareness of how these morphological processes </w:t>
      </w:r>
      <w:r w:rsidR="00CF2A8E">
        <w:t>demonstrate</w:t>
      </w:r>
      <w:r w:rsidRPr="00F30AD6">
        <w:t xml:space="preserve"> solidarity and a characteristically Australian sense of ease. </w:t>
      </w:r>
      <w:r w:rsidR="00CF2A8E">
        <w:t>H</w:t>
      </w:r>
      <w:r w:rsidRPr="00F30AD6">
        <w:t>ypocorisms operate beyond the text itself, reinforcing their role in constructing a shared cultural identity and reducing perceived social distance between public figures and the communities they aim to engage.</w:t>
      </w:r>
    </w:p>
    <w:p w14:paraId="2CACD80F" w14:textId="0F2C32FA" w:rsidR="00AA4026" w:rsidRPr="00106965" w:rsidRDefault="00AA4026" w:rsidP="0088613A">
      <w:pPr>
        <w:pStyle w:val="Bullet"/>
        <w:rPr>
          <w:iCs/>
          <w:szCs w:val="20"/>
        </w:rPr>
      </w:pPr>
      <w:r>
        <w:t xml:space="preserve">Stimulus C was commonly </w:t>
      </w:r>
      <w:r w:rsidR="000A7410">
        <w:t>referenced,</w:t>
      </w:r>
      <w:r>
        <w:t xml:space="preserve"> </w:t>
      </w:r>
      <w:r w:rsidRPr="00AA4026">
        <w:t xml:space="preserve">with many </w:t>
      </w:r>
      <w:r>
        <w:t>responses</w:t>
      </w:r>
      <w:r w:rsidRPr="00AA4026">
        <w:t xml:space="preserve"> drawing links between Mahmoud Ismail’s use of an ethnolect and the construction of identity. </w:t>
      </w:r>
      <w:r>
        <w:t>Important here was the recognition that Ismail’s</w:t>
      </w:r>
      <w:r w:rsidRPr="00AA4026">
        <w:t xml:space="preserve"> lexical, phonological and discourse features </w:t>
      </w:r>
      <w:r w:rsidRPr="00BC12D1">
        <w:t>signal</w:t>
      </w:r>
      <w:r w:rsidR="00BC12D1">
        <w:t>led</w:t>
      </w:r>
      <w:r w:rsidRPr="00BC12D1">
        <w:t xml:space="preserve"> </w:t>
      </w:r>
      <w:r>
        <w:t xml:space="preserve">his </w:t>
      </w:r>
      <w:r w:rsidRPr="00AA4026">
        <w:t xml:space="preserve">membership within </w:t>
      </w:r>
      <w:r w:rsidR="000A7410">
        <w:t>certain</w:t>
      </w:r>
      <w:r w:rsidRPr="00AA4026">
        <w:t xml:space="preserve"> cultural and youth communities, and that </w:t>
      </w:r>
      <w:r>
        <w:t xml:space="preserve">this </w:t>
      </w:r>
      <w:r w:rsidRPr="00AA4026">
        <w:t>help</w:t>
      </w:r>
      <w:r w:rsidR="00BC12D1">
        <w:t>ed</w:t>
      </w:r>
      <w:r w:rsidRPr="00AA4026">
        <w:t xml:space="preserve"> him cultivate an authentic persona for his TikTok audience. In </w:t>
      </w:r>
      <w:r w:rsidR="00427A1A">
        <w:t>higher-scoring</w:t>
      </w:r>
      <w:r w:rsidR="00427A1A" w:rsidRPr="00AA4026">
        <w:t xml:space="preserve"> </w:t>
      </w:r>
      <w:r w:rsidRPr="00AA4026">
        <w:t xml:space="preserve">responses, students explored how Ismail’s ethnolect both </w:t>
      </w:r>
      <w:r w:rsidRPr="00BC12D1">
        <w:t>reflect</w:t>
      </w:r>
      <w:r w:rsidR="00BC12D1">
        <w:t>ed</w:t>
      </w:r>
      <w:r w:rsidRPr="00AA4026">
        <w:t xml:space="preserve"> his cultural background and actively </w:t>
      </w:r>
      <w:r w:rsidRPr="00BC12D1">
        <w:t>construct</w:t>
      </w:r>
      <w:r w:rsidR="00BC12D1">
        <w:t>ed</w:t>
      </w:r>
      <w:r w:rsidRPr="00AA4026">
        <w:t xml:space="preserve"> a public identity that </w:t>
      </w:r>
      <w:r w:rsidRPr="00BC12D1">
        <w:t>resonate</w:t>
      </w:r>
      <w:r w:rsidR="00BC12D1">
        <w:t>d</w:t>
      </w:r>
      <w:r w:rsidRPr="00AA4026">
        <w:t xml:space="preserve"> with followers who </w:t>
      </w:r>
      <w:r w:rsidRPr="00BC12D1">
        <w:t>share</w:t>
      </w:r>
      <w:r w:rsidR="00BC12D1">
        <w:t>d</w:t>
      </w:r>
      <w:r w:rsidRPr="00AA4026">
        <w:t xml:space="preserve">, </w:t>
      </w:r>
      <w:r w:rsidRPr="00BC12D1">
        <w:t>celebrate</w:t>
      </w:r>
      <w:r w:rsidR="00BC12D1">
        <w:t>d</w:t>
      </w:r>
      <w:r w:rsidRPr="00AA4026">
        <w:t xml:space="preserve"> or </w:t>
      </w:r>
      <w:r w:rsidRPr="00BC12D1">
        <w:t>recognise</w:t>
      </w:r>
      <w:r w:rsidR="00BC12D1">
        <w:t>d</w:t>
      </w:r>
      <w:r w:rsidRPr="00AA4026">
        <w:t xml:space="preserve"> those linguistic</w:t>
      </w:r>
      <w:r>
        <w:t xml:space="preserve"> features.</w:t>
      </w:r>
      <w:r w:rsidR="00106965">
        <w:t xml:space="preserve"> </w:t>
      </w:r>
    </w:p>
    <w:p w14:paraId="1B3E7A57" w14:textId="4A3E55D8" w:rsidR="00106965" w:rsidRPr="004E74D6" w:rsidRDefault="00EB1226" w:rsidP="0088613A">
      <w:pPr>
        <w:pStyle w:val="Bullet"/>
        <w:rPr>
          <w:iCs/>
          <w:szCs w:val="20"/>
        </w:rPr>
      </w:pPr>
      <w:r w:rsidRPr="00EB1226">
        <w:t>Stimulus D</w:t>
      </w:r>
      <w:r>
        <w:t xml:space="preserve"> allowed for an exploration of how </w:t>
      </w:r>
      <w:r w:rsidRPr="00EB1226">
        <w:t xml:space="preserve">strategic attempts by politicians to adopt youth-oriented language can sometimes misfire. </w:t>
      </w:r>
      <w:r w:rsidR="005320C4">
        <w:t>Higher-scoring</w:t>
      </w:r>
      <w:r w:rsidR="005320C4" w:rsidRPr="00EB1226">
        <w:t xml:space="preserve"> </w:t>
      </w:r>
      <w:r w:rsidRPr="00EB1226">
        <w:t xml:space="preserve">responses recognised that the stimulus </w:t>
      </w:r>
      <w:r w:rsidRPr="005320C4">
        <w:t>highlight</w:t>
      </w:r>
      <w:r w:rsidR="005320C4">
        <w:t>ed</w:t>
      </w:r>
      <w:r w:rsidRPr="00EB1226">
        <w:t xml:space="preserve"> a paradox: efforts to appear relatable may </w:t>
      </w:r>
      <w:proofErr w:type="gramStart"/>
      <w:r w:rsidRPr="00EB1226">
        <w:t>actually distance</w:t>
      </w:r>
      <w:proofErr w:type="gramEnd"/>
      <w:r w:rsidRPr="00EB1226">
        <w:t xml:space="preserve"> politicians further from young people when the linguistic performance feels forced, inauthentic or poorly aligned with their established public persona. </w:t>
      </w:r>
    </w:p>
    <w:p w14:paraId="2667A0DF" w14:textId="52EC73B5" w:rsidR="00FA4EF2" w:rsidRDefault="00FA4EF2" w:rsidP="0088613A">
      <w:pPr>
        <w:pStyle w:val="BodyText"/>
      </w:pPr>
      <w:r w:rsidRPr="00FA4EF2">
        <w:t xml:space="preserve">Relevant </w:t>
      </w:r>
      <w:r w:rsidR="00D33B89">
        <w:t>k</w:t>
      </w:r>
      <w:r w:rsidRPr="00FA4EF2">
        <w:t xml:space="preserve">ey </w:t>
      </w:r>
      <w:r w:rsidR="00D33B89">
        <w:t>k</w:t>
      </w:r>
      <w:r w:rsidRPr="00FA4EF2">
        <w:t xml:space="preserve">nowledge and </w:t>
      </w:r>
      <w:r w:rsidR="00D33B89">
        <w:t>concept</w:t>
      </w:r>
      <w:r w:rsidRPr="00FA4EF2">
        <w:t xml:space="preserve">s from the </w:t>
      </w:r>
      <w:r w:rsidR="00427A1A">
        <w:t>s</w:t>
      </w:r>
      <w:r w:rsidRPr="00FA4EF2">
        <w:t xml:space="preserve">tudy </w:t>
      </w:r>
      <w:r w:rsidR="00427A1A">
        <w:t>d</w:t>
      </w:r>
      <w:r w:rsidRPr="00FA4EF2">
        <w:t>esign:</w:t>
      </w:r>
    </w:p>
    <w:p w14:paraId="6F3A423B" w14:textId="77777777" w:rsidR="00FA4EF2" w:rsidRDefault="00FA4EF2" w:rsidP="0088613A">
      <w:pPr>
        <w:pStyle w:val="Bullet"/>
      </w:pPr>
      <w:r w:rsidRPr="00FA4EF2">
        <w:t>the use of informal language for various purposes and intents, including:</w:t>
      </w:r>
    </w:p>
    <w:p w14:paraId="5F4E68DA" w14:textId="77777777" w:rsidR="00FA4EF2" w:rsidRDefault="00FA4EF2" w:rsidP="0088613A">
      <w:pPr>
        <w:pStyle w:val="Bulletlevel2"/>
      </w:pPr>
      <w:r w:rsidRPr="00FA4EF2">
        <w:t>encouraging intimacy, solidarity and equality</w:t>
      </w:r>
    </w:p>
    <w:p w14:paraId="1C9B200E" w14:textId="77777777" w:rsidR="00FA4EF2" w:rsidRDefault="00FA4EF2" w:rsidP="0088613A">
      <w:pPr>
        <w:pStyle w:val="Bulletlevel2"/>
      </w:pPr>
      <w:r w:rsidRPr="00FA4EF2">
        <w:t xml:space="preserve">politeness strategies </w:t>
      </w:r>
    </w:p>
    <w:p w14:paraId="73AF1E24" w14:textId="77777777" w:rsidR="00FA4EF2" w:rsidRDefault="00FA4EF2" w:rsidP="0088613A">
      <w:pPr>
        <w:pStyle w:val="Bulletlevel2"/>
      </w:pPr>
      <w:r w:rsidRPr="00FA4EF2">
        <w:t>promoting linguistic innovation</w:t>
      </w:r>
    </w:p>
    <w:p w14:paraId="791DF4F4" w14:textId="77777777" w:rsidR="00FA4EF2" w:rsidRDefault="00FA4EF2" w:rsidP="0088613A">
      <w:pPr>
        <w:pStyle w:val="Bulletlevel2"/>
      </w:pPr>
      <w:r w:rsidRPr="00FA4EF2">
        <w:t>promoting social harmony, negotiating social taboos and building rapport</w:t>
      </w:r>
    </w:p>
    <w:p w14:paraId="62BF1112" w14:textId="77777777" w:rsidR="00FA4EF2" w:rsidRDefault="00FA4EF2" w:rsidP="0088613A">
      <w:pPr>
        <w:pStyle w:val="Bulletlevel2"/>
      </w:pPr>
      <w:r w:rsidRPr="00FA4EF2">
        <w:t>supporting in-group membership</w:t>
      </w:r>
    </w:p>
    <w:p w14:paraId="7116E0AB" w14:textId="026FB855" w:rsidR="00FA4EF2" w:rsidRDefault="008D734C" w:rsidP="0088613A">
      <w:pPr>
        <w:pStyle w:val="Bullet"/>
      </w:pPr>
      <w:r>
        <w:t>f</w:t>
      </w:r>
      <w:r w:rsidR="00FA4EF2" w:rsidRPr="00FA4EF2">
        <w:t>eatures of informal speech and writing</w:t>
      </w:r>
    </w:p>
    <w:p w14:paraId="5F8F7ECF" w14:textId="3B00B046" w:rsidR="00FA4EF2" w:rsidRDefault="008D734C" w:rsidP="0088613A">
      <w:pPr>
        <w:pStyle w:val="Bullet"/>
      </w:pPr>
      <w:r>
        <w:t>t</w:t>
      </w:r>
      <w:r w:rsidR="00FA4EF2" w:rsidRPr="00FA4EF2">
        <w:t>he use of language varieties in constructing users’ social and cultural identities</w:t>
      </w:r>
    </w:p>
    <w:p w14:paraId="5649B3AA" w14:textId="0BF0B688" w:rsidR="00FA4EF2" w:rsidRDefault="008D734C" w:rsidP="0088613A">
      <w:pPr>
        <w:pStyle w:val="Bullet"/>
      </w:pPr>
      <w:r>
        <w:t>i</w:t>
      </w:r>
      <w:r w:rsidR="00FA4EF2" w:rsidRPr="00FA4EF2">
        <w:t xml:space="preserve">ncreasing global contact, the influence of modern technologies and other social changes are shaping </w:t>
      </w:r>
      <w:r w:rsidR="00FA4EF2" w:rsidRPr="005320C4">
        <w:t>contemporary English</w:t>
      </w:r>
      <w:r w:rsidR="00FA4EF2" w:rsidRPr="00FA4EF2">
        <w:t xml:space="preserve"> in Australian society, and attitudes towards language continue to evolve.</w:t>
      </w:r>
    </w:p>
    <w:p w14:paraId="07846827" w14:textId="77777777" w:rsidR="00FA4EF2" w:rsidRDefault="00FA4EF2" w:rsidP="0088613A">
      <w:pPr>
        <w:pStyle w:val="Bullet"/>
      </w:pPr>
      <w:r w:rsidRPr="00FA4EF2">
        <w:t>the ways in which a variety of identities are conveyed and reflected in Australian texts</w:t>
      </w:r>
    </w:p>
    <w:p w14:paraId="778A6AC5" w14:textId="279637DA" w:rsidR="00FA4EF2" w:rsidRDefault="00FA4EF2" w:rsidP="0088613A">
      <w:pPr>
        <w:pStyle w:val="Bullet"/>
      </w:pPr>
      <w:r w:rsidRPr="00FA4EF2">
        <w:t xml:space="preserve">how English varies according to culture, including </w:t>
      </w:r>
      <w:r w:rsidRPr="005320C4">
        <w:t>S</w:t>
      </w:r>
      <w:r w:rsidR="005320C4" w:rsidRPr="00DF66BA">
        <w:t>A</w:t>
      </w:r>
      <w:r w:rsidRPr="005320C4">
        <w:t>E</w:t>
      </w:r>
      <w:r w:rsidRPr="00FA4EF2">
        <w:t xml:space="preserve">, Aboriginal Australian </w:t>
      </w:r>
      <w:proofErr w:type="spellStart"/>
      <w:r w:rsidRPr="002C6A59">
        <w:t>Englishes</w:t>
      </w:r>
      <w:proofErr w:type="spellEnd"/>
      <w:r w:rsidRPr="00FA4EF2">
        <w:t xml:space="preserve"> and migrant ethnolects </w:t>
      </w:r>
    </w:p>
    <w:p w14:paraId="693D9717" w14:textId="77777777" w:rsidR="00FA4EF2" w:rsidRDefault="00FA4EF2" w:rsidP="0088613A">
      <w:pPr>
        <w:pStyle w:val="Bullet"/>
      </w:pPr>
      <w:r w:rsidRPr="00FA4EF2">
        <w:t xml:space="preserve">attitudes within Australian society to different varieties of English, including prescriptivist and descriptivist attitudes </w:t>
      </w:r>
    </w:p>
    <w:p w14:paraId="0560F725" w14:textId="77777777" w:rsidR="00FA4EF2" w:rsidRDefault="00FA4EF2" w:rsidP="0088613A">
      <w:pPr>
        <w:pStyle w:val="Bullet"/>
      </w:pPr>
      <w:r w:rsidRPr="00FA4EF2">
        <w:t>the role of language in conveying a perceived national identity</w:t>
      </w:r>
    </w:p>
    <w:p w14:paraId="10551D5F" w14:textId="77777777" w:rsidR="00FA4EF2" w:rsidRDefault="00FA4EF2" w:rsidP="0088613A">
      <w:pPr>
        <w:pStyle w:val="Bullet"/>
      </w:pPr>
      <w:r w:rsidRPr="00FA4EF2">
        <w:t>the ways in which the language of individuals and the language of groups is shaped by social expectations and community attitudes</w:t>
      </w:r>
    </w:p>
    <w:p w14:paraId="41B02941" w14:textId="61249589" w:rsidR="00634B85" w:rsidRDefault="00FA4EF2" w:rsidP="0088613A">
      <w:pPr>
        <w:pStyle w:val="Bullet"/>
      </w:pPr>
      <w:r w:rsidRPr="00FA4EF2">
        <w:t>the ways in which people draw on their linguistic repertoire to gain power and prestige, including exploiting overt and covert norms</w:t>
      </w:r>
      <w:r w:rsidR="00427A1A">
        <w:t>.</w:t>
      </w:r>
    </w:p>
    <w:p w14:paraId="56B31114" w14:textId="77777777" w:rsidR="009D02D6" w:rsidRDefault="009D02D6" w:rsidP="00D63201">
      <w:pPr>
        <w:pStyle w:val="BodyText"/>
      </w:pPr>
      <w:r>
        <w:br w:type="page"/>
      </w:r>
    </w:p>
    <w:p w14:paraId="6543A8C3" w14:textId="3DD98DDC" w:rsidR="00CB636F" w:rsidRPr="00FA4EF2" w:rsidRDefault="00B951F0" w:rsidP="0088613A">
      <w:pPr>
        <w:pStyle w:val="BodyText"/>
      </w:pPr>
      <w:r>
        <w:lastRenderedPageBreak/>
        <w:t xml:space="preserve">The </w:t>
      </w:r>
      <w:r w:rsidR="009D02D6">
        <w:t xml:space="preserve">following </w:t>
      </w:r>
      <w:r w:rsidR="005320C4">
        <w:t>example</w:t>
      </w:r>
      <w:r>
        <w:t xml:space="preserve"> comes from the first half of a body paragraph, addressing how </w:t>
      </w:r>
      <w:r w:rsidRPr="005320C4">
        <w:t>SAE</w:t>
      </w:r>
      <w:r>
        <w:t xml:space="preserve"> holds overt prestige in society</w:t>
      </w:r>
      <w:r w:rsidR="00855CD3">
        <w:t xml:space="preserve"> as a </w:t>
      </w:r>
      <w:r w:rsidR="00D64835">
        <w:t>counterpoint</w:t>
      </w:r>
      <w:r w:rsidR="00855CD3">
        <w:t xml:space="preserve"> to the proposition of the question</w:t>
      </w:r>
      <w:r>
        <w:t xml:space="preserve">. </w:t>
      </w:r>
      <w:proofErr w:type="gramStart"/>
      <w:r w:rsidR="000C4A56">
        <w:t>For the purpose of</w:t>
      </w:r>
      <w:proofErr w:type="gramEnd"/>
      <w:r w:rsidR="000C4A56">
        <w:t xml:space="preserve"> annotation, the paragraph has been broken into sections.</w:t>
      </w:r>
    </w:p>
    <w:tbl>
      <w:tblPr>
        <w:tblStyle w:val="TableGrid"/>
        <w:tblW w:w="0" w:type="auto"/>
        <w:tblInd w:w="720" w:type="dxa"/>
        <w:tblLook w:val="04A0" w:firstRow="1" w:lastRow="0" w:firstColumn="1" w:lastColumn="0" w:noHBand="0" w:noVBand="1"/>
      </w:tblPr>
      <w:tblGrid>
        <w:gridCol w:w="4945"/>
        <w:gridCol w:w="3964"/>
      </w:tblGrid>
      <w:tr w:rsidR="00E00B47" w:rsidRPr="00D01329" w14:paraId="2C3367C9" w14:textId="77777777" w:rsidTr="00B829F7">
        <w:tc>
          <w:tcPr>
            <w:tcW w:w="4945" w:type="dxa"/>
            <w:tcBorders>
              <w:bottom w:val="single" w:sz="4" w:space="0" w:color="auto"/>
            </w:tcBorders>
          </w:tcPr>
          <w:p w14:paraId="4B06C28E" w14:textId="77777777" w:rsidR="00E00B47" w:rsidRPr="006E6207" w:rsidRDefault="00E00B47" w:rsidP="006E6207">
            <w:pPr>
              <w:pStyle w:val="Tableheading"/>
            </w:pPr>
            <w:r w:rsidRPr="00427A1A">
              <w:t>Student sample</w:t>
            </w:r>
          </w:p>
        </w:tc>
        <w:tc>
          <w:tcPr>
            <w:tcW w:w="3964" w:type="dxa"/>
            <w:tcBorders>
              <w:bottom w:val="single" w:sz="4" w:space="0" w:color="auto"/>
            </w:tcBorders>
          </w:tcPr>
          <w:p w14:paraId="5D62A3D1" w14:textId="77777777" w:rsidR="00E00B47" w:rsidRPr="006E6207" w:rsidRDefault="00E00B47" w:rsidP="006E6207">
            <w:pPr>
              <w:pStyle w:val="Tableheading"/>
            </w:pPr>
            <w:r w:rsidRPr="00427A1A">
              <w:t>Annotations</w:t>
            </w:r>
          </w:p>
        </w:tc>
      </w:tr>
      <w:tr w:rsidR="00E00B47" w14:paraId="4CDC4703" w14:textId="77777777" w:rsidTr="00B829F7">
        <w:tc>
          <w:tcPr>
            <w:tcW w:w="4945" w:type="dxa"/>
            <w:tcBorders>
              <w:bottom w:val="nil"/>
            </w:tcBorders>
          </w:tcPr>
          <w:p w14:paraId="4B216236" w14:textId="2B9CEFD6" w:rsidR="00E00B47" w:rsidRPr="005427DD" w:rsidRDefault="004C0741" w:rsidP="000003F7">
            <w:pPr>
              <w:pStyle w:val="Studentresponse"/>
            </w:pPr>
            <w:r>
              <w:t>Our principal standard variety, SAE, achieving overt prestige with Australians, also assists the construction of an egalitarian identity in the public domain on the serious topic of public safety</w:t>
            </w:r>
            <w:r w:rsidR="00BB7E6D">
              <w:t>.</w:t>
            </w:r>
          </w:p>
        </w:tc>
        <w:tc>
          <w:tcPr>
            <w:tcW w:w="3964" w:type="dxa"/>
            <w:tcBorders>
              <w:bottom w:val="nil"/>
            </w:tcBorders>
          </w:tcPr>
          <w:p w14:paraId="5AC18370" w14:textId="649BF151" w:rsidR="00E00B47" w:rsidRPr="00042640" w:rsidRDefault="00B951F0" w:rsidP="006E6207">
            <w:pPr>
              <w:pStyle w:val="BodyText"/>
              <w:rPr>
                <w:b/>
                <w:i/>
                <w:highlight w:val="lightGray"/>
              </w:rPr>
            </w:pPr>
            <w:r>
              <w:rPr>
                <w:bCs/>
                <w:iCs/>
              </w:rPr>
              <w:t xml:space="preserve">Opening the paragraph with reference to the </w:t>
            </w:r>
            <w:r w:rsidRPr="00B951F0">
              <w:rPr>
                <w:bCs/>
                <w:iCs/>
              </w:rPr>
              <w:t xml:space="preserve">overt prestige of </w:t>
            </w:r>
            <w:r w:rsidR="00427A1A">
              <w:rPr>
                <w:bCs/>
                <w:iCs/>
              </w:rPr>
              <w:t>SAE</w:t>
            </w:r>
            <w:r w:rsidRPr="00B951F0">
              <w:rPr>
                <w:bCs/>
                <w:iCs/>
              </w:rPr>
              <w:t xml:space="preserve"> establishe</w:t>
            </w:r>
            <w:r w:rsidR="00427A1A">
              <w:rPr>
                <w:bCs/>
                <w:iCs/>
              </w:rPr>
              <w:t>d</w:t>
            </w:r>
            <w:r w:rsidRPr="00B951F0">
              <w:rPr>
                <w:bCs/>
                <w:iCs/>
              </w:rPr>
              <w:t xml:space="preserve"> a necessary point of contrast for evaluating the identity-building power of </w:t>
            </w:r>
            <w:r w:rsidR="00D64835">
              <w:rPr>
                <w:bCs/>
                <w:iCs/>
              </w:rPr>
              <w:t>non-SAE</w:t>
            </w:r>
            <w:r w:rsidRPr="00B951F0">
              <w:rPr>
                <w:bCs/>
                <w:iCs/>
              </w:rPr>
              <w:t xml:space="preserve"> varieties in the public domain</w:t>
            </w:r>
            <w:r w:rsidR="009808BF">
              <w:rPr>
                <w:bCs/>
                <w:iCs/>
              </w:rPr>
              <w:t>.</w:t>
            </w:r>
          </w:p>
        </w:tc>
      </w:tr>
      <w:tr w:rsidR="00E00B47" w14:paraId="735937BB" w14:textId="77777777" w:rsidTr="001724EB">
        <w:tc>
          <w:tcPr>
            <w:tcW w:w="4945" w:type="dxa"/>
            <w:tcBorders>
              <w:top w:val="nil"/>
              <w:bottom w:val="nil"/>
            </w:tcBorders>
          </w:tcPr>
          <w:p w14:paraId="399D2A70" w14:textId="1DBA73F3" w:rsidR="00E00B47" w:rsidRPr="00D01329" w:rsidRDefault="00BB7E6D" w:rsidP="000003F7">
            <w:pPr>
              <w:pStyle w:val="Studentresponse"/>
              <w:rPr>
                <w:i/>
              </w:rPr>
            </w:pPr>
            <w:r>
              <w:t xml:space="preserve">In an ABC News article published in May 2025, microbiologist Associate Professor Jeff Warner addresses a broader audience of North Queensland citizens concerning 35 deaths in the region due to the melioidosis outbreak. The SAE choices enhance the conative function. Compound imperatives enable coordination of recommendation of equal importance such as “Avoid going outside and keep wounds clean”. </w:t>
            </w:r>
          </w:p>
        </w:tc>
        <w:tc>
          <w:tcPr>
            <w:tcW w:w="3964" w:type="dxa"/>
            <w:tcBorders>
              <w:top w:val="nil"/>
              <w:bottom w:val="nil"/>
            </w:tcBorders>
          </w:tcPr>
          <w:p w14:paraId="5D71D730" w14:textId="5E240A76" w:rsidR="00E00B47" w:rsidRPr="00042640" w:rsidRDefault="00B951F0" w:rsidP="006E6207">
            <w:pPr>
              <w:pStyle w:val="BodyText"/>
              <w:rPr>
                <w:i/>
                <w:highlight w:val="lightGray"/>
              </w:rPr>
            </w:pPr>
            <w:r>
              <w:rPr>
                <w:bCs/>
                <w:iCs/>
              </w:rPr>
              <w:t xml:space="preserve">Contextual background of a contemporary example </w:t>
            </w:r>
            <w:r w:rsidR="00427A1A">
              <w:rPr>
                <w:bCs/>
                <w:iCs/>
              </w:rPr>
              <w:t>wa</w:t>
            </w:r>
            <w:r>
              <w:rPr>
                <w:bCs/>
                <w:iCs/>
              </w:rPr>
              <w:t xml:space="preserve">s provided </w:t>
            </w:r>
            <w:r w:rsidR="00BC7774">
              <w:rPr>
                <w:bCs/>
                <w:iCs/>
              </w:rPr>
              <w:t>to</w:t>
            </w:r>
            <w:r>
              <w:rPr>
                <w:bCs/>
                <w:iCs/>
              </w:rPr>
              <w:t xml:space="preserve"> make connections with the example and its linguistic merit.</w:t>
            </w:r>
          </w:p>
        </w:tc>
      </w:tr>
      <w:tr w:rsidR="008C0865" w14:paraId="74E93987" w14:textId="77777777" w:rsidTr="001724EB">
        <w:tc>
          <w:tcPr>
            <w:tcW w:w="4945" w:type="dxa"/>
            <w:tcBorders>
              <w:top w:val="nil"/>
              <w:bottom w:val="single" w:sz="4" w:space="0" w:color="auto"/>
            </w:tcBorders>
          </w:tcPr>
          <w:p w14:paraId="6BE4BF00" w14:textId="57AA6B05" w:rsidR="008C0865" w:rsidRDefault="008C0865" w:rsidP="000003F7">
            <w:pPr>
              <w:pStyle w:val="Studentresponse"/>
            </w:pPr>
            <w:r>
              <w:t xml:space="preserve">Warner uses specialist jargon in the field of medical biology to establish his expertise and support the construction of his professional identity as a doctor. Specialist jargon include the noun “microorganism”, the noun phrase “terrestrial outbreak” and the plural noun “comorbidities”. As Warner </w:t>
            </w:r>
            <w:proofErr w:type="gramStart"/>
            <w:r>
              <w:t>is able to</w:t>
            </w:r>
            <w:proofErr w:type="gramEnd"/>
            <w:r>
              <w:t xml:space="preserve"> address a broader audience using specialist jargon, this also reflects Australia’s national identity with high medical literacy as a nation. </w:t>
            </w:r>
            <w:r w:rsidR="00671251">
              <w:t>Jargon supports Warner’s construction of professional identity, making the audience more inclined to adhere to the imperatives, thus ensuring public safety. …</w:t>
            </w:r>
          </w:p>
        </w:tc>
        <w:tc>
          <w:tcPr>
            <w:tcW w:w="3964" w:type="dxa"/>
            <w:tcBorders>
              <w:top w:val="nil"/>
              <w:bottom w:val="single" w:sz="4" w:space="0" w:color="auto"/>
            </w:tcBorders>
          </w:tcPr>
          <w:p w14:paraId="41805FD5" w14:textId="79764F6A" w:rsidR="008C0865" w:rsidRPr="00042640" w:rsidRDefault="00671251" w:rsidP="006E6207">
            <w:pPr>
              <w:pStyle w:val="BodyText"/>
              <w:rPr>
                <w:i/>
                <w:highlight w:val="lightGray"/>
              </w:rPr>
            </w:pPr>
            <w:r>
              <w:rPr>
                <w:bCs/>
                <w:iCs/>
              </w:rPr>
              <w:t>Making a link between jargon and how it construct</w:t>
            </w:r>
            <w:r w:rsidR="005320C4">
              <w:rPr>
                <w:bCs/>
                <w:iCs/>
              </w:rPr>
              <w:t>ed</w:t>
            </w:r>
            <w:r>
              <w:rPr>
                <w:bCs/>
                <w:iCs/>
              </w:rPr>
              <w:t xml:space="preserve"> professional authority </w:t>
            </w:r>
            <w:r w:rsidRPr="00B951F0">
              <w:rPr>
                <w:bCs/>
                <w:iCs/>
              </w:rPr>
              <w:t>create</w:t>
            </w:r>
            <w:r w:rsidR="00427A1A">
              <w:rPr>
                <w:bCs/>
                <w:iCs/>
              </w:rPr>
              <w:t>d</w:t>
            </w:r>
            <w:r w:rsidRPr="00B951F0">
              <w:rPr>
                <w:bCs/>
                <w:iCs/>
              </w:rPr>
              <w:t xml:space="preserve"> a framework </w:t>
            </w:r>
            <w:r w:rsidR="00427A1A">
              <w:rPr>
                <w:bCs/>
                <w:iCs/>
              </w:rPr>
              <w:t>to assess</w:t>
            </w:r>
            <w:r w:rsidRPr="00B951F0">
              <w:rPr>
                <w:bCs/>
                <w:iCs/>
              </w:rPr>
              <w:t xml:space="preserve"> the extent to which non-</w:t>
            </w:r>
            <w:r>
              <w:rPr>
                <w:bCs/>
                <w:iCs/>
              </w:rPr>
              <w:t>SAE</w:t>
            </w:r>
            <w:r w:rsidRPr="00B951F0">
              <w:rPr>
                <w:bCs/>
                <w:iCs/>
              </w:rPr>
              <w:t xml:space="preserve"> varieties can construct identity</w:t>
            </w:r>
            <w:r>
              <w:rPr>
                <w:bCs/>
                <w:iCs/>
              </w:rPr>
              <w:t xml:space="preserve">, moving </w:t>
            </w:r>
            <w:r w:rsidRPr="00B951F0">
              <w:rPr>
                <w:bCs/>
                <w:iCs/>
              </w:rPr>
              <w:t xml:space="preserve">beyond simple description </w:t>
            </w:r>
            <w:r>
              <w:rPr>
                <w:bCs/>
                <w:iCs/>
              </w:rPr>
              <w:t>to e</w:t>
            </w:r>
            <w:r w:rsidRPr="00B951F0">
              <w:rPr>
                <w:bCs/>
                <w:iCs/>
              </w:rPr>
              <w:t>ngage with the evaluative requirement of the prompt</w:t>
            </w:r>
            <w:r>
              <w:rPr>
                <w:bCs/>
                <w:iCs/>
              </w:rPr>
              <w:t xml:space="preserve">. This paragraph </w:t>
            </w:r>
            <w:r w:rsidR="00BC7774">
              <w:rPr>
                <w:bCs/>
                <w:iCs/>
              </w:rPr>
              <w:t>continued</w:t>
            </w:r>
            <w:r>
              <w:rPr>
                <w:bCs/>
                <w:iCs/>
              </w:rPr>
              <w:t xml:space="preserve"> to explore this further.</w:t>
            </w:r>
          </w:p>
        </w:tc>
      </w:tr>
    </w:tbl>
    <w:p w14:paraId="24866AB4" w14:textId="77777777" w:rsidR="00E00B47" w:rsidRDefault="00E00B47" w:rsidP="009A5287">
      <w:pPr>
        <w:pStyle w:val="BodyText"/>
      </w:pPr>
    </w:p>
    <w:sectPr w:rsidR="00E00B47"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74C445F" w:rsidR="00FD29D3" w:rsidRPr="002B0664" w:rsidRDefault="00945034" w:rsidP="00D86DE4">
    <w:pPr>
      <w:pStyle w:val="Captionsandfootnotes"/>
      <w:rPr>
        <w:color w:val="auto"/>
      </w:rPr>
    </w:pPr>
    <w:r>
      <w:rPr>
        <w:color w:val="auto"/>
      </w:rPr>
      <w:t>2025 VCE English Language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F3472"/>
    <w:multiLevelType w:val="hybridMultilevel"/>
    <w:tmpl w:val="8EDE4F22"/>
    <w:lvl w:ilvl="0" w:tplc="64FEFE2E">
      <w:start w:val="1"/>
      <w:numFmt w:val="bullet"/>
      <w:lvlText w:val=""/>
      <w:lvlJc w:val="left"/>
      <w:pPr>
        <w:ind w:left="720" w:hanging="360"/>
      </w:pPr>
      <w:rPr>
        <w:rFonts w:ascii="Symbol" w:hAnsi="Symbol"/>
      </w:rPr>
    </w:lvl>
    <w:lvl w:ilvl="1" w:tplc="B42690CA">
      <w:start w:val="1"/>
      <w:numFmt w:val="bullet"/>
      <w:lvlText w:val=""/>
      <w:lvlJc w:val="left"/>
      <w:pPr>
        <w:ind w:left="720" w:hanging="360"/>
      </w:pPr>
      <w:rPr>
        <w:rFonts w:ascii="Symbol" w:hAnsi="Symbol"/>
      </w:rPr>
    </w:lvl>
    <w:lvl w:ilvl="2" w:tplc="2B16632E">
      <w:start w:val="1"/>
      <w:numFmt w:val="bullet"/>
      <w:lvlText w:val=""/>
      <w:lvlJc w:val="left"/>
      <w:pPr>
        <w:ind w:left="720" w:hanging="360"/>
      </w:pPr>
      <w:rPr>
        <w:rFonts w:ascii="Symbol" w:hAnsi="Symbol"/>
      </w:rPr>
    </w:lvl>
    <w:lvl w:ilvl="3" w:tplc="7170337A">
      <w:start w:val="1"/>
      <w:numFmt w:val="bullet"/>
      <w:lvlText w:val=""/>
      <w:lvlJc w:val="left"/>
      <w:pPr>
        <w:ind w:left="720" w:hanging="360"/>
      </w:pPr>
      <w:rPr>
        <w:rFonts w:ascii="Symbol" w:hAnsi="Symbol"/>
      </w:rPr>
    </w:lvl>
    <w:lvl w:ilvl="4" w:tplc="250E0104">
      <w:start w:val="1"/>
      <w:numFmt w:val="bullet"/>
      <w:lvlText w:val=""/>
      <w:lvlJc w:val="left"/>
      <w:pPr>
        <w:ind w:left="720" w:hanging="360"/>
      </w:pPr>
      <w:rPr>
        <w:rFonts w:ascii="Symbol" w:hAnsi="Symbol"/>
      </w:rPr>
    </w:lvl>
    <w:lvl w:ilvl="5" w:tplc="3DC63E26">
      <w:start w:val="1"/>
      <w:numFmt w:val="bullet"/>
      <w:lvlText w:val=""/>
      <w:lvlJc w:val="left"/>
      <w:pPr>
        <w:ind w:left="720" w:hanging="360"/>
      </w:pPr>
      <w:rPr>
        <w:rFonts w:ascii="Symbol" w:hAnsi="Symbol"/>
      </w:rPr>
    </w:lvl>
    <w:lvl w:ilvl="6" w:tplc="A70015BC">
      <w:start w:val="1"/>
      <w:numFmt w:val="bullet"/>
      <w:lvlText w:val=""/>
      <w:lvlJc w:val="left"/>
      <w:pPr>
        <w:ind w:left="720" w:hanging="360"/>
      </w:pPr>
      <w:rPr>
        <w:rFonts w:ascii="Symbol" w:hAnsi="Symbol"/>
      </w:rPr>
    </w:lvl>
    <w:lvl w:ilvl="7" w:tplc="19D8C77E">
      <w:start w:val="1"/>
      <w:numFmt w:val="bullet"/>
      <w:lvlText w:val=""/>
      <w:lvlJc w:val="left"/>
      <w:pPr>
        <w:ind w:left="720" w:hanging="360"/>
      </w:pPr>
      <w:rPr>
        <w:rFonts w:ascii="Symbol" w:hAnsi="Symbol"/>
      </w:rPr>
    </w:lvl>
    <w:lvl w:ilvl="8" w:tplc="C5141A1C">
      <w:start w:val="1"/>
      <w:numFmt w:val="bullet"/>
      <w:lvlText w:val=""/>
      <w:lvlJc w:val="left"/>
      <w:pPr>
        <w:ind w:left="720" w:hanging="360"/>
      </w:pPr>
      <w:rPr>
        <w:rFonts w:ascii="Symbol" w:hAnsi="Symbol"/>
      </w:rPr>
    </w:lvl>
  </w:abstractNum>
  <w:abstractNum w:abstractNumId="11" w15:restartNumberingAfterBreak="0">
    <w:nsid w:val="05344056"/>
    <w:multiLevelType w:val="hybridMultilevel"/>
    <w:tmpl w:val="DF96094A"/>
    <w:lvl w:ilvl="0" w:tplc="A4F606DE">
      <w:start w:val="1"/>
      <w:numFmt w:val="bullet"/>
      <w:lvlText w:val=""/>
      <w:lvlJc w:val="left"/>
      <w:pPr>
        <w:ind w:left="720" w:hanging="360"/>
      </w:pPr>
      <w:rPr>
        <w:rFonts w:ascii="Symbol" w:hAnsi="Symbol"/>
      </w:rPr>
    </w:lvl>
    <w:lvl w:ilvl="1" w:tplc="F7505518">
      <w:start w:val="1"/>
      <w:numFmt w:val="bullet"/>
      <w:lvlText w:val=""/>
      <w:lvlJc w:val="left"/>
      <w:pPr>
        <w:ind w:left="720" w:hanging="360"/>
      </w:pPr>
      <w:rPr>
        <w:rFonts w:ascii="Symbol" w:hAnsi="Symbol"/>
      </w:rPr>
    </w:lvl>
    <w:lvl w:ilvl="2" w:tplc="D174E496">
      <w:start w:val="1"/>
      <w:numFmt w:val="bullet"/>
      <w:lvlText w:val=""/>
      <w:lvlJc w:val="left"/>
      <w:pPr>
        <w:ind w:left="720" w:hanging="360"/>
      </w:pPr>
      <w:rPr>
        <w:rFonts w:ascii="Symbol" w:hAnsi="Symbol"/>
      </w:rPr>
    </w:lvl>
    <w:lvl w:ilvl="3" w:tplc="FC20DA98">
      <w:start w:val="1"/>
      <w:numFmt w:val="bullet"/>
      <w:lvlText w:val=""/>
      <w:lvlJc w:val="left"/>
      <w:pPr>
        <w:ind w:left="720" w:hanging="360"/>
      </w:pPr>
      <w:rPr>
        <w:rFonts w:ascii="Symbol" w:hAnsi="Symbol"/>
      </w:rPr>
    </w:lvl>
    <w:lvl w:ilvl="4" w:tplc="9B26799C">
      <w:start w:val="1"/>
      <w:numFmt w:val="bullet"/>
      <w:lvlText w:val=""/>
      <w:lvlJc w:val="left"/>
      <w:pPr>
        <w:ind w:left="720" w:hanging="360"/>
      </w:pPr>
      <w:rPr>
        <w:rFonts w:ascii="Symbol" w:hAnsi="Symbol"/>
      </w:rPr>
    </w:lvl>
    <w:lvl w:ilvl="5" w:tplc="E5EC4DEA">
      <w:start w:val="1"/>
      <w:numFmt w:val="bullet"/>
      <w:lvlText w:val=""/>
      <w:lvlJc w:val="left"/>
      <w:pPr>
        <w:ind w:left="720" w:hanging="360"/>
      </w:pPr>
      <w:rPr>
        <w:rFonts w:ascii="Symbol" w:hAnsi="Symbol"/>
      </w:rPr>
    </w:lvl>
    <w:lvl w:ilvl="6" w:tplc="7188D93E">
      <w:start w:val="1"/>
      <w:numFmt w:val="bullet"/>
      <w:lvlText w:val=""/>
      <w:lvlJc w:val="left"/>
      <w:pPr>
        <w:ind w:left="720" w:hanging="360"/>
      </w:pPr>
      <w:rPr>
        <w:rFonts w:ascii="Symbol" w:hAnsi="Symbol"/>
      </w:rPr>
    </w:lvl>
    <w:lvl w:ilvl="7" w:tplc="DE2E430A">
      <w:start w:val="1"/>
      <w:numFmt w:val="bullet"/>
      <w:lvlText w:val=""/>
      <w:lvlJc w:val="left"/>
      <w:pPr>
        <w:ind w:left="720" w:hanging="360"/>
      </w:pPr>
      <w:rPr>
        <w:rFonts w:ascii="Symbol" w:hAnsi="Symbol"/>
      </w:rPr>
    </w:lvl>
    <w:lvl w:ilvl="8" w:tplc="4726FA7C">
      <w:start w:val="1"/>
      <w:numFmt w:val="bullet"/>
      <w:lvlText w:val=""/>
      <w:lvlJc w:val="left"/>
      <w:pPr>
        <w:ind w:left="720" w:hanging="360"/>
      </w:pPr>
      <w:rPr>
        <w:rFonts w:ascii="Symbol" w:hAnsi="Symbol"/>
      </w:rPr>
    </w:lvl>
  </w:abstractNum>
  <w:abstractNum w:abstractNumId="12" w15:restartNumberingAfterBreak="0">
    <w:nsid w:val="05F24F68"/>
    <w:multiLevelType w:val="hybridMultilevel"/>
    <w:tmpl w:val="111A6CCA"/>
    <w:lvl w:ilvl="0" w:tplc="2DB854F8">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0D6867"/>
    <w:multiLevelType w:val="hybridMultilevel"/>
    <w:tmpl w:val="F802316A"/>
    <w:lvl w:ilvl="0" w:tplc="04A4628C">
      <w:start w:val="1"/>
      <w:numFmt w:val="bullet"/>
      <w:lvlText w:val=""/>
      <w:lvlJc w:val="left"/>
      <w:pPr>
        <w:ind w:left="720" w:hanging="360"/>
      </w:pPr>
      <w:rPr>
        <w:rFonts w:ascii="Symbol" w:hAnsi="Symbol"/>
      </w:rPr>
    </w:lvl>
    <w:lvl w:ilvl="1" w:tplc="21A8785A">
      <w:start w:val="1"/>
      <w:numFmt w:val="bullet"/>
      <w:lvlText w:val=""/>
      <w:lvlJc w:val="left"/>
      <w:pPr>
        <w:ind w:left="720" w:hanging="360"/>
      </w:pPr>
      <w:rPr>
        <w:rFonts w:ascii="Symbol" w:hAnsi="Symbol"/>
      </w:rPr>
    </w:lvl>
    <w:lvl w:ilvl="2" w:tplc="740EC782">
      <w:start w:val="1"/>
      <w:numFmt w:val="bullet"/>
      <w:lvlText w:val=""/>
      <w:lvlJc w:val="left"/>
      <w:pPr>
        <w:ind w:left="720" w:hanging="360"/>
      </w:pPr>
      <w:rPr>
        <w:rFonts w:ascii="Symbol" w:hAnsi="Symbol"/>
      </w:rPr>
    </w:lvl>
    <w:lvl w:ilvl="3" w:tplc="64A23870">
      <w:start w:val="1"/>
      <w:numFmt w:val="bullet"/>
      <w:lvlText w:val=""/>
      <w:lvlJc w:val="left"/>
      <w:pPr>
        <w:ind w:left="720" w:hanging="360"/>
      </w:pPr>
      <w:rPr>
        <w:rFonts w:ascii="Symbol" w:hAnsi="Symbol"/>
      </w:rPr>
    </w:lvl>
    <w:lvl w:ilvl="4" w:tplc="9B8E1BDA">
      <w:start w:val="1"/>
      <w:numFmt w:val="bullet"/>
      <w:lvlText w:val=""/>
      <w:lvlJc w:val="left"/>
      <w:pPr>
        <w:ind w:left="720" w:hanging="360"/>
      </w:pPr>
      <w:rPr>
        <w:rFonts w:ascii="Symbol" w:hAnsi="Symbol"/>
      </w:rPr>
    </w:lvl>
    <w:lvl w:ilvl="5" w:tplc="E98ADAE6">
      <w:start w:val="1"/>
      <w:numFmt w:val="bullet"/>
      <w:lvlText w:val=""/>
      <w:lvlJc w:val="left"/>
      <w:pPr>
        <w:ind w:left="720" w:hanging="360"/>
      </w:pPr>
      <w:rPr>
        <w:rFonts w:ascii="Symbol" w:hAnsi="Symbol"/>
      </w:rPr>
    </w:lvl>
    <w:lvl w:ilvl="6" w:tplc="4216A7CE">
      <w:start w:val="1"/>
      <w:numFmt w:val="bullet"/>
      <w:lvlText w:val=""/>
      <w:lvlJc w:val="left"/>
      <w:pPr>
        <w:ind w:left="720" w:hanging="360"/>
      </w:pPr>
      <w:rPr>
        <w:rFonts w:ascii="Symbol" w:hAnsi="Symbol"/>
      </w:rPr>
    </w:lvl>
    <w:lvl w:ilvl="7" w:tplc="24CE479E">
      <w:start w:val="1"/>
      <w:numFmt w:val="bullet"/>
      <w:lvlText w:val=""/>
      <w:lvlJc w:val="left"/>
      <w:pPr>
        <w:ind w:left="720" w:hanging="360"/>
      </w:pPr>
      <w:rPr>
        <w:rFonts w:ascii="Symbol" w:hAnsi="Symbol"/>
      </w:rPr>
    </w:lvl>
    <w:lvl w:ilvl="8" w:tplc="0C428ACC">
      <w:start w:val="1"/>
      <w:numFmt w:val="bullet"/>
      <w:lvlText w:val=""/>
      <w:lvlJc w:val="left"/>
      <w:pPr>
        <w:ind w:left="720" w:hanging="360"/>
      </w:pPr>
      <w:rPr>
        <w:rFonts w:ascii="Symbol" w:hAnsi="Symbol"/>
      </w:rPr>
    </w:lvl>
  </w:abstractNum>
  <w:abstractNum w:abstractNumId="14"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FE0767"/>
    <w:multiLevelType w:val="hybridMultilevel"/>
    <w:tmpl w:val="B3204DEE"/>
    <w:lvl w:ilvl="0" w:tplc="7084F39E">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7300D7"/>
    <w:multiLevelType w:val="hybridMultilevel"/>
    <w:tmpl w:val="CA3AB916"/>
    <w:lvl w:ilvl="0" w:tplc="29307CAC">
      <w:start w:val="1"/>
      <w:numFmt w:val="bullet"/>
      <w:lvlText w:val="-"/>
      <w:lvlJc w:val="left"/>
      <w:pPr>
        <w:ind w:left="1080" w:hanging="360"/>
      </w:pPr>
      <w:rPr>
        <w:rFonts w:ascii="Arial" w:eastAsiaTheme="minorHAnsi"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5442604"/>
    <w:multiLevelType w:val="hybridMultilevel"/>
    <w:tmpl w:val="1C487A20"/>
    <w:lvl w:ilvl="0" w:tplc="7084F39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D9422E"/>
    <w:multiLevelType w:val="hybridMultilevel"/>
    <w:tmpl w:val="33BE4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4C8C4EA3"/>
    <w:multiLevelType w:val="hybridMultilevel"/>
    <w:tmpl w:val="5756DAD2"/>
    <w:lvl w:ilvl="0" w:tplc="9BEAF29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2FE23D8"/>
    <w:multiLevelType w:val="hybridMultilevel"/>
    <w:tmpl w:val="76CCDF5E"/>
    <w:lvl w:ilvl="0" w:tplc="C68C5C22">
      <w:start w:val="1"/>
      <w:numFmt w:val="decimal"/>
      <w:lvlText w:val="%1."/>
      <w:lvlJc w:val="left"/>
      <w:pPr>
        <w:ind w:left="1020" w:hanging="360"/>
      </w:pPr>
    </w:lvl>
    <w:lvl w:ilvl="1" w:tplc="13B0CE84">
      <w:start w:val="1"/>
      <w:numFmt w:val="decimal"/>
      <w:lvlText w:val="%2."/>
      <w:lvlJc w:val="left"/>
      <w:pPr>
        <w:ind w:left="1020" w:hanging="360"/>
      </w:pPr>
    </w:lvl>
    <w:lvl w:ilvl="2" w:tplc="2766FD38">
      <w:start w:val="1"/>
      <w:numFmt w:val="decimal"/>
      <w:lvlText w:val="%3."/>
      <w:lvlJc w:val="left"/>
      <w:pPr>
        <w:ind w:left="1020" w:hanging="360"/>
      </w:pPr>
    </w:lvl>
    <w:lvl w:ilvl="3" w:tplc="DF9860CE">
      <w:start w:val="1"/>
      <w:numFmt w:val="decimal"/>
      <w:lvlText w:val="%4."/>
      <w:lvlJc w:val="left"/>
      <w:pPr>
        <w:ind w:left="1020" w:hanging="360"/>
      </w:pPr>
    </w:lvl>
    <w:lvl w:ilvl="4" w:tplc="17B4C702">
      <w:start w:val="1"/>
      <w:numFmt w:val="decimal"/>
      <w:lvlText w:val="%5."/>
      <w:lvlJc w:val="left"/>
      <w:pPr>
        <w:ind w:left="1020" w:hanging="360"/>
      </w:pPr>
    </w:lvl>
    <w:lvl w:ilvl="5" w:tplc="201887F2">
      <w:start w:val="1"/>
      <w:numFmt w:val="decimal"/>
      <w:lvlText w:val="%6."/>
      <w:lvlJc w:val="left"/>
      <w:pPr>
        <w:ind w:left="1020" w:hanging="360"/>
      </w:pPr>
    </w:lvl>
    <w:lvl w:ilvl="6" w:tplc="B082D7AC">
      <w:start w:val="1"/>
      <w:numFmt w:val="decimal"/>
      <w:lvlText w:val="%7."/>
      <w:lvlJc w:val="left"/>
      <w:pPr>
        <w:ind w:left="1020" w:hanging="360"/>
      </w:pPr>
    </w:lvl>
    <w:lvl w:ilvl="7" w:tplc="9FB44AE6">
      <w:start w:val="1"/>
      <w:numFmt w:val="decimal"/>
      <w:lvlText w:val="%8."/>
      <w:lvlJc w:val="left"/>
      <w:pPr>
        <w:ind w:left="1020" w:hanging="360"/>
      </w:pPr>
    </w:lvl>
    <w:lvl w:ilvl="8" w:tplc="AB1E17AA">
      <w:start w:val="1"/>
      <w:numFmt w:val="decimal"/>
      <w:lvlText w:val="%9."/>
      <w:lvlJc w:val="left"/>
      <w:pPr>
        <w:ind w:left="1020" w:hanging="360"/>
      </w:pPr>
    </w:lvl>
  </w:abstractNum>
  <w:abstractNum w:abstractNumId="23" w15:restartNumberingAfterBreak="0">
    <w:nsid w:val="55531566"/>
    <w:multiLevelType w:val="hybridMultilevel"/>
    <w:tmpl w:val="53BCE84E"/>
    <w:lvl w:ilvl="0" w:tplc="7084F39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7" w15:restartNumberingAfterBreak="0">
    <w:nsid w:val="73B95FBF"/>
    <w:multiLevelType w:val="hybridMultilevel"/>
    <w:tmpl w:val="EC4E171C"/>
    <w:lvl w:ilvl="0" w:tplc="4DDA0EBE">
      <w:start w:val="1"/>
      <w:numFmt w:val="bullet"/>
      <w:pStyle w:val="xBulle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BBF1302"/>
    <w:multiLevelType w:val="hybridMultilevel"/>
    <w:tmpl w:val="C292F9BE"/>
    <w:lvl w:ilvl="0" w:tplc="70607C78">
      <w:start w:val="1"/>
      <w:numFmt w:val="bullet"/>
      <w:lvlText w:val=""/>
      <w:lvlJc w:val="left"/>
      <w:pPr>
        <w:ind w:left="720" w:hanging="360"/>
      </w:pPr>
      <w:rPr>
        <w:rFonts w:ascii="Symbol" w:hAnsi="Symbol"/>
      </w:rPr>
    </w:lvl>
    <w:lvl w:ilvl="1" w:tplc="89AE3DC0">
      <w:start w:val="1"/>
      <w:numFmt w:val="bullet"/>
      <w:lvlText w:val=""/>
      <w:lvlJc w:val="left"/>
      <w:pPr>
        <w:ind w:left="720" w:hanging="360"/>
      </w:pPr>
      <w:rPr>
        <w:rFonts w:ascii="Symbol" w:hAnsi="Symbol"/>
      </w:rPr>
    </w:lvl>
    <w:lvl w:ilvl="2" w:tplc="69242672">
      <w:start w:val="1"/>
      <w:numFmt w:val="bullet"/>
      <w:lvlText w:val=""/>
      <w:lvlJc w:val="left"/>
      <w:pPr>
        <w:ind w:left="720" w:hanging="360"/>
      </w:pPr>
      <w:rPr>
        <w:rFonts w:ascii="Symbol" w:hAnsi="Symbol"/>
      </w:rPr>
    </w:lvl>
    <w:lvl w:ilvl="3" w:tplc="40D0D75E">
      <w:start w:val="1"/>
      <w:numFmt w:val="bullet"/>
      <w:lvlText w:val=""/>
      <w:lvlJc w:val="left"/>
      <w:pPr>
        <w:ind w:left="720" w:hanging="360"/>
      </w:pPr>
      <w:rPr>
        <w:rFonts w:ascii="Symbol" w:hAnsi="Symbol"/>
      </w:rPr>
    </w:lvl>
    <w:lvl w:ilvl="4" w:tplc="DC1A7A08">
      <w:start w:val="1"/>
      <w:numFmt w:val="bullet"/>
      <w:lvlText w:val=""/>
      <w:lvlJc w:val="left"/>
      <w:pPr>
        <w:ind w:left="720" w:hanging="360"/>
      </w:pPr>
      <w:rPr>
        <w:rFonts w:ascii="Symbol" w:hAnsi="Symbol"/>
      </w:rPr>
    </w:lvl>
    <w:lvl w:ilvl="5" w:tplc="03F8AFB0">
      <w:start w:val="1"/>
      <w:numFmt w:val="bullet"/>
      <w:lvlText w:val=""/>
      <w:lvlJc w:val="left"/>
      <w:pPr>
        <w:ind w:left="720" w:hanging="360"/>
      </w:pPr>
      <w:rPr>
        <w:rFonts w:ascii="Symbol" w:hAnsi="Symbol"/>
      </w:rPr>
    </w:lvl>
    <w:lvl w:ilvl="6" w:tplc="8A988882">
      <w:start w:val="1"/>
      <w:numFmt w:val="bullet"/>
      <w:lvlText w:val=""/>
      <w:lvlJc w:val="left"/>
      <w:pPr>
        <w:ind w:left="720" w:hanging="360"/>
      </w:pPr>
      <w:rPr>
        <w:rFonts w:ascii="Symbol" w:hAnsi="Symbol"/>
      </w:rPr>
    </w:lvl>
    <w:lvl w:ilvl="7" w:tplc="460CAE48">
      <w:start w:val="1"/>
      <w:numFmt w:val="bullet"/>
      <w:lvlText w:val=""/>
      <w:lvlJc w:val="left"/>
      <w:pPr>
        <w:ind w:left="720" w:hanging="360"/>
      </w:pPr>
      <w:rPr>
        <w:rFonts w:ascii="Symbol" w:hAnsi="Symbol"/>
      </w:rPr>
    </w:lvl>
    <w:lvl w:ilvl="8" w:tplc="962484F4">
      <w:start w:val="1"/>
      <w:numFmt w:val="bullet"/>
      <w:lvlText w:val=""/>
      <w:lvlJc w:val="left"/>
      <w:pPr>
        <w:ind w:left="720" w:hanging="360"/>
      </w:pPr>
      <w:rPr>
        <w:rFonts w:ascii="Symbol" w:hAnsi="Symbol"/>
      </w:rPr>
    </w:lvl>
  </w:abstractNum>
  <w:num w:numId="1" w16cid:durableId="1208764004">
    <w:abstractNumId w:val="26"/>
  </w:num>
  <w:num w:numId="2" w16cid:durableId="1678000311">
    <w:abstractNumId w:val="24"/>
  </w:num>
  <w:num w:numId="3" w16cid:durableId="1018848057">
    <w:abstractNumId w:val="19"/>
  </w:num>
  <w:num w:numId="4" w16cid:durableId="1304190575">
    <w:abstractNumId w:val="14"/>
  </w:num>
  <w:num w:numId="5" w16cid:durableId="2057312338">
    <w:abstractNumId w:val="25"/>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21"/>
  </w:num>
  <w:num w:numId="17" w16cid:durableId="1421174406">
    <w:abstractNumId w:val="27"/>
  </w:num>
  <w:num w:numId="18" w16cid:durableId="277952516">
    <w:abstractNumId w:val="18"/>
  </w:num>
  <w:num w:numId="19" w16cid:durableId="901911060">
    <w:abstractNumId w:val="20"/>
  </w:num>
  <w:num w:numId="20" w16cid:durableId="2051880871">
    <w:abstractNumId w:val="15"/>
  </w:num>
  <w:num w:numId="21" w16cid:durableId="1561206774">
    <w:abstractNumId w:val="23"/>
  </w:num>
  <w:num w:numId="22" w16cid:durableId="245237270">
    <w:abstractNumId w:val="17"/>
  </w:num>
  <w:num w:numId="23" w16cid:durableId="419958968">
    <w:abstractNumId w:val="16"/>
  </w:num>
  <w:num w:numId="24" w16cid:durableId="565646115">
    <w:abstractNumId w:val="12"/>
  </w:num>
  <w:num w:numId="25" w16cid:durableId="334692736">
    <w:abstractNumId w:val="28"/>
  </w:num>
  <w:num w:numId="26" w16cid:durableId="793909682">
    <w:abstractNumId w:val="22"/>
  </w:num>
  <w:num w:numId="27" w16cid:durableId="225990622">
    <w:abstractNumId w:val="10"/>
  </w:num>
  <w:num w:numId="28" w16cid:durableId="126825675">
    <w:abstractNumId w:val="11"/>
  </w:num>
  <w:num w:numId="29" w16cid:durableId="3655205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8396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03F7"/>
    <w:rsid w:val="00003885"/>
    <w:rsid w:val="00014D50"/>
    <w:rsid w:val="00016021"/>
    <w:rsid w:val="00031840"/>
    <w:rsid w:val="00031D88"/>
    <w:rsid w:val="000375AB"/>
    <w:rsid w:val="00042640"/>
    <w:rsid w:val="00044D1C"/>
    <w:rsid w:val="00046815"/>
    <w:rsid w:val="00046B16"/>
    <w:rsid w:val="00051B24"/>
    <w:rsid w:val="00054376"/>
    <w:rsid w:val="00054F67"/>
    <w:rsid w:val="0005780E"/>
    <w:rsid w:val="00065CC6"/>
    <w:rsid w:val="0006732E"/>
    <w:rsid w:val="0007090A"/>
    <w:rsid w:val="00071EE1"/>
    <w:rsid w:val="00071F30"/>
    <w:rsid w:val="0007302D"/>
    <w:rsid w:val="0007417E"/>
    <w:rsid w:val="00077EFF"/>
    <w:rsid w:val="00080AB8"/>
    <w:rsid w:val="00082EEC"/>
    <w:rsid w:val="000838F3"/>
    <w:rsid w:val="00087B0C"/>
    <w:rsid w:val="000A71F7"/>
    <w:rsid w:val="000A7410"/>
    <w:rsid w:val="000B0C73"/>
    <w:rsid w:val="000C0D5B"/>
    <w:rsid w:val="000C4A56"/>
    <w:rsid w:val="000C4C84"/>
    <w:rsid w:val="000C7ACC"/>
    <w:rsid w:val="000D1A71"/>
    <w:rsid w:val="000D2305"/>
    <w:rsid w:val="000D6455"/>
    <w:rsid w:val="000E4F01"/>
    <w:rsid w:val="000F09E4"/>
    <w:rsid w:val="000F16FD"/>
    <w:rsid w:val="000F355D"/>
    <w:rsid w:val="000F3989"/>
    <w:rsid w:val="000F3BF0"/>
    <w:rsid w:val="000F5AAF"/>
    <w:rsid w:val="000F7D36"/>
    <w:rsid w:val="00105236"/>
    <w:rsid w:val="00106965"/>
    <w:rsid w:val="00110B1E"/>
    <w:rsid w:val="00111870"/>
    <w:rsid w:val="001124B6"/>
    <w:rsid w:val="0011385E"/>
    <w:rsid w:val="00113E91"/>
    <w:rsid w:val="00116534"/>
    <w:rsid w:val="00122A0B"/>
    <w:rsid w:val="00127FB9"/>
    <w:rsid w:val="00134A64"/>
    <w:rsid w:val="00143520"/>
    <w:rsid w:val="001522D3"/>
    <w:rsid w:val="00153AD2"/>
    <w:rsid w:val="00153B06"/>
    <w:rsid w:val="00154B3A"/>
    <w:rsid w:val="00157CC6"/>
    <w:rsid w:val="00164828"/>
    <w:rsid w:val="00171146"/>
    <w:rsid w:val="001724EB"/>
    <w:rsid w:val="00173BF3"/>
    <w:rsid w:val="001779EA"/>
    <w:rsid w:val="00180F5E"/>
    <w:rsid w:val="00184FD6"/>
    <w:rsid w:val="001A74E4"/>
    <w:rsid w:val="001B4114"/>
    <w:rsid w:val="001B45BA"/>
    <w:rsid w:val="001C62F6"/>
    <w:rsid w:val="001D3246"/>
    <w:rsid w:val="001D3513"/>
    <w:rsid w:val="001D37F1"/>
    <w:rsid w:val="001E1F25"/>
    <w:rsid w:val="001E1F52"/>
    <w:rsid w:val="001E333B"/>
    <w:rsid w:val="001E4518"/>
    <w:rsid w:val="0020462C"/>
    <w:rsid w:val="0020616B"/>
    <w:rsid w:val="00206522"/>
    <w:rsid w:val="002069C7"/>
    <w:rsid w:val="00210278"/>
    <w:rsid w:val="002279BA"/>
    <w:rsid w:val="002329F3"/>
    <w:rsid w:val="0023336B"/>
    <w:rsid w:val="00236E3E"/>
    <w:rsid w:val="00242C29"/>
    <w:rsid w:val="00243F0D"/>
    <w:rsid w:val="002440F3"/>
    <w:rsid w:val="00244860"/>
    <w:rsid w:val="00251A79"/>
    <w:rsid w:val="00255058"/>
    <w:rsid w:val="0025707E"/>
    <w:rsid w:val="00260767"/>
    <w:rsid w:val="00260F75"/>
    <w:rsid w:val="002647BB"/>
    <w:rsid w:val="00267393"/>
    <w:rsid w:val="00273BD2"/>
    <w:rsid w:val="00274301"/>
    <w:rsid w:val="002754C1"/>
    <w:rsid w:val="002803CE"/>
    <w:rsid w:val="002841C8"/>
    <w:rsid w:val="00284976"/>
    <w:rsid w:val="0028516B"/>
    <w:rsid w:val="00286275"/>
    <w:rsid w:val="002A05AB"/>
    <w:rsid w:val="002A29EE"/>
    <w:rsid w:val="002B0384"/>
    <w:rsid w:val="002B0664"/>
    <w:rsid w:val="002B5F2F"/>
    <w:rsid w:val="002B7D39"/>
    <w:rsid w:val="002C2E36"/>
    <w:rsid w:val="002C520B"/>
    <w:rsid w:val="002C5DB6"/>
    <w:rsid w:val="002C6A59"/>
    <w:rsid w:val="002C6F90"/>
    <w:rsid w:val="002C7B0F"/>
    <w:rsid w:val="002D0559"/>
    <w:rsid w:val="002D14C7"/>
    <w:rsid w:val="002D25AF"/>
    <w:rsid w:val="002D2B6F"/>
    <w:rsid w:val="002D403B"/>
    <w:rsid w:val="002E4FB5"/>
    <w:rsid w:val="002E5BD8"/>
    <w:rsid w:val="002F2B13"/>
    <w:rsid w:val="002F4F1A"/>
    <w:rsid w:val="002F7B0F"/>
    <w:rsid w:val="00300A47"/>
    <w:rsid w:val="003013C2"/>
    <w:rsid w:val="003014EF"/>
    <w:rsid w:val="00302880"/>
    <w:rsid w:val="00302FB8"/>
    <w:rsid w:val="00304EA1"/>
    <w:rsid w:val="003058C7"/>
    <w:rsid w:val="00310528"/>
    <w:rsid w:val="00314D73"/>
    <w:rsid w:val="00314D81"/>
    <w:rsid w:val="003178DB"/>
    <w:rsid w:val="00322FC6"/>
    <w:rsid w:val="0032508A"/>
    <w:rsid w:val="003250A7"/>
    <w:rsid w:val="003263E5"/>
    <w:rsid w:val="00326AD6"/>
    <w:rsid w:val="00337F61"/>
    <w:rsid w:val="00344DDE"/>
    <w:rsid w:val="0035293F"/>
    <w:rsid w:val="00352F6C"/>
    <w:rsid w:val="00364A20"/>
    <w:rsid w:val="00367E09"/>
    <w:rsid w:val="00370549"/>
    <w:rsid w:val="00371D21"/>
    <w:rsid w:val="0037328B"/>
    <w:rsid w:val="00381C75"/>
    <w:rsid w:val="00383CA0"/>
    <w:rsid w:val="00385FAE"/>
    <w:rsid w:val="00391986"/>
    <w:rsid w:val="0039371E"/>
    <w:rsid w:val="003956B2"/>
    <w:rsid w:val="003A00B4"/>
    <w:rsid w:val="003A06B2"/>
    <w:rsid w:val="003A0742"/>
    <w:rsid w:val="003A2F3D"/>
    <w:rsid w:val="003A692D"/>
    <w:rsid w:val="003A7BCD"/>
    <w:rsid w:val="003B6B98"/>
    <w:rsid w:val="003B722E"/>
    <w:rsid w:val="003C3728"/>
    <w:rsid w:val="003C43F7"/>
    <w:rsid w:val="003C5CB7"/>
    <w:rsid w:val="003C5E71"/>
    <w:rsid w:val="003D7958"/>
    <w:rsid w:val="003E046B"/>
    <w:rsid w:val="003E468C"/>
    <w:rsid w:val="003E5D74"/>
    <w:rsid w:val="003F24F5"/>
    <w:rsid w:val="003F3169"/>
    <w:rsid w:val="0040075C"/>
    <w:rsid w:val="00402034"/>
    <w:rsid w:val="00411105"/>
    <w:rsid w:val="0041519E"/>
    <w:rsid w:val="004153CD"/>
    <w:rsid w:val="004172A1"/>
    <w:rsid w:val="00417AA3"/>
    <w:rsid w:val="00417BEE"/>
    <w:rsid w:val="00425DFE"/>
    <w:rsid w:val="00426472"/>
    <w:rsid w:val="00427A1A"/>
    <w:rsid w:val="004309A1"/>
    <w:rsid w:val="004332FB"/>
    <w:rsid w:val="004341C5"/>
    <w:rsid w:val="00434EDB"/>
    <w:rsid w:val="00435225"/>
    <w:rsid w:val="00440B32"/>
    <w:rsid w:val="00440CB6"/>
    <w:rsid w:val="00444D60"/>
    <w:rsid w:val="004452F2"/>
    <w:rsid w:val="00450566"/>
    <w:rsid w:val="0045119E"/>
    <w:rsid w:val="00452F41"/>
    <w:rsid w:val="00453455"/>
    <w:rsid w:val="00453EE1"/>
    <w:rsid w:val="004543E3"/>
    <w:rsid w:val="004576DE"/>
    <w:rsid w:val="0046078D"/>
    <w:rsid w:val="0046107C"/>
    <w:rsid w:val="004617A0"/>
    <w:rsid w:val="00467E0D"/>
    <w:rsid w:val="00477988"/>
    <w:rsid w:val="0048143D"/>
    <w:rsid w:val="00490D0D"/>
    <w:rsid w:val="00493174"/>
    <w:rsid w:val="00495C80"/>
    <w:rsid w:val="00496016"/>
    <w:rsid w:val="004971B8"/>
    <w:rsid w:val="004A1264"/>
    <w:rsid w:val="004A2ED8"/>
    <w:rsid w:val="004B3D60"/>
    <w:rsid w:val="004C0741"/>
    <w:rsid w:val="004C4994"/>
    <w:rsid w:val="004C5535"/>
    <w:rsid w:val="004C7177"/>
    <w:rsid w:val="004C755C"/>
    <w:rsid w:val="004D144E"/>
    <w:rsid w:val="004D15C4"/>
    <w:rsid w:val="004D43E3"/>
    <w:rsid w:val="004D6418"/>
    <w:rsid w:val="004D6E97"/>
    <w:rsid w:val="004E3D81"/>
    <w:rsid w:val="004E545F"/>
    <w:rsid w:val="004F1723"/>
    <w:rsid w:val="004F5BDA"/>
    <w:rsid w:val="004F736D"/>
    <w:rsid w:val="00500255"/>
    <w:rsid w:val="00503381"/>
    <w:rsid w:val="005101CE"/>
    <w:rsid w:val="00510632"/>
    <w:rsid w:val="00511B58"/>
    <w:rsid w:val="0051302C"/>
    <w:rsid w:val="0051539C"/>
    <w:rsid w:val="0051631E"/>
    <w:rsid w:val="00523016"/>
    <w:rsid w:val="005263A9"/>
    <w:rsid w:val="00527DEB"/>
    <w:rsid w:val="00527EB6"/>
    <w:rsid w:val="00531DDC"/>
    <w:rsid w:val="005320C4"/>
    <w:rsid w:val="005321D5"/>
    <w:rsid w:val="00534163"/>
    <w:rsid w:val="0053597F"/>
    <w:rsid w:val="00537A1F"/>
    <w:rsid w:val="00540122"/>
    <w:rsid w:val="005427DD"/>
    <w:rsid w:val="00543737"/>
    <w:rsid w:val="00553D40"/>
    <w:rsid w:val="00562A5E"/>
    <w:rsid w:val="00566029"/>
    <w:rsid w:val="00571E37"/>
    <w:rsid w:val="005727D6"/>
    <w:rsid w:val="00572D30"/>
    <w:rsid w:val="00574291"/>
    <w:rsid w:val="00574B93"/>
    <w:rsid w:val="00574BC7"/>
    <w:rsid w:val="00575065"/>
    <w:rsid w:val="00577D2A"/>
    <w:rsid w:val="005803F9"/>
    <w:rsid w:val="0058310A"/>
    <w:rsid w:val="00583F05"/>
    <w:rsid w:val="00585082"/>
    <w:rsid w:val="005923CB"/>
    <w:rsid w:val="0059362F"/>
    <w:rsid w:val="00594C8E"/>
    <w:rsid w:val="00596649"/>
    <w:rsid w:val="005A0FA8"/>
    <w:rsid w:val="005A20A5"/>
    <w:rsid w:val="005A4AC7"/>
    <w:rsid w:val="005A5FC8"/>
    <w:rsid w:val="005A6CF8"/>
    <w:rsid w:val="005A7226"/>
    <w:rsid w:val="005B391B"/>
    <w:rsid w:val="005C5641"/>
    <w:rsid w:val="005C75D2"/>
    <w:rsid w:val="005D3D78"/>
    <w:rsid w:val="005D4B61"/>
    <w:rsid w:val="005D4F0C"/>
    <w:rsid w:val="005E2A56"/>
    <w:rsid w:val="005E2EA3"/>
    <w:rsid w:val="005E2EF0"/>
    <w:rsid w:val="005E6F51"/>
    <w:rsid w:val="005F024E"/>
    <w:rsid w:val="005F4092"/>
    <w:rsid w:val="005F4345"/>
    <w:rsid w:val="006011D6"/>
    <w:rsid w:val="006018BE"/>
    <w:rsid w:val="006021E7"/>
    <w:rsid w:val="00606FD6"/>
    <w:rsid w:val="006118CF"/>
    <w:rsid w:val="00612E11"/>
    <w:rsid w:val="0062336F"/>
    <w:rsid w:val="00626139"/>
    <w:rsid w:val="00626FC5"/>
    <w:rsid w:val="006326D6"/>
    <w:rsid w:val="00634B85"/>
    <w:rsid w:val="00637922"/>
    <w:rsid w:val="00640736"/>
    <w:rsid w:val="00641F23"/>
    <w:rsid w:val="006438AE"/>
    <w:rsid w:val="006604BE"/>
    <w:rsid w:val="00664747"/>
    <w:rsid w:val="00671251"/>
    <w:rsid w:val="006842F3"/>
    <w:rsid w:val="0068471E"/>
    <w:rsid w:val="00684F98"/>
    <w:rsid w:val="00685D57"/>
    <w:rsid w:val="00687B28"/>
    <w:rsid w:val="006904B7"/>
    <w:rsid w:val="00693FFD"/>
    <w:rsid w:val="006960AB"/>
    <w:rsid w:val="00697EF6"/>
    <w:rsid w:val="006A00E6"/>
    <w:rsid w:val="006A2432"/>
    <w:rsid w:val="006B4952"/>
    <w:rsid w:val="006C4F15"/>
    <w:rsid w:val="006C6F6E"/>
    <w:rsid w:val="006D2159"/>
    <w:rsid w:val="006D23C2"/>
    <w:rsid w:val="006D6818"/>
    <w:rsid w:val="006E0F0C"/>
    <w:rsid w:val="006E1565"/>
    <w:rsid w:val="006E1A67"/>
    <w:rsid w:val="006E4ECF"/>
    <w:rsid w:val="006E6207"/>
    <w:rsid w:val="006E6FF9"/>
    <w:rsid w:val="006F1B41"/>
    <w:rsid w:val="006F3DD6"/>
    <w:rsid w:val="006F4B75"/>
    <w:rsid w:val="006F6769"/>
    <w:rsid w:val="006F787C"/>
    <w:rsid w:val="00702636"/>
    <w:rsid w:val="007108A6"/>
    <w:rsid w:val="00710D94"/>
    <w:rsid w:val="00712C47"/>
    <w:rsid w:val="00714FE2"/>
    <w:rsid w:val="00716FA2"/>
    <w:rsid w:val="00721B4E"/>
    <w:rsid w:val="00724507"/>
    <w:rsid w:val="00731D26"/>
    <w:rsid w:val="00731DDD"/>
    <w:rsid w:val="00732CF3"/>
    <w:rsid w:val="007378A3"/>
    <w:rsid w:val="007405AD"/>
    <w:rsid w:val="00742427"/>
    <w:rsid w:val="00742E5B"/>
    <w:rsid w:val="00753B11"/>
    <w:rsid w:val="007619FC"/>
    <w:rsid w:val="00761BAD"/>
    <w:rsid w:val="00761D9D"/>
    <w:rsid w:val="007722E2"/>
    <w:rsid w:val="00772E20"/>
    <w:rsid w:val="00773E6C"/>
    <w:rsid w:val="00775B61"/>
    <w:rsid w:val="00776868"/>
    <w:rsid w:val="00777602"/>
    <w:rsid w:val="00780A73"/>
    <w:rsid w:val="00781FB1"/>
    <w:rsid w:val="00784467"/>
    <w:rsid w:val="0078585D"/>
    <w:rsid w:val="00791ACB"/>
    <w:rsid w:val="007A0E14"/>
    <w:rsid w:val="007A2C74"/>
    <w:rsid w:val="007A6CEF"/>
    <w:rsid w:val="007B6270"/>
    <w:rsid w:val="007B64EE"/>
    <w:rsid w:val="007B6F91"/>
    <w:rsid w:val="007B7EE2"/>
    <w:rsid w:val="007C28F3"/>
    <w:rsid w:val="007C5F15"/>
    <w:rsid w:val="007D1B6D"/>
    <w:rsid w:val="007D7CDE"/>
    <w:rsid w:val="007E5042"/>
    <w:rsid w:val="007E68E6"/>
    <w:rsid w:val="007E757E"/>
    <w:rsid w:val="007F21E4"/>
    <w:rsid w:val="007F3383"/>
    <w:rsid w:val="007F35B5"/>
    <w:rsid w:val="007F55DD"/>
    <w:rsid w:val="00801403"/>
    <w:rsid w:val="00802B09"/>
    <w:rsid w:val="00806904"/>
    <w:rsid w:val="00806C9F"/>
    <w:rsid w:val="00807E1C"/>
    <w:rsid w:val="008134F4"/>
    <w:rsid w:val="00813C37"/>
    <w:rsid w:val="00814FF1"/>
    <w:rsid w:val="008154B5"/>
    <w:rsid w:val="00815DE4"/>
    <w:rsid w:val="00817D0C"/>
    <w:rsid w:val="00823962"/>
    <w:rsid w:val="008260FC"/>
    <w:rsid w:val="00833D2C"/>
    <w:rsid w:val="00835FFC"/>
    <w:rsid w:val="008366A0"/>
    <w:rsid w:val="0084617E"/>
    <w:rsid w:val="008470F1"/>
    <w:rsid w:val="00850410"/>
    <w:rsid w:val="00850A4D"/>
    <w:rsid w:val="0085218D"/>
    <w:rsid w:val="00852719"/>
    <w:rsid w:val="00853E30"/>
    <w:rsid w:val="00855CD3"/>
    <w:rsid w:val="00857574"/>
    <w:rsid w:val="00857AE2"/>
    <w:rsid w:val="00860115"/>
    <w:rsid w:val="00863D6A"/>
    <w:rsid w:val="00863EC1"/>
    <w:rsid w:val="00864503"/>
    <w:rsid w:val="00865F90"/>
    <w:rsid w:val="00870A89"/>
    <w:rsid w:val="00880DE6"/>
    <w:rsid w:val="0088168C"/>
    <w:rsid w:val="0088613A"/>
    <w:rsid w:val="00886C52"/>
    <w:rsid w:val="0088783C"/>
    <w:rsid w:val="008911A6"/>
    <w:rsid w:val="00893E1A"/>
    <w:rsid w:val="00897E4A"/>
    <w:rsid w:val="008A0EE1"/>
    <w:rsid w:val="008A1BF9"/>
    <w:rsid w:val="008A2E4D"/>
    <w:rsid w:val="008A34D4"/>
    <w:rsid w:val="008A39A2"/>
    <w:rsid w:val="008B28FA"/>
    <w:rsid w:val="008B36F5"/>
    <w:rsid w:val="008B5644"/>
    <w:rsid w:val="008C0865"/>
    <w:rsid w:val="008C16F2"/>
    <w:rsid w:val="008C579A"/>
    <w:rsid w:val="008D00A9"/>
    <w:rsid w:val="008D062D"/>
    <w:rsid w:val="008D075E"/>
    <w:rsid w:val="008D228F"/>
    <w:rsid w:val="008D3E54"/>
    <w:rsid w:val="008D6059"/>
    <w:rsid w:val="008D72C7"/>
    <w:rsid w:val="008D734C"/>
    <w:rsid w:val="008D7A01"/>
    <w:rsid w:val="008E3566"/>
    <w:rsid w:val="008E4D4C"/>
    <w:rsid w:val="008E7504"/>
    <w:rsid w:val="008F1F61"/>
    <w:rsid w:val="008F234A"/>
    <w:rsid w:val="008F5F9A"/>
    <w:rsid w:val="00903D76"/>
    <w:rsid w:val="00907ADE"/>
    <w:rsid w:val="009132B1"/>
    <w:rsid w:val="00913685"/>
    <w:rsid w:val="00924D1E"/>
    <w:rsid w:val="0092516E"/>
    <w:rsid w:val="00930B55"/>
    <w:rsid w:val="00931EC8"/>
    <w:rsid w:val="0093582D"/>
    <w:rsid w:val="00935B44"/>
    <w:rsid w:val="009370BC"/>
    <w:rsid w:val="009427A8"/>
    <w:rsid w:val="00942D30"/>
    <w:rsid w:val="009444E5"/>
    <w:rsid w:val="00945034"/>
    <w:rsid w:val="00951451"/>
    <w:rsid w:val="009577B5"/>
    <w:rsid w:val="00963DF6"/>
    <w:rsid w:val="00967025"/>
    <w:rsid w:val="00970580"/>
    <w:rsid w:val="0097102E"/>
    <w:rsid w:val="009808BF"/>
    <w:rsid w:val="0098206F"/>
    <w:rsid w:val="009868FD"/>
    <w:rsid w:val="00987083"/>
    <w:rsid w:val="0098739B"/>
    <w:rsid w:val="009914FB"/>
    <w:rsid w:val="00992DCA"/>
    <w:rsid w:val="00992E00"/>
    <w:rsid w:val="009959C6"/>
    <w:rsid w:val="00997B1E"/>
    <w:rsid w:val="009A0FEB"/>
    <w:rsid w:val="009A1CAC"/>
    <w:rsid w:val="009A2426"/>
    <w:rsid w:val="009A503F"/>
    <w:rsid w:val="009A5287"/>
    <w:rsid w:val="009B21F6"/>
    <w:rsid w:val="009B61E5"/>
    <w:rsid w:val="009B6D21"/>
    <w:rsid w:val="009B786D"/>
    <w:rsid w:val="009C13AA"/>
    <w:rsid w:val="009C6D58"/>
    <w:rsid w:val="009D02D6"/>
    <w:rsid w:val="009D084F"/>
    <w:rsid w:val="009D14C4"/>
    <w:rsid w:val="009D1E89"/>
    <w:rsid w:val="009D2DD9"/>
    <w:rsid w:val="009D424A"/>
    <w:rsid w:val="009D5C72"/>
    <w:rsid w:val="009D758B"/>
    <w:rsid w:val="009D7AF6"/>
    <w:rsid w:val="009E1B9C"/>
    <w:rsid w:val="009E5307"/>
    <w:rsid w:val="009E5707"/>
    <w:rsid w:val="009E6A86"/>
    <w:rsid w:val="009F37CA"/>
    <w:rsid w:val="009F3E85"/>
    <w:rsid w:val="009F5EDC"/>
    <w:rsid w:val="009F65E0"/>
    <w:rsid w:val="00A03758"/>
    <w:rsid w:val="00A10CF6"/>
    <w:rsid w:val="00A17661"/>
    <w:rsid w:val="00A2036F"/>
    <w:rsid w:val="00A24B2D"/>
    <w:rsid w:val="00A26EE9"/>
    <w:rsid w:val="00A273DB"/>
    <w:rsid w:val="00A27807"/>
    <w:rsid w:val="00A333B6"/>
    <w:rsid w:val="00A37428"/>
    <w:rsid w:val="00A40966"/>
    <w:rsid w:val="00A40CFD"/>
    <w:rsid w:val="00A42686"/>
    <w:rsid w:val="00A43BAD"/>
    <w:rsid w:val="00A441DD"/>
    <w:rsid w:val="00A52821"/>
    <w:rsid w:val="00A52D1F"/>
    <w:rsid w:val="00A56379"/>
    <w:rsid w:val="00A564E7"/>
    <w:rsid w:val="00A5687D"/>
    <w:rsid w:val="00A7663A"/>
    <w:rsid w:val="00A76709"/>
    <w:rsid w:val="00A874B8"/>
    <w:rsid w:val="00A91760"/>
    <w:rsid w:val="00A921E0"/>
    <w:rsid w:val="00A922F4"/>
    <w:rsid w:val="00A95052"/>
    <w:rsid w:val="00A954E6"/>
    <w:rsid w:val="00A97EFD"/>
    <w:rsid w:val="00AA356C"/>
    <w:rsid w:val="00AA4026"/>
    <w:rsid w:val="00AA5096"/>
    <w:rsid w:val="00AA5FEF"/>
    <w:rsid w:val="00AC068B"/>
    <w:rsid w:val="00AC6897"/>
    <w:rsid w:val="00AC6CA4"/>
    <w:rsid w:val="00AC6FA2"/>
    <w:rsid w:val="00AD03FD"/>
    <w:rsid w:val="00AD56B3"/>
    <w:rsid w:val="00AE5526"/>
    <w:rsid w:val="00AE6D12"/>
    <w:rsid w:val="00AF051B"/>
    <w:rsid w:val="00AF150B"/>
    <w:rsid w:val="00AF1C2A"/>
    <w:rsid w:val="00AF4ADF"/>
    <w:rsid w:val="00AF676F"/>
    <w:rsid w:val="00B01578"/>
    <w:rsid w:val="00B01755"/>
    <w:rsid w:val="00B04432"/>
    <w:rsid w:val="00B04BF8"/>
    <w:rsid w:val="00B0738F"/>
    <w:rsid w:val="00B074A2"/>
    <w:rsid w:val="00B07B2F"/>
    <w:rsid w:val="00B13D3B"/>
    <w:rsid w:val="00B15041"/>
    <w:rsid w:val="00B22DB6"/>
    <w:rsid w:val="00B230DB"/>
    <w:rsid w:val="00B25BC5"/>
    <w:rsid w:val="00B26601"/>
    <w:rsid w:val="00B32141"/>
    <w:rsid w:val="00B37619"/>
    <w:rsid w:val="00B41951"/>
    <w:rsid w:val="00B43E45"/>
    <w:rsid w:val="00B509E9"/>
    <w:rsid w:val="00B53229"/>
    <w:rsid w:val="00B536BC"/>
    <w:rsid w:val="00B54D41"/>
    <w:rsid w:val="00B5774E"/>
    <w:rsid w:val="00B62480"/>
    <w:rsid w:val="00B62A93"/>
    <w:rsid w:val="00B6611D"/>
    <w:rsid w:val="00B66F0B"/>
    <w:rsid w:val="00B67FEA"/>
    <w:rsid w:val="00B8082F"/>
    <w:rsid w:val="00B81B70"/>
    <w:rsid w:val="00B829F7"/>
    <w:rsid w:val="00B8753C"/>
    <w:rsid w:val="00B91585"/>
    <w:rsid w:val="00B951F0"/>
    <w:rsid w:val="00B954EB"/>
    <w:rsid w:val="00BA112D"/>
    <w:rsid w:val="00BA1997"/>
    <w:rsid w:val="00BA28BD"/>
    <w:rsid w:val="00BA6169"/>
    <w:rsid w:val="00BA7772"/>
    <w:rsid w:val="00BA7FE3"/>
    <w:rsid w:val="00BB0C57"/>
    <w:rsid w:val="00BB3B49"/>
    <w:rsid w:val="00BB3BAB"/>
    <w:rsid w:val="00BB6DBE"/>
    <w:rsid w:val="00BB7E6D"/>
    <w:rsid w:val="00BC12D1"/>
    <w:rsid w:val="00BC2D89"/>
    <w:rsid w:val="00BC36BC"/>
    <w:rsid w:val="00BC7774"/>
    <w:rsid w:val="00BC77A3"/>
    <w:rsid w:val="00BD06F1"/>
    <w:rsid w:val="00BD0724"/>
    <w:rsid w:val="00BD2B91"/>
    <w:rsid w:val="00BD3698"/>
    <w:rsid w:val="00BD58F9"/>
    <w:rsid w:val="00BD6A98"/>
    <w:rsid w:val="00BE380B"/>
    <w:rsid w:val="00BE5521"/>
    <w:rsid w:val="00BF1D99"/>
    <w:rsid w:val="00BF6C23"/>
    <w:rsid w:val="00C02F6C"/>
    <w:rsid w:val="00C043D4"/>
    <w:rsid w:val="00C044BE"/>
    <w:rsid w:val="00C11F71"/>
    <w:rsid w:val="00C32326"/>
    <w:rsid w:val="00C33E65"/>
    <w:rsid w:val="00C33E8D"/>
    <w:rsid w:val="00C524B9"/>
    <w:rsid w:val="00C529DD"/>
    <w:rsid w:val="00C53263"/>
    <w:rsid w:val="00C543FB"/>
    <w:rsid w:val="00C60348"/>
    <w:rsid w:val="00C623B2"/>
    <w:rsid w:val="00C63DD3"/>
    <w:rsid w:val="00C701DB"/>
    <w:rsid w:val="00C707E1"/>
    <w:rsid w:val="00C725B7"/>
    <w:rsid w:val="00C73528"/>
    <w:rsid w:val="00C74E64"/>
    <w:rsid w:val="00C75675"/>
    <w:rsid w:val="00C75F1D"/>
    <w:rsid w:val="00C80081"/>
    <w:rsid w:val="00C846A2"/>
    <w:rsid w:val="00C84D94"/>
    <w:rsid w:val="00C86216"/>
    <w:rsid w:val="00C8639C"/>
    <w:rsid w:val="00C95156"/>
    <w:rsid w:val="00CA0DC2"/>
    <w:rsid w:val="00CA66B4"/>
    <w:rsid w:val="00CA7B82"/>
    <w:rsid w:val="00CB0F04"/>
    <w:rsid w:val="00CB16D1"/>
    <w:rsid w:val="00CB1721"/>
    <w:rsid w:val="00CB1767"/>
    <w:rsid w:val="00CB2CED"/>
    <w:rsid w:val="00CB30D3"/>
    <w:rsid w:val="00CB3416"/>
    <w:rsid w:val="00CB4611"/>
    <w:rsid w:val="00CB636F"/>
    <w:rsid w:val="00CB68E8"/>
    <w:rsid w:val="00CB760E"/>
    <w:rsid w:val="00CC06A9"/>
    <w:rsid w:val="00CD2FE5"/>
    <w:rsid w:val="00CD5050"/>
    <w:rsid w:val="00CD7730"/>
    <w:rsid w:val="00CE162F"/>
    <w:rsid w:val="00CE24A0"/>
    <w:rsid w:val="00CE7FF6"/>
    <w:rsid w:val="00CF1616"/>
    <w:rsid w:val="00CF2A8E"/>
    <w:rsid w:val="00CF3C03"/>
    <w:rsid w:val="00D04F01"/>
    <w:rsid w:val="00D05405"/>
    <w:rsid w:val="00D06414"/>
    <w:rsid w:val="00D06E41"/>
    <w:rsid w:val="00D10B82"/>
    <w:rsid w:val="00D1460C"/>
    <w:rsid w:val="00D14AF1"/>
    <w:rsid w:val="00D178DC"/>
    <w:rsid w:val="00D211FD"/>
    <w:rsid w:val="00D24267"/>
    <w:rsid w:val="00D24E5A"/>
    <w:rsid w:val="00D338E4"/>
    <w:rsid w:val="00D33B89"/>
    <w:rsid w:val="00D41C54"/>
    <w:rsid w:val="00D469D8"/>
    <w:rsid w:val="00D4723E"/>
    <w:rsid w:val="00D51947"/>
    <w:rsid w:val="00D532F0"/>
    <w:rsid w:val="00D5587A"/>
    <w:rsid w:val="00D56204"/>
    <w:rsid w:val="00D56E0F"/>
    <w:rsid w:val="00D6296C"/>
    <w:rsid w:val="00D63201"/>
    <w:rsid w:val="00D64835"/>
    <w:rsid w:val="00D667DD"/>
    <w:rsid w:val="00D75D90"/>
    <w:rsid w:val="00D76E10"/>
    <w:rsid w:val="00D77413"/>
    <w:rsid w:val="00D816B2"/>
    <w:rsid w:val="00D82759"/>
    <w:rsid w:val="00D83220"/>
    <w:rsid w:val="00D865F2"/>
    <w:rsid w:val="00D86DE4"/>
    <w:rsid w:val="00D87B47"/>
    <w:rsid w:val="00D97D89"/>
    <w:rsid w:val="00DA110F"/>
    <w:rsid w:val="00DA5E78"/>
    <w:rsid w:val="00DB1218"/>
    <w:rsid w:val="00DB256C"/>
    <w:rsid w:val="00DB3583"/>
    <w:rsid w:val="00DC7336"/>
    <w:rsid w:val="00DD1C51"/>
    <w:rsid w:val="00DD3236"/>
    <w:rsid w:val="00DD371D"/>
    <w:rsid w:val="00DE1909"/>
    <w:rsid w:val="00DE2CF6"/>
    <w:rsid w:val="00DE51DB"/>
    <w:rsid w:val="00DF2760"/>
    <w:rsid w:val="00DF383C"/>
    <w:rsid w:val="00DF4A2C"/>
    <w:rsid w:val="00DF623F"/>
    <w:rsid w:val="00DF66BA"/>
    <w:rsid w:val="00DF7107"/>
    <w:rsid w:val="00E008C8"/>
    <w:rsid w:val="00E00B47"/>
    <w:rsid w:val="00E03FF6"/>
    <w:rsid w:val="00E104D2"/>
    <w:rsid w:val="00E11C54"/>
    <w:rsid w:val="00E12611"/>
    <w:rsid w:val="00E138A1"/>
    <w:rsid w:val="00E143B1"/>
    <w:rsid w:val="00E15254"/>
    <w:rsid w:val="00E164C3"/>
    <w:rsid w:val="00E164F8"/>
    <w:rsid w:val="00E1673F"/>
    <w:rsid w:val="00E20618"/>
    <w:rsid w:val="00E208DF"/>
    <w:rsid w:val="00E210E5"/>
    <w:rsid w:val="00E21B28"/>
    <w:rsid w:val="00E226F4"/>
    <w:rsid w:val="00E22FB8"/>
    <w:rsid w:val="00E23D86"/>
    <w:rsid w:val="00E23F1D"/>
    <w:rsid w:val="00E2639F"/>
    <w:rsid w:val="00E30A64"/>
    <w:rsid w:val="00E30AC7"/>
    <w:rsid w:val="00E30E05"/>
    <w:rsid w:val="00E35873"/>
    <w:rsid w:val="00E36361"/>
    <w:rsid w:val="00E4115A"/>
    <w:rsid w:val="00E42B59"/>
    <w:rsid w:val="00E4321B"/>
    <w:rsid w:val="00E43433"/>
    <w:rsid w:val="00E46D37"/>
    <w:rsid w:val="00E55AE9"/>
    <w:rsid w:val="00E657E6"/>
    <w:rsid w:val="00E6673D"/>
    <w:rsid w:val="00E70E88"/>
    <w:rsid w:val="00E71100"/>
    <w:rsid w:val="00E7229D"/>
    <w:rsid w:val="00E72B19"/>
    <w:rsid w:val="00E7398B"/>
    <w:rsid w:val="00E761F4"/>
    <w:rsid w:val="00E85F81"/>
    <w:rsid w:val="00E86EF7"/>
    <w:rsid w:val="00E92C35"/>
    <w:rsid w:val="00E935FC"/>
    <w:rsid w:val="00E96531"/>
    <w:rsid w:val="00EA0B2E"/>
    <w:rsid w:val="00EA0BAE"/>
    <w:rsid w:val="00EA716D"/>
    <w:rsid w:val="00EB0C84"/>
    <w:rsid w:val="00EB1226"/>
    <w:rsid w:val="00EB5769"/>
    <w:rsid w:val="00EB59A2"/>
    <w:rsid w:val="00EB76AB"/>
    <w:rsid w:val="00EC2313"/>
    <w:rsid w:val="00EC2950"/>
    <w:rsid w:val="00EC39C7"/>
    <w:rsid w:val="00ED3449"/>
    <w:rsid w:val="00ED3F03"/>
    <w:rsid w:val="00EE31A5"/>
    <w:rsid w:val="00EE74BB"/>
    <w:rsid w:val="00EF1709"/>
    <w:rsid w:val="00F03397"/>
    <w:rsid w:val="00F10120"/>
    <w:rsid w:val="00F12246"/>
    <w:rsid w:val="00F17FDE"/>
    <w:rsid w:val="00F240EC"/>
    <w:rsid w:val="00F25873"/>
    <w:rsid w:val="00F30AD6"/>
    <w:rsid w:val="00F369FE"/>
    <w:rsid w:val="00F40D53"/>
    <w:rsid w:val="00F4525C"/>
    <w:rsid w:val="00F50D86"/>
    <w:rsid w:val="00F51F5F"/>
    <w:rsid w:val="00F579BA"/>
    <w:rsid w:val="00F6176A"/>
    <w:rsid w:val="00F72BF6"/>
    <w:rsid w:val="00F83857"/>
    <w:rsid w:val="00F84AF3"/>
    <w:rsid w:val="00F92F5D"/>
    <w:rsid w:val="00F9586A"/>
    <w:rsid w:val="00F95C7C"/>
    <w:rsid w:val="00FA05D1"/>
    <w:rsid w:val="00FA203B"/>
    <w:rsid w:val="00FA3718"/>
    <w:rsid w:val="00FA493C"/>
    <w:rsid w:val="00FA4EF2"/>
    <w:rsid w:val="00FA751D"/>
    <w:rsid w:val="00FC265E"/>
    <w:rsid w:val="00FC5B63"/>
    <w:rsid w:val="00FC68E0"/>
    <w:rsid w:val="00FD1E76"/>
    <w:rsid w:val="00FD29D3"/>
    <w:rsid w:val="00FD6733"/>
    <w:rsid w:val="00FE1C0F"/>
    <w:rsid w:val="00FE2442"/>
    <w:rsid w:val="00FE3F0B"/>
    <w:rsid w:val="00FF27A0"/>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83857"/>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244860"/>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467E0D"/>
    <w:pPr>
      <w:spacing w:before="120" w:after="120"/>
    </w:pPr>
    <w:rPr>
      <w:rFonts w:ascii="Arial" w:hAnsi="Arial" w:cs="Arial"/>
      <w:b/>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unhideWhenUsed/>
    <w:rsid w:val="00870A89"/>
    <w:pPr>
      <w:spacing w:after="120"/>
    </w:pPr>
  </w:style>
  <w:style w:type="character" w:customStyle="1" w:styleId="BodyText2Char">
    <w:name w:val="Body Text 2 Char"/>
    <w:basedOn w:val="DefaultParagraphFont"/>
    <w:link w:val="BodyText2"/>
    <w:uiPriority w:val="99"/>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link w:val="ListParagraphChar"/>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1E4518"/>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Heading3">
    <w:name w:val="VCAA Heading 3"/>
    <w:next w:val="VCAAbody"/>
    <w:qFormat/>
    <w:rsid w:val="00945034"/>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945034"/>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945034"/>
    <w:pPr>
      <w:keepNext/>
      <w:keepLines/>
      <w:tabs>
        <w:tab w:val="left" w:pos="425"/>
      </w:tabs>
      <w:spacing w:before="60" w:after="60"/>
      <w:ind w:left="425" w:hanging="425"/>
      <w:contextualSpacing/>
    </w:pPr>
    <w:rPr>
      <w:rFonts w:eastAsia="Arial"/>
      <w:color w:val="auto"/>
      <w:kern w:val="22"/>
      <w:lang w:val="en-GB" w:eastAsia="ja-JP"/>
    </w:rPr>
  </w:style>
  <w:style w:type="character" w:customStyle="1" w:styleId="VCAAbodyChar">
    <w:name w:val="VCAA body Char"/>
    <w:basedOn w:val="DefaultParagraphFont"/>
    <w:link w:val="VCAAbody"/>
    <w:rsid w:val="00945034"/>
    <w:rPr>
      <w:rFonts w:ascii="Arial" w:hAnsi="Arial" w:cs="Arial"/>
      <w:color w:val="000000" w:themeColor="text1"/>
      <w:sz w:val="20"/>
    </w:rPr>
  </w:style>
  <w:style w:type="paragraph" w:customStyle="1" w:styleId="VCAAtablecondensed">
    <w:name w:val="VCAA table condensed"/>
    <w:qFormat/>
    <w:rsid w:val="00945034"/>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945034"/>
    <w:rPr>
      <w:color w:val="FFFFFF" w:themeColor="background1"/>
    </w:rPr>
  </w:style>
  <w:style w:type="paragraph" w:customStyle="1" w:styleId="VCAAnumbers">
    <w:name w:val="VCAA numbers"/>
    <w:basedOn w:val="VCAAbullet"/>
    <w:qFormat/>
    <w:rsid w:val="00945034"/>
    <w:rPr>
      <w:lang w:val="en-US"/>
    </w:rPr>
  </w:style>
  <w:style w:type="paragraph" w:customStyle="1" w:styleId="VCAAtablecondensedbullet">
    <w:name w:val="VCAA table condensed bullet"/>
    <w:basedOn w:val="Normal"/>
    <w:qFormat/>
    <w:rsid w:val="00945034"/>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945034"/>
    <w:pPr>
      <w:spacing w:before="280" w:after="120" w:line="360" w:lineRule="exact"/>
      <w:outlineLvl w:val="4"/>
    </w:pPr>
    <w:rPr>
      <w:rFonts w:ascii="Arial" w:hAnsi="Arial" w:cs="Arial"/>
      <w:color w:val="0F7EB4"/>
      <w:sz w:val="28"/>
      <w:lang w:val="en" w:eastAsia="en-AU"/>
    </w:rPr>
  </w:style>
  <w:style w:type="table" w:customStyle="1" w:styleId="VCAATableClosed">
    <w:name w:val="VCAA Table Closed"/>
    <w:basedOn w:val="TableNormal"/>
    <w:uiPriority w:val="99"/>
    <w:rsid w:val="00945034"/>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Studentresponse">
    <w:name w:val="Student response"/>
    <w:basedOn w:val="VCAAbody"/>
    <w:qFormat/>
    <w:rsid w:val="004543E3"/>
    <w:rPr>
      <w:iCs/>
      <w:color w:val="auto"/>
      <w:lang w:val="en-AU"/>
    </w:rPr>
  </w:style>
  <w:style w:type="paragraph" w:customStyle="1" w:styleId="VCAAHeading2">
    <w:name w:val="VCAA Heading 2"/>
    <w:next w:val="VCAAbody"/>
    <w:qFormat/>
    <w:rsid w:val="00945034"/>
    <w:pPr>
      <w:spacing w:before="400" w:after="120" w:line="480" w:lineRule="exact"/>
      <w:contextualSpacing/>
      <w:outlineLvl w:val="2"/>
    </w:pPr>
    <w:rPr>
      <w:rFonts w:ascii="Arial" w:hAnsi="Arial" w:cs="Arial"/>
      <w:color w:val="0F7EB4"/>
      <w:sz w:val="40"/>
      <w:szCs w:val="28"/>
    </w:rPr>
  </w:style>
  <w:style w:type="paragraph" w:customStyle="1" w:styleId="xBullet1">
    <w:name w:val="x_Bullet 1"/>
    <w:basedOn w:val="Normal"/>
    <w:uiPriority w:val="99"/>
    <w:rsid w:val="004C4994"/>
    <w:pPr>
      <w:numPr>
        <w:numId w:val="17"/>
      </w:numPr>
      <w:suppressAutoHyphens/>
      <w:autoSpaceDE w:val="0"/>
      <w:autoSpaceDN w:val="0"/>
      <w:adjustRightInd w:val="0"/>
      <w:spacing w:after="85" w:line="280" w:lineRule="atLeast"/>
      <w:textAlignment w:val="center"/>
    </w:pPr>
    <w:rPr>
      <w:rFonts w:ascii="Arial" w:hAnsi="Arial" w:cs="Arial"/>
      <w:color w:val="000000"/>
      <w:lang w:val="en-AU"/>
    </w:rPr>
  </w:style>
  <w:style w:type="character" w:customStyle="1" w:styleId="ListParagraphChar">
    <w:name w:val="List Paragraph Char"/>
    <w:link w:val="ListParagraph"/>
    <w:uiPriority w:val="34"/>
    <w:locked/>
    <w:rsid w:val="007378A3"/>
  </w:style>
  <w:style w:type="paragraph" w:customStyle="1" w:styleId="xBody">
    <w:name w:val="x_Body"/>
    <w:basedOn w:val="Normal"/>
    <w:link w:val="xBodyChar"/>
    <w:uiPriority w:val="99"/>
    <w:rsid w:val="006C4F15"/>
    <w:pPr>
      <w:suppressAutoHyphens/>
      <w:autoSpaceDE w:val="0"/>
      <w:autoSpaceDN w:val="0"/>
      <w:adjustRightInd w:val="0"/>
      <w:spacing w:after="85" w:line="280" w:lineRule="atLeast"/>
      <w:textAlignment w:val="center"/>
    </w:pPr>
    <w:rPr>
      <w:rFonts w:ascii="Arial" w:hAnsi="Arial" w:cs="Arial"/>
      <w:color w:val="000000"/>
      <w:lang w:val="en-AU"/>
    </w:rPr>
  </w:style>
  <w:style w:type="character" w:customStyle="1" w:styleId="xBodyChar">
    <w:name w:val="x_Body Char"/>
    <w:link w:val="xBody"/>
    <w:uiPriority w:val="99"/>
    <w:rsid w:val="006C4F15"/>
    <w:rPr>
      <w:rFonts w:ascii="Arial" w:hAnsi="Arial" w:cs="Arial"/>
      <w:color w:val="000000"/>
      <w:lang w:val="en-AU"/>
    </w:rPr>
  </w:style>
  <w:style w:type="character" w:styleId="CommentReference">
    <w:name w:val="annotation reference"/>
    <w:basedOn w:val="DefaultParagraphFont"/>
    <w:uiPriority w:val="99"/>
    <w:semiHidden/>
    <w:unhideWhenUsed/>
    <w:rsid w:val="007F3383"/>
    <w:rPr>
      <w:sz w:val="16"/>
      <w:szCs w:val="16"/>
    </w:rPr>
  </w:style>
  <w:style w:type="paragraph" w:styleId="Revision">
    <w:name w:val="Revision"/>
    <w:hidden/>
    <w:uiPriority w:val="99"/>
    <w:semiHidden/>
    <w:rsid w:val="00A5687D"/>
    <w:pPr>
      <w:spacing w:after="0" w:line="240" w:lineRule="auto"/>
    </w:pPr>
  </w:style>
  <w:style w:type="character" w:styleId="Emphasis">
    <w:name w:val="Emphasis"/>
    <w:basedOn w:val="DefaultParagraphFont"/>
    <w:uiPriority w:val="20"/>
    <w:qFormat/>
    <w:rsid w:val="00F838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745682">
      <w:bodyDiv w:val="1"/>
      <w:marLeft w:val="0"/>
      <w:marRight w:val="0"/>
      <w:marTop w:val="0"/>
      <w:marBottom w:val="0"/>
      <w:divBdr>
        <w:top w:val="none" w:sz="0" w:space="0" w:color="auto"/>
        <w:left w:val="none" w:sz="0" w:space="0" w:color="auto"/>
        <w:bottom w:val="none" w:sz="0" w:space="0" w:color="auto"/>
        <w:right w:val="none" w:sz="0" w:space="0" w:color="auto"/>
      </w:divBdr>
    </w:div>
    <w:div w:id="149029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7335</Words>
  <Characters>41810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2025 VCE English Language external assessment report</vt:lpstr>
    </vt:vector>
  </TitlesOfParts>
  <Company/>
  <LinksUpToDate>false</LinksUpToDate>
  <CharactersWithSpaces>49047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English Language external assessment report</dc:title>
  <dc:creator/>
  <cp:lastModifiedBy/>
  <cp:revision>1</cp:revision>
  <dcterms:created xsi:type="dcterms:W3CDTF">2026-02-09T00:10:00Z</dcterms:created>
  <dcterms:modified xsi:type="dcterms:W3CDTF">2026-02-16T04:43:00Z</dcterms:modified>
</cp:coreProperties>
</file>