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04C9ED14" w:rsidR="00F4525C" w:rsidRPr="00870A89" w:rsidRDefault="002D510D" w:rsidP="00E7229D">
          <w:pPr>
            <w:pStyle w:val="Title"/>
          </w:pPr>
          <w:r>
            <w:t>2025 VCE History: Revolutions external assessment report</w:t>
          </w:r>
        </w:p>
      </w:sdtContent>
    </w:sdt>
    <w:p w14:paraId="59D26C60" w14:textId="616A0AA7" w:rsidR="00DF7107" w:rsidRDefault="00DF7107" w:rsidP="00DF7107">
      <w:pPr>
        <w:pStyle w:val="BodyText"/>
      </w:pPr>
      <w:bookmarkStart w:id="0" w:name="TemplateOverview"/>
      <w:bookmarkEnd w:id="0"/>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78948898" w14:textId="04938327" w:rsidR="00DF7107" w:rsidRDefault="00DF7107" w:rsidP="00DF7107">
      <w:pPr>
        <w:pStyle w:val="BodyText"/>
      </w:pPr>
      <w:r>
        <w:t xml:space="preserve">The statistics in this report may be subject to rounding resulting in a total </w:t>
      </w:r>
      <w:r w:rsidR="00211892">
        <w:t xml:space="preserve">of </w:t>
      </w:r>
      <w:r>
        <w:t>more or less than 100 per cent.</w:t>
      </w:r>
    </w:p>
    <w:p w14:paraId="75493ABB" w14:textId="18738D08" w:rsidR="00DF7107" w:rsidRDefault="00AE4F2C" w:rsidP="00AE4F2C">
      <w:pPr>
        <w:pStyle w:val="Heading1"/>
      </w:pPr>
      <w:r>
        <w:t>Section A – Source-based questions</w:t>
      </w:r>
    </w:p>
    <w:p w14:paraId="7543D37F" w14:textId="6C8A27D0" w:rsidR="00EB5A77" w:rsidRPr="00A62E83" w:rsidRDefault="00AE4F2C" w:rsidP="00A62E83">
      <w:pPr>
        <w:pStyle w:val="BodyText"/>
      </w:pPr>
      <w:r w:rsidRPr="10B77027">
        <w:t xml:space="preserve">Section A consisted of four questions, one for each revolution, </w:t>
      </w:r>
      <w:r w:rsidR="00C71B10">
        <w:t xml:space="preserve">with each question </w:t>
      </w:r>
      <w:r w:rsidRPr="10B77027">
        <w:t>divided into four parts. The Sources Book contained the stimulus material</w:t>
      </w:r>
      <w:r w:rsidR="00DB7CBB">
        <w:t>,</w:t>
      </w:r>
      <w:r w:rsidRPr="10B77027">
        <w:t xml:space="preserve"> which, for each revolution, comprised a single written primary source document, two written historical interpretations and a single visual representation.</w:t>
      </w:r>
      <w:r w:rsidR="00A87520">
        <w:t xml:space="preserve"> </w:t>
      </w:r>
      <w:r w:rsidR="00EB5A77" w:rsidRPr="00A62E83">
        <w:t xml:space="preserve">Students were required to answer the two questions in Section A </w:t>
      </w:r>
      <w:r w:rsidR="00DB7CBB">
        <w:t>that</w:t>
      </w:r>
      <w:r w:rsidR="00DB7CBB" w:rsidRPr="00A62E83">
        <w:t xml:space="preserve"> </w:t>
      </w:r>
      <w:r w:rsidR="00EB5A77" w:rsidRPr="00A62E83">
        <w:t xml:space="preserve">corresponded with the two revolutions they studied in </w:t>
      </w:r>
      <w:r w:rsidR="000E326C">
        <w:t>u</w:t>
      </w:r>
      <w:r w:rsidR="00EB5A77" w:rsidRPr="00A62E83">
        <w:t>nits 3 and 4.</w:t>
      </w:r>
    </w:p>
    <w:p w14:paraId="75576D34" w14:textId="0B26580B" w:rsidR="00AE4F2C" w:rsidRDefault="00AE4F2C" w:rsidP="00AE46CA">
      <w:pPr>
        <w:pStyle w:val="BodyText"/>
      </w:pPr>
      <w:r>
        <w:t xml:space="preserve">Part a </w:t>
      </w:r>
      <w:proofErr w:type="gramStart"/>
      <w:r>
        <w:t>questions</w:t>
      </w:r>
      <w:proofErr w:type="gramEnd"/>
      <w:r>
        <w:t xml:space="preserve"> required students to outline the main ideas of a historical text. Students responded to this question confidently. Most successfully provided an overview of several ideas from the text written in full sentences. </w:t>
      </w:r>
      <w:r w:rsidR="002D510D">
        <w:t>However, t</w:t>
      </w:r>
      <w:r>
        <w:t>here were two consistent areas for improvement:</w:t>
      </w:r>
    </w:p>
    <w:p w14:paraId="360557F5" w14:textId="6D5360DF" w:rsidR="00AE4F2C" w:rsidRDefault="00AE4F2C" w:rsidP="00E710C9">
      <w:pPr>
        <w:pStyle w:val="Bullet"/>
      </w:pPr>
      <w:r w:rsidRPr="4D02ACA0">
        <w:t>Some students treated this as an ‘identify’ question and gave a dot</w:t>
      </w:r>
      <w:r w:rsidR="002D510D">
        <w:t>-</w:t>
      </w:r>
      <w:r w:rsidRPr="4D02ACA0">
        <w:t>point list of quotes</w:t>
      </w:r>
      <w:r w:rsidR="00C71B10">
        <w:t>,</w:t>
      </w:r>
      <w:r w:rsidRPr="4D02ACA0">
        <w:t xml:space="preserve"> with</w:t>
      </w:r>
      <w:r w:rsidR="00474D7B">
        <w:t>out</w:t>
      </w:r>
      <w:r w:rsidRPr="4D02ACA0">
        <w:t xml:space="preserve"> attempt</w:t>
      </w:r>
      <w:r w:rsidR="00474D7B">
        <w:t>ing</w:t>
      </w:r>
      <w:r w:rsidRPr="4D02ACA0">
        <w:t xml:space="preserve"> to develop a cohesive overview of what the source revealed. </w:t>
      </w:r>
      <w:r w:rsidR="000E326C">
        <w:t>S</w:t>
      </w:r>
      <w:r w:rsidRPr="4D02ACA0">
        <w:t>tudents</w:t>
      </w:r>
      <w:r w:rsidR="000E326C">
        <w:t xml:space="preserve"> could</w:t>
      </w:r>
      <w:r w:rsidRPr="4D02ACA0">
        <w:t xml:space="preserve"> practi</w:t>
      </w:r>
      <w:r w:rsidR="002D510D">
        <w:t>s</w:t>
      </w:r>
      <w:r w:rsidRPr="4D02ACA0">
        <w:t>e responding to a range of question types and familiar</w:t>
      </w:r>
      <w:r w:rsidR="002D510D">
        <w:t>ise themselves</w:t>
      </w:r>
      <w:r w:rsidRPr="4D02ACA0">
        <w:t xml:space="preserve"> with the requirements of the range of terms </w:t>
      </w:r>
      <w:r w:rsidR="002D510D">
        <w:t>with</w:t>
      </w:r>
      <w:r w:rsidRPr="4D02ACA0">
        <w:t xml:space="preserve">in the VCAA </w:t>
      </w:r>
      <w:hyperlink r:id="rId11">
        <w:r w:rsidRPr="4D02ACA0">
          <w:rPr>
            <w:rStyle w:val="Hyperlink"/>
            <w:lang w:val="en-AU"/>
          </w:rPr>
          <w:t>glossary of command terms</w:t>
        </w:r>
      </w:hyperlink>
      <w:r w:rsidRPr="4D02ACA0">
        <w:t>.</w:t>
      </w:r>
    </w:p>
    <w:p w14:paraId="060C136C" w14:textId="59458403" w:rsidR="00AE4F2C" w:rsidRPr="00E710C9" w:rsidRDefault="00AE4F2C" w:rsidP="00E710C9">
      <w:pPr>
        <w:pStyle w:val="Bullet"/>
      </w:pPr>
      <w:r w:rsidRPr="00E710C9">
        <w:t>Some students provided detailed evidence from their own knowledge</w:t>
      </w:r>
      <w:r w:rsidR="002D510D">
        <w:t>,</w:t>
      </w:r>
      <w:r w:rsidRPr="00E710C9">
        <w:t xml:space="preserve"> which was not required by this question. </w:t>
      </w:r>
      <w:r w:rsidR="000E326C">
        <w:t>Students should be aware</w:t>
      </w:r>
      <w:r w:rsidRPr="00E710C9">
        <w:t xml:space="preserve"> that Section A questions will provide the prompt </w:t>
      </w:r>
      <w:r w:rsidR="002D510D">
        <w:t xml:space="preserve">for students </w:t>
      </w:r>
      <w:r w:rsidRPr="00E710C9">
        <w:t>to either use their ‘own knowledge’ or ‘</w:t>
      </w:r>
      <w:r w:rsidR="00C83D97">
        <w:t xml:space="preserve">other </w:t>
      </w:r>
      <w:r w:rsidRPr="00E710C9">
        <w:t xml:space="preserve">evidence’ if </w:t>
      </w:r>
      <w:r w:rsidR="000E326C">
        <w:t>they</w:t>
      </w:r>
      <w:r w:rsidR="000E326C" w:rsidRPr="00E710C9">
        <w:t xml:space="preserve"> </w:t>
      </w:r>
      <w:r w:rsidRPr="00E710C9">
        <w:t xml:space="preserve">are required to sustain an argument with evidence from beyond the source. If this prompt does not appear in a question, then student responses should focus primarily on interpreting the evidence in the source. </w:t>
      </w:r>
    </w:p>
    <w:p w14:paraId="1851B94E" w14:textId="26085013" w:rsidR="00AE4F2C" w:rsidRDefault="00AE4F2C" w:rsidP="00FB3A71">
      <w:pPr>
        <w:pStyle w:val="BodyText"/>
      </w:pPr>
      <w:r w:rsidRPr="10B77027">
        <w:t>Part</w:t>
      </w:r>
      <w:r w:rsidR="002D510D">
        <w:t>s</w:t>
      </w:r>
      <w:r w:rsidRPr="10B77027">
        <w:t xml:space="preserve"> b, c and d questions required the construction of an argument supported by evidence from </w:t>
      </w:r>
      <w:r w:rsidR="002D510D">
        <w:t xml:space="preserve">both </w:t>
      </w:r>
      <w:r w:rsidRPr="10B77027">
        <w:t xml:space="preserve">the source and students’ own knowledge. Students responded confidently to each of these questions. However, many students were overly reliant on evidence drawn from the sources and made little or no use of information from their own knowledge, which prevented them from accessing higher marks. </w:t>
      </w:r>
      <w:r w:rsidR="000E326C">
        <w:t>T</w:t>
      </w:r>
      <w:r w:rsidRPr="10B77027">
        <w:t>o achieve more highly in future</w:t>
      </w:r>
      <w:r w:rsidR="000E326C">
        <w:t>,</w:t>
      </w:r>
      <w:r w:rsidRPr="10B77027">
        <w:t xml:space="preserve"> students</w:t>
      </w:r>
      <w:r w:rsidR="000E326C">
        <w:t xml:space="preserve"> are encouraged</w:t>
      </w:r>
      <w:r w:rsidRPr="10B77027">
        <w:t xml:space="preserve"> to:</w:t>
      </w:r>
    </w:p>
    <w:p w14:paraId="123E991D" w14:textId="64A54E56" w:rsidR="00AE4F2C" w:rsidRDefault="00AE4F2C" w:rsidP="00E710C9">
      <w:pPr>
        <w:pStyle w:val="Bullet"/>
      </w:pPr>
      <w:r>
        <w:t xml:space="preserve">gather a range of </w:t>
      </w:r>
      <w:r w:rsidRPr="3D3C8E06">
        <w:t xml:space="preserve">specific historical evidence related to each key knowledge </w:t>
      </w:r>
      <w:r>
        <w:t>dot point</w:t>
      </w:r>
      <w:r w:rsidRPr="3D3C8E06">
        <w:t xml:space="preserve"> in the </w:t>
      </w:r>
      <w:hyperlink r:id="rId12" w:history="1">
        <w:r w:rsidRPr="000E326C">
          <w:rPr>
            <w:rStyle w:val="Hyperlink"/>
          </w:rPr>
          <w:t>VCE History Study Design</w:t>
        </w:r>
      </w:hyperlink>
      <w:r w:rsidRPr="3D3C8E06">
        <w:t>; suitable evidence might include quotes, slogans, policies, laws, statistics, names of people and places, dates and details of events</w:t>
      </w:r>
    </w:p>
    <w:p w14:paraId="0684B4B9" w14:textId="70532A18" w:rsidR="00AE4F2C" w:rsidRDefault="00AE4F2C" w:rsidP="00E710C9">
      <w:pPr>
        <w:pStyle w:val="Bullet"/>
      </w:pPr>
      <w:r>
        <w:t xml:space="preserve">begin responses by extracting a quote from the source to use as a ‘springboard’ </w:t>
      </w:r>
      <w:r w:rsidR="00926B45">
        <w:t>for</w:t>
      </w:r>
      <w:r>
        <w:t xml:space="preserve"> a line of argument</w:t>
      </w:r>
    </w:p>
    <w:p w14:paraId="2C15BFC0" w14:textId="5A35B7F7" w:rsidR="00AE4F2C" w:rsidRPr="00583C41" w:rsidRDefault="00AE4F2C" w:rsidP="00E710C9">
      <w:pPr>
        <w:pStyle w:val="Bullet"/>
        <w:rPr>
          <w:i/>
          <w:iCs/>
        </w:rPr>
      </w:pPr>
      <w:r w:rsidRPr="3D3C8E06">
        <w:t xml:space="preserve">contextualise or corroborate a small number of </w:t>
      </w:r>
      <w:r>
        <w:t xml:space="preserve">highly relevant </w:t>
      </w:r>
      <w:r w:rsidRPr="3D3C8E06">
        <w:t xml:space="preserve">claims made in the source, which can be achieved by using connective phrases that link direct quotes from the source to the student’s own evidence, such as </w:t>
      </w:r>
      <w:r w:rsidRPr="00AE46CA">
        <w:t>‘This refers to</w:t>
      </w:r>
      <w:r w:rsidR="000E326C" w:rsidRPr="00AE46CA">
        <w:t xml:space="preserve"> </w:t>
      </w:r>
      <w:r w:rsidRPr="00AE46CA">
        <w:t>…’, ‘…</w:t>
      </w:r>
      <w:r w:rsidR="000E326C" w:rsidRPr="00AE46CA">
        <w:t xml:space="preserve"> </w:t>
      </w:r>
      <w:r w:rsidRPr="00AE46CA">
        <w:t>which is supported by</w:t>
      </w:r>
      <w:r w:rsidR="000E326C" w:rsidRPr="00AE46CA">
        <w:t xml:space="preserve"> </w:t>
      </w:r>
      <w:r w:rsidRPr="00AE46CA">
        <w:t xml:space="preserve">…’ </w:t>
      </w:r>
      <w:r w:rsidRPr="000E326C">
        <w:t>or</w:t>
      </w:r>
      <w:r w:rsidRPr="00AE46CA">
        <w:t xml:space="preserve"> ‘This resulted in</w:t>
      </w:r>
      <w:r w:rsidR="000E326C" w:rsidRPr="00AE46CA">
        <w:t xml:space="preserve"> </w:t>
      </w:r>
      <w:r w:rsidRPr="00AE46CA">
        <w:t>…’</w:t>
      </w:r>
    </w:p>
    <w:p w14:paraId="5969F879" w14:textId="7125441E" w:rsidR="00AE4F2C" w:rsidRDefault="00AE4F2C" w:rsidP="00E710C9">
      <w:pPr>
        <w:pStyle w:val="Bullet"/>
      </w:pPr>
      <w:r>
        <w:t xml:space="preserve">extend the argument beyond the ideas given in the source to consider other possible aspects, reasons, causes or consequences </w:t>
      </w:r>
    </w:p>
    <w:p w14:paraId="516E1DFC" w14:textId="3DB3369F" w:rsidR="00AE4F2C" w:rsidRDefault="00AE4F2C" w:rsidP="00E710C9">
      <w:pPr>
        <w:pStyle w:val="Bullet"/>
      </w:pPr>
      <w:r>
        <w:t>conclude by linking the argument to both the source and the question.</w:t>
      </w:r>
    </w:p>
    <w:p w14:paraId="3E563B27" w14:textId="77777777" w:rsidR="00AE4F2C" w:rsidRPr="00AE4F2C" w:rsidRDefault="00AE4F2C" w:rsidP="00AE4F2C">
      <w:pPr>
        <w:pStyle w:val="Heading3"/>
      </w:pPr>
      <w:r w:rsidRPr="00AE4F2C">
        <w:lastRenderedPageBreak/>
        <w:t>Question 1 – The American Revolution</w:t>
      </w:r>
    </w:p>
    <w:p w14:paraId="34488A55" w14:textId="77777777" w:rsidR="00AE4F2C" w:rsidRDefault="00AE4F2C" w:rsidP="00AE4F2C">
      <w:pPr>
        <w:pStyle w:val="Heading4"/>
      </w:pPr>
      <w:r>
        <w:t xml:space="preserve">Question </w:t>
      </w:r>
      <w:r w:rsidRPr="00896AA7">
        <w:t>1a</w:t>
      </w:r>
      <w:r>
        <w:t>.</w:t>
      </w:r>
    </w:p>
    <w:tbl>
      <w:tblPr>
        <w:tblStyle w:val="VCAATableClosed1"/>
        <w:tblW w:w="5197" w:type="dxa"/>
        <w:tblInd w:w="-5" w:type="dxa"/>
        <w:tblLook w:val="04A0" w:firstRow="1" w:lastRow="0" w:firstColumn="1" w:lastColumn="0" w:noHBand="0" w:noVBand="1"/>
      </w:tblPr>
      <w:tblGrid>
        <w:gridCol w:w="1030"/>
        <w:gridCol w:w="576"/>
        <w:gridCol w:w="576"/>
        <w:gridCol w:w="576"/>
        <w:gridCol w:w="576"/>
        <w:gridCol w:w="576"/>
        <w:gridCol w:w="1287"/>
      </w:tblGrid>
      <w:tr w:rsidR="00AE4F2C" w:rsidRPr="00FB32B9" w14:paraId="79DEE830"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5DEFB425" w14:textId="77777777" w:rsidR="00AE4F2C" w:rsidRPr="00FB32B9" w:rsidRDefault="00AE4F2C" w:rsidP="00FB3A71">
            <w:pPr>
              <w:pStyle w:val="Tablecondensedheading"/>
            </w:pPr>
            <w:r w:rsidRPr="00FB32B9">
              <w:t xml:space="preserve">Marks </w:t>
            </w:r>
          </w:p>
        </w:tc>
        <w:tc>
          <w:tcPr>
            <w:tcW w:w="576" w:type="dxa"/>
          </w:tcPr>
          <w:p w14:paraId="4FDEE467" w14:textId="77777777" w:rsidR="00AE4F2C" w:rsidRPr="00FB32B9" w:rsidRDefault="00AE4F2C" w:rsidP="00FB3A71">
            <w:pPr>
              <w:pStyle w:val="Tablecondensedheading"/>
            </w:pPr>
            <w:r w:rsidRPr="00FB32B9">
              <w:t>0</w:t>
            </w:r>
          </w:p>
        </w:tc>
        <w:tc>
          <w:tcPr>
            <w:tcW w:w="576" w:type="dxa"/>
          </w:tcPr>
          <w:p w14:paraId="34ED3203" w14:textId="77777777" w:rsidR="00AE4F2C" w:rsidRPr="00FB32B9" w:rsidRDefault="00AE4F2C" w:rsidP="00FB3A71">
            <w:pPr>
              <w:pStyle w:val="Tablecondensedheading"/>
            </w:pPr>
            <w:r w:rsidRPr="00FB32B9">
              <w:t>1</w:t>
            </w:r>
          </w:p>
        </w:tc>
        <w:tc>
          <w:tcPr>
            <w:tcW w:w="576" w:type="dxa"/>
          </w:tcPr>
          <w:p w14:paraId="0AA47AD4" w14:textId="77777777" w:rsidR="00AE4F2C" w:rsidRPr="00FB32B9" w:rsidRDefault="00AE4F2C" w:rsidP="00FB3A71">
            <w:pPr>
              <w:pStyle w:val="Tablecondensedheading"/>
            </w:pPr>
            <w:r w:rsidRPr="00FB32B9">
              <w:t>2</w:t>
            </w:r>
          </w:p>
        </w:tc>
        <w:tc>
          <w:tcPr>
            <w:tcW w:w="576" w:type="dxa"/>
          </w:tcPr>
          <w:p w14:paraId="6308D368" w14:textId="77777777" w:rsidR="00AE4F2C" w:rsidRPr="00FB32B9" w:rsidRDefault="00AE4F2C" w:rsidP="00FB3A71">
            <w:pPr>
              <w:pStyle w:val="Tablecondensedheading"/>
            </w:pPr>
            <w:r w:rsidRPr="00FB32B9">
              <w:t>3</w:t>
            </w:r>
          </w:p>
        </w:tc>
        <w:tc>
          <w:tcPr>
            <w:tcW w:w="576" w:type="dxa"/>
          </w:tcPr>
          <w:p w14:paraId="64A3260E" w14:textId="77777777" w:rsidR="00AE4F2C" w:rsidRPr="00FB32B9" w:rsidRDefault="00AE4F2C" w:rsidP="00FB3A71">
            <w:pPr>
              <w:pStyle w:val="Tablecondensedheading"/>
            </w:pPr>
            <w:r w:rsidRPr="00FB32B9">
              <w:t>4</w:t>
            </w:r>
          </w:p>
        </w:tc>
        <w:tc>
          <w:tcPr>
            <w:tcW w:w="1287" w:type="dxa"/>
          </w:tcPr>
          <w:p w14:paraId="61F7C8CA" w14:textId="77777777" w:rsidR="00AE4F2C" w:rsidRPr="00FB32B9" w:rsidRDefault="00AE4F2C" w:rsidP="00FB3A71">
            <w:pPr>
              <w:pStyle w:val="Tablecondensedheading"/>
            </w:pPr>
            <w:r w:rsidRPr="00FB32B9">
              <w:t>Average</w:t>
            </w:r>
          </w:p>
        </w:tc>
      </w:tr>
      <w:tr w:rsidR="00AE4F2C" w:rsidRPr="00FB32B9" w14:paraId="5349E188" w14:textId="77777777" w:rsidTr="00DF0280">
        <w:trPr>
          <w:trHeight w:val="392"/>
        </w:trPr>
        <w:tc>
          <w:tcPr>
            <w:tcW w:w="1030" w:type="dxa"/>
          </w:tcPr>
          <w:p w14:paraId="777E6E79" w14:textId="77777777" w:rsidR="00AE4F2C" w:rsidRPr="00FB32B9" w:rsidRDefault="00AE4F2C" w:rsidP="00FB3A71">
            <w:pPr>
              <w:pStyle w:val="Tablecondensed"/>
            </w:pPr>
            <w:r w:rsidRPr="00FB32B9">
              <w:t>%</w:t>
            </w:r>
          </w:p>
        </w:tc>
        <w:tc>
          <w:tcPr>
            <w:tcW w:w="576" w:type="dxa"/>
          </w:tcPr>
          <w:p w14:paraId="48610DAB" w14:textId="77777777" w:rsidR="00AE4F2C" w:rsidRPr="00FB32B9" w:rsidRDefault="00AE4F2C" w:rsidP="00FB3A71">
            <w:pPr>
              <w:pStyle w:val="Tablecondensed"/>
            </w:pPr>
            <w:r>
              <w:t>10</w:t>
            </w:r>
          </w:p>
        </w:tc>
        <w:tc>
          <w:tcPr>
            <w:tcW w:w="576" w:type="dxa"/>
          </w:tcPr>
          <w:p w14:paraId="4E5640BF" w14:textId="77777777" w:rsidR="00AE4F2C" w:rsidRPr="00FB32B9" w:rsidRDefault="00AE4F2C" w:rsidP="00FB3A71">
            <w:pPr>
              <w:pStyle w:val="Tablecondensed"/>
            </w:pPr>
            <w:r>
              <w:t>2</w:t>
            </w:r>
          </w:p>
        </w:tc>
        <w:tc>
          <w:tcPr>
            <w:tcW w:w="576" w:type="dxa"/>
          </w:tcPr>
          <w:p w14:paraId="5DFEC13E" w14:textId="77777777" w:rsidR="00AE4F2C" w:rsidRPr="00FB32B9" w:rsidRDefault="00AE4F2C" w:rsidP="00FB3A71">
            <w:pPr>
              <w:pStyle w:val="Tablecondensed"/>
            </w:pPr>
            <w:r>
              <w:t>15</w:t>
            </w:r>
          </w:p>
        </w:tc>
        <w:tc>
          <w:tcPr>
            <w:tcW w:w="576" w:type="dxa"/>
          </w:tcPr>
          <w:p w14:paraId="114849E8" w14:textId="77777777" w:rsidR="00AE4F2C" w:rsidRPr="00FB32B9" w:rsidRDefault="00AE4F2C" w:rsidP="00FB3A71">
            <w:pPr>
              <w:pStyle w:val="Tablecondensed"/>
            </w:pPr>
            <w:r>
              <w:t>30</w:t>
            </w:r>
          </w:p>
        </w:tc>
        <w:tc>
          <w:tcPr>
            <w:tcW w:w="576" w:type="dxa"/>
          </w:tcPr>
          <w:p w14:paraId="1D480FB7" w14:textId="77777777" w:rsidR="00AE4F2C" w:rsidRPr="00FB32B9" w:rsidRDefault="00AE4F2C" w:rsidP="00FB3A71">
            <w:pPr>
              <w:pStyle w:val="Tablecondensed"/>
            </w:pPr>
            <w:r>
              <w:t>44</w:t>
            </w:r>
          </w:p>
        </w:tc>
        <w:tc>
          <w:tcPr>
            <w:tcW w:w="1287" w:type="dxa"/>
          </w:tcPr>
          <w:p w14:paraId="708FAF6D" w14:textId="77777777" w:rsidR="00AE4F2C" w:rsidRPr="00FB32B9" w:rsidRDefault="00AE4F2C" w:rsidP="00FB3A71">
            <w:pPr>
              <w:pStyle w:val="Tablecondensed"/>
            </w:pPr>
            <w:r>
              <w:t>3.0</w:t>
            </w:r>
          </w:p>
        </w:tc>
      </w:tr>
    </w:tbl>
    <w:p w14:paraId="545DFED7" w14:textId="3790A7C0" w:rsidR="00AE4F2C" w:rsidRDefault="00AE4F2C" w:rsidP="00FB3A71">
      <w:pPr>
        <w:pStyle w:val="BodyText"/>
      </w:pPr>
      <w:r>
        <w:t xml:space="preserve">This question required students to outline the ideas about </w:t>
      </w:r>
      <w:r w:rsidR="002D225C">
        <w:t>N</w:t>
      </w:r>
      <w:r>
        <w:t xml:space="preserve">atural </w:t>
      </w:r>
      <w:r w:rsidR="002D225C">
        <w:t>R</w:t>
      </w:r>
      <w:r>
        <w:t xml:space="preserve">ights expressed in Source 1. Students </w:t>
      </w:r>
      <w:r w:rsidR="00945DC2">
        <w:t xml:space="preserve">demonstrated confidence in </w:t>
      </w:r>
      <w:r>
        <w:t>answer</w:t>
      </w:r>
      <w:r w:rsidR="00945DC2">
        <w:t>ing</w:t>
      </w:r>
      <w:r>
        <w:t xml:space="preserve"> this question. </w:t>
      </w:r>
    </w:p>
    <w:p w14:paraId="35064F2E" w14:textId="5D2C07FF" w:rsidR="00AE4F2C" w:rsidRDefault="00AE4F2C" w:rsidP="00FB3A71">
      <w:pPr>
        <w:pStyle w:val="BodyText"/>
      </w:pPr>
      <w:r>
        <w:t xml:space="preserve">The best responses provided an overview written in full sentences with short, smoothly integrated direct quotes that illustrated the main ideas from the source. Providing an effective overview generally required students to briefly mention </w:t>
      </w:r>
      <w:r w:rsidR="00A113B5">
        <w:t>a range of</w:t>
      </w:r>
      <w:r>
        <w:t xml:space="preserve"> ideas, such as:</w:t>
      </w:r>
    </w:p>
    <w:p w14:paraId="4E185FB7" w14:textId="283C5CC0" w:rsidR="00AE4F2C" w:rsidRPr="00E710C9" w:rsidRDefault="002D225C" w:rsidP="00E710C9">
      <w:pPr>
        <w:pStyle w:val="Bullet"/>
      </w:pPr>
      <w:r>
        <w:t>N</w:t>
      </w:r>
      <w:r w:rsidR="00AE4F2C" w:rsidRPr="00E710C9">
        <w:t xml:space="preserve">atural </w:t>
      </w:r>
      <w:r>
        <w:t>R</w:t>
      </w:r>
      <w:r w:rsidR="00AE4F2C" w:rsidRPr="00E710C9">
        <w:t xml:space="preserve">ights were </w:t>
      </w:r>
      <w:r w:rsidR="002D510D">
        <w:t>‘</w:t>
      </w:r>
      <w:r w:rsidR="00AE4F2C" w:rsidRPr="00E710C9">
        <w:t>inherent, unalienable</w:t>
      </w:r>
      <w:r w:rsidR="002D510D">
        <w:t>’</w:t>
      </w:r>
      <w:r>
        <w:t>.</w:t>
      </w:r>
    </w:p>
    <w:p w14:paraId="181CDEAD" w14:textId="2EBEF470" w:rsidR="00AE4F2C" w:rsidRPr="00E710C9" w:rsidRDefault="002D225C" w:rsidP="00E710C9">
      <w:pPr>
        <w:pStyle w:val="Bullet"/>
      </w:pPr>
      <w:r>
        <w:t>T</w:t>
      </w:r>
      <w:r w:rsidR="00A113B5">
        <w:t>hey</w:t>
      </w:r>
      <w:r w:rsidR="00C71B10" w:rsidRPr="00E710C9">
        <w:t xml:space="preserve"> </w:t>
      </w:r>
      <w:r w:rsidR="00AE4F2C" w:rsidRPr="00E710C9">
        <w:t xml:space="preserve">had been </w:t>
      </w:r>
      <w:r w:rsidR="002D510D">
        <w:t>‘</w:t>
      </w:r>
      <w:r w:rsidR="00AE4F2C" w:rsidRPr="00E710C9">
        <w:t>declared in Acts of Parliament from Magna Charta to this Day</w:t>
      </w:r>
      <w:r w:rsidR="002D510D">
        <w:t>’</w:t>
      </w:r>
      <w:r>
        <w:t>.</w:t>
      </w:r>
    </w:p>
    <w:p w14:paraId="26975B9B" w14:textId="6EB4397D" w:rsidR="00AE4F2C" w:rsidRPr="00E710C9" w:rsidRDefault="002D225C" w:rsidP="00E710C9">
      <w:pPr>
        <w:pStyle w:val="Bullet"/>
      </w:pPr>
      <w:r>
        <w:t>T</w:t>
      </w:r>
      <w:r w:rsidR="00A113B5">
        <w:t>hese rights</w:t>
      </w:r>
      <w:r w:rsidR="00AE4F2C" w:rsidRPr="00E710C9">
        <w:t xml:space="preserve"> included </w:t>
      </w:r>
      <w:r w:rsidR="002D510D">
        <w:t>‘</w:t>
      </w:r>
      <w:r w:rsidR="00AE4F2C" w:rsidRPr="00E710C9">
        <w:t>Personal Security, Personal Liberty and Private Property</w:t>
      </w:r>
      <w:r w:rsidR="002D510D">
        <w:t>’</w:t>
      </w:r>
      <w:r>
        <w:t>.</w:t>
      </w:r>
    </w:p>
    <w:p w14:paraId="17A20B19" w14:textId="130E5138" w:rsidR="00AE4F2C" w:rsidRPr="00E710C9" w:rsidRDefault="002D225C" w:rsidP="00E710C9">
      <w:pPr>
        <w:pStyle w:val="Bullet"/>
      </w:pPr>
      <w:r>
        <w:t>G</w:t>
      </w:r>
      <w:r w:rsidR="00AE4F2C" w:rsidRPr="00E710C9">
        <w:t xml:space="preserve">overnment could not abridge rights </w:t>
      </w:r>
      <w:r w:rsidR="002D510D">
        <w:t>‘</w:t>
      </w:r>
      <w:r w:rsidR="00AE4F2C" w:rsidRPr="00E710C9">
        <w:t>from any Man</w:t>
      </w:r>
      <w:r>
        <w:t xml:space="preserve"> </w:t>
      </w:r>
      <w:r w:rsidR="00AE4F2C" w:rsidRPr="00E710C9">
        <w:t>… without his Consent in Person or by Representation</w:t>
      </w:r>
      <w:r w:rsidR="002D510D">
        <w:t>’.</w:t>
      </w:r>
    </w:p>
    <w:p w14:paraId="3E9083FE" w14:textId="09B3D41D" w:rsidR="00AE4F2C" w:rsidRDefault="00AE4F2C" w:rsidP="00FB3A71">
      <w:pPr>
        <w:pStyle w:val="BodyText"/>
      </w:pPr>
      <w:r>
        <w:t xml:space="preserve">Limitations </w:t>
      </w:r>
      <w:r w:rsidR="00C71B10">
        <w:t xml:space="preserve">that </w:t>
      </w:r>
      <w:r>
        <w:t xml:space="preserve">prevented responses from achieving the highest marks included: </w:t>
      </w:r>
    </w:p>
    <w:p w14:paraId="49246CCF" w14:textId="062E5D9F" w:rsidR="00AE4F2C" w:rsidRPr="00AB7998" w:rsidRDefault="006E613F" w:rsidP="00E710C9">
      <w:pPr>
        <w:pStyle w:val="Bullet"/>
      </w:pPr>
      <w:r>
        <w:t xml:space="preserve">using </w:t>
      </w:r>
      <w:r w:rsidR="00AE4F2C" w:rsidRPr="00AB7998">
        <w:t>vague</w:t>
      </w:r>
      <w:r w:rsidR="00AE4F2C">
        <w:t xml:space="preserve">, </w:t>
      </w:r>
      <w:r w:rsidR="00AE4F2C" w:rsidRPr="00AB7998">
        <w:t xml:space="preserve">unclear paraphrasing of the ideas from </w:t>
      </w:r>
      <w:r w:rsidR="00AE4F2C">
        <w:t>the source</w:t>
      </w:r>
    </w:p>
    <w:p w14:paraId="156F0A42" w14:textId="30658145" w:rsidR="00AE4F2C" w:rsidRDefault="00AE4F2C" w:rsidP="00E710C9">
      <w:pPr>
        <w:pStyle w:val="Bullet"/>
      </w:pPr>
      <w:r>
        <w:t>simply identifying three rights (</w:t>
      </w:r>
      <w:r w:rsidR="002D510D">
        <w:t>‘</w:t>
      </w:r>
      <w:r w:rsidRPr="001221C2">
        <w:t>Personal Security, Personal Liberty and Private Property</w:t>
      </w:r>
      <w:r w:rsidR="002D510D">
        <w:t>’</w:t>
      </w:r>
      <w:r>
        <w:t>) and not discussing any further ideas</w:t>
      </w:r>
    </w:p>
    <w:p w14:paraId="5FE93D46" w14:textId="44EFD1B5" w:rsidR="00AE4F2C" w:rsidRDefault="00AE4F2C" w:rsidP="00E710C9">
      <w:pPr>
        <w:pStyle w:val="Bullet"/>
      </w:pPr>
      <w:r>
        <w:t>providing a dot</w:t>
      </w:r>
      <w:r w:rsidR="00C71B10">
        <w:t>-</w:t>
      </w:r>
      <w:r>
        <w:t>point list of quotes with</w:t>
      </w:r>
      <w:r w:rsidR="00474D7B">
        <w:t>out</w:t>
      </w:r>
      <w:r>
        <w:t xml:space="preserve"> attempt</w:t>
      </w:r>
      <w:r w:rsidR="00474D7B">
        <w:t>ing</w:t>
      </w:r>
      <w:r>
        <w:t xml:space="preserve"> to provide a cohesive overview of what these revealed about the concept of </w:t>
      </w:r>
      <w:r w:rsidR="002D225C">
        <w:t>N</w:t>
      </w:r>
      <w:r>
        <w:t xml:space="preserve">atural </w:t>
      </w:r>
      <w:r w:rsidR="002D225C">
        <w:t>R</w:t>
      </w:r>
      <w:r>
        <w:t>ights</w:t>
      </w:r>
    </w:p>
    <w:p w14:paraId="11E08238" w14:textId="4274176C" w:rsidR="00AE4F2C" w:rsidRDefault="006E613F" w:rsidP="00E710C9">
      <w:pPr>
        <w:pStyle w:val="Bullet"/>
      </w:pPr>
      <w:r>
        <w:t xml:space="preserve">providing </w:t>
      </w:r>
      <w:r w:rsidR="00AE4F2C" w:rsidRPr="00AB7998">
        <w:t>insufficient detail</w:t>
      </w:r>
      <w:r w:rsidR="00AE4F2C">
        <w:t>.</w:t>
      </w:r>
    </w:p>
    <w:p w14:paraId="6CF06560" w14:textId="204D4E80" w:rsidR="00AE4F2C" w:rsidRPr="00896AA7" w:rsidRDefault="00AE4F2C" w:rsidP="00FB3A71">
      <w:pPr>
        <w:pStyle w:val="BodyText"/>
      </w:pPr>
      <w:r w:rsidRPr="00896AA7">
        <w:t>The following is a high-scoring response to Question 1</w:t>
      </w:r>
      <w:r w:rsidR="002D225C">
        <w:t>a</w:t>
      </w:r>
      <w:r w:rsidR="00D81463">
        <w:t>.</w:t>
      </w:r>
      <w:r w:rsidRPr="00896AA7">
        <w:t>:</w:t>
      </w:r>
    </w:p>
    <w:p w14:paraId="5D6DF535" w14:textId="04C4008F" w:rsidR="00AE4F2C" w:rsidRPr="00297205" w:rsidRDefault="00AE4F2C" w:rsidP="00FB3A71">
      <w:pPr>
        <w:pStyle w:val="Studentresponse"/>
      </w:pPr>
      <w:r w:rsidRPr="00297205">
        <w:t xml:space="preserve">Members of the Massachusetts Assembly viewed natural rights of </w:t>
      </w:r>
      <w:r w:rsidR="002D510D">
        <w:t>‘</w:t>
      </w:r>
      <w:r w:rsidRPr="00297205">
        <w:t>personal security, personal liberty and private property</w:t>
      </w:r>
      <w:r w:rsidR="002D510D">
        <w:t>’</w:t>
      </w:r>
      <w:r w:rsidRPr="00297205">
        <w:t xml:space="preserve"> (S1) as a </w:t>
      </w:r>
      <w:r w:rsidR="002D510D">
        <w:t>‘</w:t>
      </w:r>
      <w:r w:rsidRPr="00297205">
        <w:t>fundamental principle of the British constitution</w:t>
      </w:r>
      <w:r w:rsidR="002D510D">
        <w:t>’</w:t>
      </w:r>
      <w:r w:rsidRPr="00297205">
        <w:t xml:space="preserve"> (S1). They believed that </w:t>
      </w:r>
      <w:r w:rsidR="002D510D">
        <w:t>‘</w:t>
      </w:r>
      <w:r w:rsidRPr="00297205">
        <w:t>the supreme power cannot take from any man any part of his property without his consent in person or by representation</w:t>
      </w:r>
      <w:r w:rsidR="002D510D">
        <w:t>’</w:t>
      </w:r>
      <w:r w:rsidRPr="00297205">
        <w:t xml:space="preserve"> (S1), thus believing in their rights to be represented in British Parliament. As they were being taxed by Britain without any colonial representatives in the government they considered </w:t>
      </w:r>
      <w:r w:rsidR="002D510D">
        <w:t>‘</w:t>
      </w:r>
      <w:r w:rsidRPr="00297205">
        <w:t>their natural rights</w:t>
      </w:r>
      <w:r w:rsidR="00C71B10">
        <w:t xml:space="preserve"> </w:t>
      </w:r>
      <w:r w:rsidR="00771182">
        <w:t>…</w:t>
      </w:r>
      <w:r w:rsidRPr="00297205">
        <w:t xml:space="preserve"> infringed</w:t>
      </w:r>
      <w:r w:rsidR="002D510D">
        <w:t>’</w:t>
      </w:r>
      <w:r w:rsidRPr="00297205">
        <w:t xml:space="preserve"> (S1)</w:t>
      </w:r>
      <w:r w:rsidR="00C71B10">
        <w:t>.</w:t>
      </w:r>
    </w:p>
    <w:p w14:paraId="13FE30E4" w14:textId="77777777" w:rsidR="00AE4F2C" w:rsidRDefault="00AE4F2C" w:rsidP="00AE4F2C">
      <w:pPr>
        <w:pStyle w:val="Heading4"/>
      </w:pPr>
      <w:r w:rsidRPr="001221C2">
        <w:t>Question 1b.</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AE4F2C" w:rsidRPr="00FB32B9" w14:paraId="7F49A8BC"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19A65606" w14:textId="77777777" w:rsidR="00AE4F2C" w:rsidRPr="00FB32B9" w:rsidRDefault="00AE4F2C" w:rsidP="00FB3A71">
            <w:pPr>
              <w:pStyle w:val="Tablecondensedheading"/>
            </w:pPr>
            <w:r w:rsidRPr="00FB32B9">
              <w:t xml:space="preserve">Marks </w:t>
            </w:r>
          </w:p>
        </w:tc>
        <w:tc>
          <w:tcPr>
            <w:tcW w:w="640" w:type="dxa"/>
          </w:tcPr>
          <w:p w14:paraId="1D3EEAB1" w14:textId="77777777" w:rsidR="00AE4F2C" w:rsidRPr="00FB32B9" w:rsidRDefault="00AE4F2C" w:rsidP="00FB3A71">
            <w:pPr>
              <w:pStyle w:val="Tablecondensedheading"/>
            </w:pPr>
            <w:r w:rsidRPr="00FB32B9">
              <w:t>0</w:t>
            </w:r>
          </w:p>
        </w:tc>
        <w:tc>
          <w:tcPr>
            <w:tcW w:w="640" w:type="dxa"/>
          </w:tcPr>
          <w:p w14:paraId="11BE38DC" w14:textId="77777777" w:rsidR="00AE4F2C" w:rsidRPr="00FB32B9" w:rsidRDefault="00AE4F2C" w:rsidP="00FB3A71">
            <w:pPr>
              <w:pStyle w:val="Tablecondensedheading"/>
            </w:pPr>
            <w:r w:rsidRPr="00FB32B9">
              <w:t>1</w:t>
            </w:r>
          </w:p>
        </w:tc>
        <w:tc>
          <w:tcPr>
            <w:tcW w:w="641" w:type="dxa"/>
          </w:tcPr>
          <w:p w14:paraId="4997F802" w14:textId="77777777" w:rsidR="00AE4F2C" w:rsidRPr="00FB32B9" w:rsidRDefault="00AE4F2C" w:rsidP="00FB3A71">
            <w:pPr>
              <w:pStyle w:val="Tablecondensedheading"/>
            </w:pPr>
            <w:r w:rsidRPr="00FB32B9">
              <w:t>2</w:t>
            </w:r>
          </w:p>
        </w:tc>
        <w:tc>
          <w:tcPr>
            <w:tcW w:w="640" w:type="dxa"/>
          </w:tcPr>
          <w:p w14:paraId="66124562" w14:textId="77777777" w:rsidR="00AE4F2C" w:rsidRPr="00FB32B9" w:rsidRDefault="00AE4F2C" w:rsidP="00FB3A71">
            <w:pPr>
              <w:pStyle w:val="Tablecondensedheading"/>
            </w:pPr>
            <w:r w:rsidRPr="00FB32B9">
              <w:t>3</w:t>
            </w:r>
          </w:p>
        </w:tc>
        <w:tc>
          <w:tcPr>
            <w:tcW w:w="641" w:type="dxa"/>
          </w:tcPr>
          <w:p w14:paraId="65FCA694" w14:textId="77777777" w:rsidR="00AE4F2C" w:rsidRPr="00FB32B9" w:rsidRDefault="00AE4F2C" w:rsidP="00FB3A71">
            <w:pPr>
              <w:pStyle w:val="Tablecondensedheading"/>
            </w:pPr>
            <w:r w:rsidRPr="00FB32B9">
              <w:t>4</w:t>
            </w:r>
          </w:p>
        </w:tc>
        <w:tc>
          <w:tcPr>
            <w:tcW w:w="640" w:type="dxa"/>
          </w:tcPr>
          <w:p w14:paraId="288F5DC6" w14:textId="77777777" w:rsidR="00AE4F2C" w:rsidRPr="00FB32B9" w:rsidRDefault="00AE4F2C" w:rsidP="00FB3A71">
            <w:pPr>
              <w:pStyle w:val="Tablecondensedheading"/>
            </w:pPr>
            <w:r w:rsidRPr="00FB32B9">
              <w:t>5</w:t>
            </w:r>
          </w:p>
        </w:tc>
        <w:tc>
          <w:tcPr>
            <w:tcW w:w="641" w:type="dxa"/>
          </w:tcPr>
          <w:p w14:paraId="1F0D3EE3" w14:textId="77777777" w:rsidR="00AE4F2C" w:rsidRPr="00FB32B9" w:rsidRDefault="00AE4F2C" w:rsidP="00FB3A71">
            <w:pPr>
              <w:pStyle w:val="Tablecondensedheading"/>
            </w:pPr>
            <w:r w:rsidRPr="00FB32B9">
              <w:t>6</w:t>
            </w:r>
          </w:p>
        </w:tc>
        <w:tc>
          <w:tcPr>
            <w:tcW w:w="640" w:type="dxa"/>
          </w:tcPr>
          <w:p w14:paraId="5A3248A7" w14:textId="77777777" w:rsidR="00AE4F2C" w:rsidRPr="00FB32B9" w:rsidRDefault="00AE4F2C" w:rsidP="00FB3A71">
            <w:pPr>
              <w:pStyle w:val="Tablecondensedheading"/>
            </w:pPr>
            <w:r w:rsidRPr="00FB32B9">
              <w:t>7</w:t>
            </w:r>
          </w:p>
        </w:tc>
        <w:tc>
          <w:tcPr>
            <w:tcW w:w="641" w:type="dxa"/>
          </w:tcPr>
          <w:p w14:paraId="561A25BA" w14:textId="77777777" w:rsidR="00AE4F2C" w:rsidRPr="00FB32B9" w:rsidRDefault="00AE4F2C" w:rsidP="00FB3A71">
            <w:pPr>
              <w:pStyle w:val="Tablecondensedheading"/>
            </w:pPr>
            <w:r w:rsidRPr="00FB32B9">
              <w:t>8</w:t>
            </w:r>
          </w:p>
        </w:tc>
        <w:tc>
          <w:tcPr>
            <w:tcW w:w="640" w:type="dxa"/>
          </w:tcPr>
          <w:p w14:paraId="44264276" w14:textId="77777777" w:rsidR="00AE4F2C" w:rsidRPr="00FB32B9" w:rsidRDefault="00AE4F2C" w:rsidP="00FB3A71">
            <w:pPr>
              <w:pStyle w:val="Tablecondensedheading"/>
            </w:pPr>
            <w:r w:rsidRPr="00FB32B9">
              <w:t>9</w:t>
            </w:r>
          </w:p>
        </w:tc>
        <w:tc>
          <w:tcPr>
            <w:tcW w:w="641" w:type="dxa"/>
          </w:tcPr>
          <w:p w14:paraId="0AD0864E" w14:textId="77777777" w:rsidR="00AE4F2C" w:rsidRPr="00FB32B9" w:rsidRDefault="00AE4F2C" w:rsidP="00FB3A71">
            <w:pPr>
              <w:pStyle w:val="Tablecondensedheading"/>
            </w:pPr>
            <w:r w:rsidRPr="00FB32B9">
              <w:t>10</w:t>
            </w:r>
          </w:p>
        </w:tc>
        <w:tc>
          <w:tcPr>
            <w:tcW w:w="1083" w:type="dxa"/>
          </w:tcPr>
          <w:p w14:paraId="7CBD2537" w14:textId="77777777" w:rsidR="00AE4F2C" w:rsidRPr="00FB32B9" w:rsidRDefault="00AE4F2C" w:rsidP="00FB3A71">
            <w:pPr>
              <w:pStyle w:val="Tablecondensedheading"/>
            </w:pPr>
            <w:r w:rsidRPr="00FB32B9">
              <w:t>Average</w:t>
            </w:r>
          </w:p>
        </w:tc>
      </w:tr>
      <w:tr w:rsidR="00AE4F2C" w:rsidRPr="00FB32B9" w14:paraId="38294D72" w14:textId="77777777" w:rsidTr="00DF0280">
        <w:trPr>
          <w:trHeight w:val="392"/>
        </w:trPr>
        <w:tc>
          <w:tcPr>
            <w:tcW w:w="893" w:type="dxa"/>
          </w:tcPr>
          <w:p w14:paraId="47DB3AF1" w14:textId="77777777" w:rsidR="00AE4F2C" w:rsidRPr="00FB32B9" w:rsidRDefault="00AE4F2C" w:rsidP="00FB3A71">
            <w:pPr>
              <w:pStyle w:val="Tablecondensed"/>
            </w:pPr>
            <w:r w:rsidRPr="00FB32B9">
              <w:t>%</w:t>
            </w:r>
          </w:p>
        </w:tc>
        <w:tc>
          <w:tcPr>
            <w:tcW w:w="640" w:type="dxa"/>
          </w:tcPr>
          <w:p w14:paraId="40711920" w14:textId="77777777" w:rsidR="00AE4F2C" w:rsidRPr="00FB32B9" w:rsidRDefault="00AE4F2C" w:rsidP="00FB3A71">
            <w:pPr>
              <w:pStyle w:val="Tablecondensed"/>
            </w:pPr>
            <w:r>
              <w:t>12</w:t>
            </w:r>
          </w:p>
        </w:tc>
        <w:tc>
          <w:tcPr>
            <w:tcW w:w="640" w:type="dxa"/>
          </w:tcPr>
          <w:p w14:paraId="4DDDB7D7" w14:textId="77777777" w:rsidR="00AE4F2C" w:rsidRPr="00FB32B9" w:rsidRDefault="00AE4F2C" w:rsidP="00FB3A71">
            <w:pPr>
              <w:pStyle w:val="Tablecondensed"/>
            </w:pPr>
            <w:r>
              <w:t>2</w:t>
            </w:r>
          </w:p>
        </w:tc>
        <w:tc>
          <w:tcPr>
            <w:tcW w:w="641" w:type="dxa"/>
          </w:tcPr>
          <w:p w14:paraId="4DE29D6E" w14:textId="77777777" w:rsidR="00AE4F2C" w:rsidRPr="00FB32B9" w:rsidRDefault="00AE4F2C" w:rsidP="00FB3A71">
            <w:pPr>
              <w:pStyle w:val="Tablecondensed"/>
            </w:pPr>
            <w:r>
              <w:t>5</w:t>
            </w:r>
          </w:p>
        </w:tc>
        <w:tc>
          <w:tcPr>
            <w:tcW w:w="640" w:type="dxa"/>
          </w:tcPr>
          <w:p w14:paraId="09BE5523" w14:textId="77777777" w:rsidR="00AE4F2C" w:rsidRPr="00FB32B9" w:rsidRDefault="00AE4F2C" w:rsidP="00FB3A71">
            <w:pPr>
              <w:pStyle w:val="Tablecondensed"/>
            </w:pPr>
            <w:r>
              <w:t>13</w:t>
            </w:r>
          </w:p>
        </w:tc>
        <w:tc>
          <w:tcPr>
            <w:tcW w:w="641" w:type="dxa"/>
          </w:tcPr>
          <w:p w14:paraId="65D4E0D3" w14:textId="77777777" w:rsidR="00AE4F2C" w:rsidRPr="00FB32B9" w:rsidRDefault="00AE4F2C" w:rsidP="00FB3A71">
            <w:pPr>
              <w:pStyle w:val="Tablecondensed"/>
            </w:pPr>
            <w:r>
              <w:t>19</w:t>
            </w:r>
          </w:p>
        </w:tc>
        <w:tc>
          <w:tcPr>
            <w:tcW w:w="640" w:type="dxa"/>
          </w:tcPr>
          <w:p w14:paraId="32C1F8F0" w14:textId="77777777" w:rsidR="00AE4F2C" w:rsidRPr="00FB32B9" w:rsidRDefault="00AE4F2C" w:rsidP="00FB3A71">
            <w:pPr>
              <w:pStyle w:val="Tablecondensed"/>
            </w:pPr>
            <w:r>
              <w:t>19</w:t>
            </w:r>
          </w:p>
        </w:tc>
        <w:tc>
          <w:tcPr>
            <w:tcW w:w="641" w:type="dxa"/>
          </w:tcPr>
          <w:p w14:paraId="5677D372" w14:textId="77777777" w:rsidR="00AE4F2C" w:rsidRPr="00FB32B9" w:rsidRDefault="00AE4F2C" w:rsidP="00FB3A71">
            <w:pPr>
              <w:pStyle w:val="Tablecondensed"/>
            </w:pPr>
            <w:r>
              <w:t>15</w:t>
            </w:r>
          </w:p>
        </w:tc>
        <w:tc>
          <w:tcPr>
            <w:tcW w:w="640" w:type="dxa"/>
          </w:tcPr>
          <w:p w14:paraId="4DF7A876" w14:textId="77777777" w:rsidR="00AE4F2C" w:rsidRPr="00FB32B9" w:rsidRDefault="00AE4F2C" w:rsidP="00FB3A71">
            <w:pPr>
              <w:pStyle w:val="Tablecondensed"/>
            </w:pPr>
            <w:r>
              <w:t>11</w:t>
            </w:r>
          </w:p>
        </w:tc>
        <w:tc>
          <w:tcPr>
            <w:tcW w:w="641" w:type="dxa"/>
          </w:tcPr>
          <w:p w14:paraId="31068DDC" w14:textId="77777777" w:rsidR="00AE4F2C" w:rsidRPr="00FB32B9" w:rsidRDefault="00AE4F2C" w:rsidP="00FB3A71">
            <w:pPr>
              <w:pStyle w:val="Tablecondensed"/>
            </w:pPr>
            <w:r>
              <w:t>4</w:t>
            </w:r>
          </w:p>
        </w:tc>
        <w:tc>
          <w:tcPr>
            <w:tcW w:w="640" w:type="dxa"/>
          </w:tcPr>
          <w:p w14:paraId="637D0657" w14:textId="77777777" w:rsidR="00AE4F2C" w:rsidRPr="00FB32B9" w:rsidRDefault="00AE4F2C" w:rsidP="00FB3A71">
            <w:pPr>
              <w:pStyle w:val="Tablecondensed"/>
            </w:pPr>
            <w:r>
              <w:t>2</w:t>
            </w:r>
          </w:p>
        </w:tc>
        <w:tc>
          <w:tcPr>
            <w:tcW w:w="641" w:type="dxa"/>
          </w:tcPr>
          <w:p w14:paraId="4E691424" w14:textId="77777777" w:rsidR="00AE4F2C" w:rsidRPr="00FB32B9" w:rsidRDefault="00AE4F2C" w:rsidP="00FB3A71">
            <w:pPr>
              <w:pStyle w:val="Tablecondensed"/>
            </w:pPr>
            <w:r>
              <w:t>0.5</w:t>
            </w:r>
          </w:p>
        </w:tc>
        <w:tc>
          <w:tcPr>
            <w:tcW w:w="1083" w:type="dxa"/>
          </w:tcPr>
          <w:p w14:paraId="30368F6E" w14:textId="77777777" w:rsidR="00AE4F2C" w:rsidRPr="00FB32B9" w:rsidRDefault="00AE4F2C" w:rsidP="00FB3A71">
            <w:pPr>
              <w:pStyle w:val="Tablecondensed"/>
            </w:pPr>
            <w:r>
              <w:t>4.3</w:t>
            </w:r>
          </w:p>
        </w:tc>
      </w:tr>
    </w:tbl>
    <w:p w14:paraId="238CEA21" w14:textId="77777777" w:rsidR="00AE4F2C" w:rsidRDefault="00AE4F2C" w:rsidP="00FB3A71">
      <w:pPr>
        <w:pStyle w:val="BodyText"/>
      </w:pPr>
      <w:r>
        <w:t xml:space="preserve">This question required students to write an extended response evaluating the contribution of the Coercive Acts to the outbreak of revolution. </w:t>
      </w:r>
    </w:p>
    <w:p w14:paraId="6FFEB40D" w14:textId="77B7D680" w:rsidR="00AE4F2C" w:rsidRDefault="00AE4F2C" w:rsidP="00FB3A71">
      <w:pPr>
        <w:pStyle w:val="BodyText"/>
      </w:pPr>
      <w:r>
        <w:t xml:space="preserve">Most students engaged </w:t>
      </w:r>
      <w:r w:rsidR="00945DC2">
        <w:t xml:space="preserve">well </w:t>
      </w:r>
      <w:r>
        <w:t>with the ideas provided in Source 2 to form arguments about how the Coercive Acts led to greater colonial unity and the formation of the First Continental Congress.</w:t>
      </w:r>
    </w:p>
    <w:p w14:paraId="194E3C2E" w14:textId="77777777" w:rsidR="00AE4F2C" w:rsidRDefault="00AE4F2C" w:rsidP="00FB3A71">
      <w:pPr>
        <w:pStyle w:val="BodyText"/>
      </w:pPr>
      <w:r>
        <w:t>High-scoring responses to this question tended to:</w:t>
      </w:r>
    </w:p>
    <w:p w14:paraId="69676216" w14:textId="173E63C2" w:rsidR="00AE4F2C" w:rsidRDefault="00AE4F2C" w:rsidP="00E710C9">
      <w:pPr>
        <w:pStyle w:val="Bullet"/>
      </w:pPr>
      <w:r>
        <w:t>form and justify an evaluation of how important the Coercive Acts were</w:t>
      </w:r>
    </w:p>
    <w:p w14:paraId="3E2ADABB" w14:textId="339A0BA1" w:rsidR="00AE4F2C" w:rsidRDefault="00AE4F2C" w:rsidP="00E710C9">
      <w:pPr>
        <w:pStyle w:val="Bullet"/>
      </w:pPr>
      <w:r>
        <w:t xml:space="preserve">use smoothly integrated direct quotes from Source 2 as a ‘springboard’ for a line of argument </w:t>
      </w:r>
      <w:r w:rsidR="00C71B10">
        <w:t xml:space="preserve">and </w:t>
      </w:r>
      <w:r>
        <w:t>then move beyond the source to explore a range of evidence from the student’s own knowledge</w:t>
      </w:r>
    </w:p>
    <w:p w14:paraId="0D1611A0" w14:textId="62ACF1F2" w:rsidR="00AE4F2C" w:rsidRDefault="00AE4F2C" w:rsidP="00E710C9">
      <w:pPr>
        <w:pStyle w:val="Bullet"/>
      </w:pPr>
      <w:r>
        <w:lastRenderedPageBreak/>
        <w:t>name each of the Coercive Acts and explain how, collectively, they drove a wedge between the colonists and Parliament, and created unity among the colonies</w:t>
      </w:r>
    </w:p>
    <w:p w14:paraId="22AEEADD" w14:textId="1FCABE16" w:rsidR="00AE4F2C" w:rsidRDefault="00AE4F2C" w:rsidP="00E710C9">
      <w:pPr>
        <w:pStyle w:val="Bullet"/>
      </w:pPr>
      <w:r>
        <w:t xml:space="preserve">form </w:t>
      </w:r>
      <w:r w:rsidR="00426544">
        <w:t xml:space="preserve">causal </w:t>
      </w:r>
      <w:r>
        <w:t>links between the Coercive Acts and later developments, such as the Acts of Association, the Second Continental Congress and the Powder Alarms</w:t>
      </w:r>
    </w:p>
    <w:p w14:paraId="2B74DB8E" w14:textId="65E15244" w:rsidR="00AE4F2C" w:rsidRDefault="00AE4F2C" w:rsidP="00E710C9">
      <w:pPr>
        <w:pStyle w:val="Bullet"/>
      </w:pPr>
      <w:r>
        <w:t xml:space="preserve">link arguments to a point in 1776 </w:t>
      </w:r>
      <w:r w:rsidR="00C71B10">
        <w:t xml:space="preserve">that </w:t>
      </w:r>
      <w:r>
        <w:t>constituted the ‘outbreak’ of revolution</w:t>
      </w:r>
      <w:r w:rsidR="00C71B10">
        <w:t>,</w:t>
      </w:r>
      <w:r>
        <w:t xml:space="preserve"> where there was no possibility of repairing the relationship between the colonies and Britain, such as the outbreak of hostilities at Lexington and Concord and the writing of the Declaration of Independence.</w:t>
      </w:r>
    </w:p>
    <w:p w14:paraId="3D17A410" w14:textId="49795393" w:rsidR="00AE4F2C" w:rsidRDefault="00AE4F2C" w:rsidP="00FB3A71">
      <w:pPr>
        <w:pStyle w:val="BodyText"/>
      </w:pPr>
      <w:r>
        <w:t xml:space="preserve">Common </w:t>
      </w:r>
      <w:r w:rsidR="00EB5A77">
        <w:t xml:space="preserve">limitations </w:t>
      </w:r>
      <w:r>
        <w:t xml:space="preserve">that prevented responses from </w:t>
      </w:r>
      <w:r w:rsidR="00C71B10">
        <w:t xml:space="preserve">achieving </w:t>
      </w:r>
      <w:r>
        <w:t>high marks included:</w:t>
      </w:r>
    </w:p>
    <w:p w14:paraId="4EFDCC9C" w14:textId="26038722" w:rsidR="00AE4F2C" w:rsidRDefault="00AE4F2C" w:rsidP="00E710C9">
      <w:pPr>
        <w:pStyle w:val="Bullet"/>
      </w:pPr>
      <w:r>
        <w:t>rel</w:t>
      </w:r>
      <w:r w:rsidR="006E613F">
        <w:t>ying too much</w:t>
      </w:r>
      <w:r>
        <w:t xml:space="preserve"> on evidence from Source 2</w:t>
      </w:r>
    </w:p>
    <w:p w14:paraId="799F4B7E" w14:textId="1034990E" w:rsidR="00AE4F2C" w:rsidRDefault="00AE4F2C" w:rsidP="00E710C9">
      <w:pPr>
        <w:pStyle w:val="Bullet"/>
      </w:pPr>
      <w:r>
        <w:t>confusing the Coercive Acts with the Revenue Acts</w:t>
      </w:r>
    </w:p>
    <w:p w14:paraId="6F202445" w14:textId="7063DE05" w:rsidR="00AE4F2C" w:rsidRDefault="00AE4F2C" w:rsidP="00E710C9">
      <w:pPr>
        <w:pStyle w:val="Bullet"/>
      </w:pPr>
      <w:r>
        <w:t xml:space="preserve">spending too </w:t>
      </w:r>
      <w:r w:rsidR="00C71B10">
        <w:t xml:space="preserve">much time </w:t>
      </w:r>
      <w:r>
        <w:t>discussing the Boston Tea Party as a cause of the Coercive Acts, which left students with insufficient time to explore consequences.</w:t>
      </w:r>
    </w:p>
    <w:p w14:paraId="3F1C62E1" w14:textId="50C93ECB" w:rsidR="00AE4F2C" w:rsidRPr="00896AA7" w:rsidRDefault="00AE4F2C" w:rsidP="00FB3A71">
      <w:pPr>
        <w:pStyle w:val="BodyText"/>
      </w:pPr>
      <w:r w:rsidRPr="00896AA7">
        <w:t xml:space="preserve">The following </w:t>
      </w:r>
      <w:r>
        <w:t xml:space="preserve">is </w:t>
      </w:r>
      <w:r w:rsidRPr="00896AA7">
        <w:t>a high-scoring response to Question 1</w:t>
      </w:r>
      <w:r>
        <w:t>b</w:t>
      </w:r>
      <w:r w:rsidR="00D81463">
        <w:t>.</w:t>
      </w:r>
      <w:r w:rsidRPr="00896AA7">
        <w:t>:</w:t>
      </w:r>
    </w:p>
    <w:p w14:paraId="3F0A164C" w14:textId="77777777" w:rsidR="00AE4F2C" w:rsidRPr="00297205" w:rsidRDefault="00AE4F2C" w:rsidP="00FB3A71">
      <w:pPr>
        <w:pStyle w:val="Studentresponse"/>
      </w:pPr>
      <w:r w:rsidRPr="00297205">
        <w:t>The Coercive Acts (31 March – 2 June 1774) were crucial to the outbreak of revolution through their draconian measures and confirmation of a British conspiracy, though American responses to its measures also fomented revolution.</w:t>
      </w:r>
    </w:p>
    <w:p w14:paraId="0106432C" w14:textId="2AC29AA2" w:rsidR="00AE4F2C" w:rsidRPr="00297205" w:rsidRDefault="00AE4F2C" w:rsidP="00FB3A71">
      <w:pPr>
        <w:pStyle w:val="Studentresponse"/>
      </w:pPr>
      <w:r w:rsidRPr="00297205">
        <w:t>The Coercive Acts introduced a range of repressive measures that threatened the political, social and economic livelihood of Boston and more broadly Massachusetts.</w:t>
      </w:r>
      <w:r>
        <w:t xml:space="preserve"> </w:t>
      </w:r>
      <w:r w:rsidRPr="00297205">
        <w:t xml:space="preserve">As Source 2 states, these measures were </w:t>
      </w:r>
      <w:r w:rsidR="002D510D">
        <w:t>‘</w:t>
      </w:r>
      <w:r w:rsidRPr="00297205">
        <w:t>a series of punitive laws</w:t>
      </w:r>
      <w:r w:rsidR="002D510D">
        <w:t>’</w:t>
      </w:r>
      <w:r w:rsidRPr="00297205">
        <w:t xml:space="preserve"> designed to punish the Boston Tea Party (16 December 1773). The Boston Port Act (31 March 1774), which blockaded the port of Boston, threatened the economic livelihood of a city that relied on seagoing trade and the port </w:t>
      </w:r>
      <w:proofErr w:type="gramStart"/>
      <w:r w:rsidRPr="00297205">
        <w:t>as a means to</w:t>
      </w:r>
      <w:proofErr w:type="gramEnd"/>
      <w:r w:rsidRPr="00297205">
        <w:t xml:space="preserve"> stay connected with the other colonies.</w:t>
      </w:r>
      <w:r>
        <w:t xml:space="preserve"> </w:t>
      </w:r>
      <w:r w:rsidRPr="00297205">
        <w:t>In addition to this, the Massachusetts Government Act (20 May 1774), which dissolved the Assembly and installed Thomas Gage as military governor, reignited old memories of prior struggles with soldiers, such as the Boston Massacre (5 March 1770). The very act of dissolving a colonial government was simply offensive to the very idea of British government and popular sovereignty. Thus, the Coercive Acts, as a punitive measure, injured the rights of colonists.</w:t>
      </w:r>
    </w:p>
    <w:p w14:paraId="684B8F20" w14:textId="06EE22D7" w:rsidR="00AE4F2C" w:rsidRPr="00297205" w:rsidRDefault="00AE4F2C" w:rsidP="00FB3A71">
      <w:pPr>
        <w:pStyle w:val="Studentresponse"/>
      </w:pPr>
      <w:r w:rsidRPr="00297205">
        <w:t xml:space="preserve">In addition to this, Enlightenment ideology taught of the tyranny posed by standing armies, so the installation of a military governor sparked fears that the colonies were headed in a dictatorial manner. As James Otis stated, </w:t>
      </w:r>
      <w:r w:rsidR="002D510D">
        <w:t>‘</w:t>
      </w:r>
      <w:r w:rsidRPr="00297205">
        <w:t>those who lack rights are slaves,</w:t>
      </w:r>
      <w:r w:rsidR="002D510D">
        <w:t>’</w:t>
      </w:r>
      <w:r w:rsidRPr="00297205">
        <w:t xml:space="preserve"> and the encroachment on natural rights by these acts pointed to a </w:t>
      </w:r>
      <w:r w:rsidR="002D510D">
        <w:t>‘</w:t>
      </w:r>
      <w:r w:rsidRPr="00297205">
        <w:t>conspiratorial design,</w:t>
      </w:r>
      <w:r w:rsidR="002D510D">
        <w:t>’</w:t>
      </w:r>
      <w:r w:rsidRPr="00297205">
        <w:t xml:space="preserve"> as Bernard Bailyn argued</w:t>
      </w:r>
      <w:r>
        <w:t>…</w:t>
      </w:r>
      <w:r w:rsidRPr="00297205">
        <w:t xml:space="preserve"> As Source 2 states, </w:t>
      </w:r>
      <w:r w:rsidR="002D510D">
        <w:t>‘</w:t>
      </w:r>
      <w:r w:rsidRPr="00297205">
        <w:t>Americans everywhere discussed the appropriate response to such parliamentary measures,</w:t>
      </w:r>
      <w:r w:rsidR="002D510D">
        <w:t>’</w:t>
      </w:r>
      <w:r w:rsidRPr="00297205">
        <w:t xml:space="preserve"> reflecting how the Acts imposed on Massachusetts were viewed as symptomatic of a wider threat to the colonies</w:t>
      </w:r>
      <w:r>
        <w:t>…</w:t>
      </w:r>
    </w:p>
    <w:p w14:paraId="35BEBBE8" w14:textId="42494846" w:rsidR="00AE4F2C" w:rsidRPr="00297205" w:rsidRDefault="00AE4F2C" w:rsidP="00FB3A71">
      <w:pPr>
        <w:pStyle w:val="Studentresponse"/>
      </w:pPr>
      <w:r w:rsidRPr="00297205">
        <w:t>Despite these measures, revolution only erupted in 1776 thanks to</w:t>
      </w:r>
      <w:r w:rsidR="00C71B10">
        <w:t xml:space="preserve"> </w:t>
      </w:r>
      <w:r>
        <w:t>…</w:t>
      </w:r>
      <w:r w:rsidRPr="00297205">
        <w:t xml:space="preserve"> British actions such as the Powder Alarms (1 September 1774) </w:t>
      </w:r>
      <w:r>
        <w:t xml:space="preserve">which </w:t>
      </w:r>
      <w:r w:rsidRPr="00297205">
        <w:t xml:space="preserve">served to further inflame tensions, and conflict broke out with militiamen at Lexington and Concord (19 April </w:t>
      </w:r>
      <w:proofErr w:type="gramStart"/>
      <w:r w:rsidRPr="00297205">
        <w:t>1775)…</w:t>
      </w:r>
      <w:proofErr w:type="gramEnd"/>
      <w:r w:rsidRPr="00297205">
        <w:t xml:space="preserve"> While the Coercive Acts began a greater antagonism toward the colonies, it was the military actions that </w:t>
      </w:r>
      <w:r>
        <w:t>followed</w:t>
      </w:r>
      <w:r w:rsidRPr="00297205">
        <w:t xml:space="preserve">, combined with the adamant position that the colonists must </w:t>
      </w:r>
      <w:r w:rsidR="002D510D">
        <w:t>‘</w:t>
      </w:r>
      <w:r w:rsidRPr="00297205">
        <w:t>submit or triumph,</w:t>
      </w:r>
      <w:r w:rsidR="002D510D">
        <w:t>’</w:t>
      </w:r>
      <w:r w:rsidRPr="00297205">
        <w:t xml:space="preserve"> that resulted in 10</w:t>
      </w:r>
      <w:r w:rsidR="000957D0">
        <w:t xml:space="preserve"> </w:t>
      </w:r>
      <w:r w:rsidRPr="00297205">
        <w:t>000 militiamen besieging Boston and the gradual escalation of conflict until separation was necessitated on 4 July 1776.</w:t>
      </w:r>
    </w:p>
    <w:p w14:paraId="7ECBD14F" w14:textId="77777777" w:rsidR="0018392B" w:rsidRDefault="0018392B">
      <w:pPr>
        <w:spacing w:line="276" w:lineRule="auto"/>
        <w:rPr>
          <w:rFonts w:ascii="Arial" w:hAnsi="Arial" w:cs="Arial"/>
          <w:color w:val="0F7EB4"/>
          <w:sz w:val="28"/>
          <w:lang w:val="en-AU" w:eastAsia="en-AU"/>
        </w:rPr>
      </w:pPr>
      <w:r>
        <w:br w:type="page"/>
      </w:r>
    </w:p>
    <w:p w14:paraId="130D66B4" w14:textId="1D631FE8" w:rsidR="00AE4F2C" w:rsidRDefault="00AE4F2C" w:rsidP="00AE4F2C">
      <w:pPr>
        <w:pStyle w:val="Heading4"/>
      </w:pPr>
      <w:r w:rsidRPr="00FB6D3B">
        <w:lastRenderedPageBreak/>
        <w:t>Question 1c.</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AE4F2C" w:rsidRPr="00FB32B9" w14:paraId="11D46929"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left w:val="single" w:sz="4" w:space="0" w:color="000000"/>
              <w:bottom w:val="single" w:sz="4" w:space="0" w:color="000000"/>
            </w:tcBorders>
            <w:hideMark/>
          </w:tcPr>
          <w:p w14:paraId="0429C549" w14:textId="77777777" w:rsidR="00AE4F2C" w:rsidRPr="00FB32B9" w:rsidRDefault="00AE4F2C" w:rsidP="00FB3A71">
            <w:pPr>
              <w:pStyle w:val="Tablecondensedheading"/>
            </w:pPr>
            <w:r w:rsidRPr="00FB32B9">
              <w:t xml:space="preserve">Marks </w:t>
            </w:r>
          </w:p>
        </w:tc>
        <w:tc>
          <w:tcPr>
            <w:tcW w:w="578" w:type="dxa"/>
            <w:tcBorders>
              <w:top w:val="single" w:sz="4" w:space="0" w:color="000000"/>
              <w:bottom w:val="single" w:sz="4" w:space="0" w:color="000000"/>
            </w:tcBorders>
            <w:hideMark/>
          </w:tcPr>
          <w:p w14:paraId="51823658" w14:textId="77777777" w:rsidR="00AE4F2C" w:rsidRPr="00FB32B9" w:rsidRDefault="00AE4F2C" w:rsidP="00FB3A71">
            <w:pPr>
              <w:pStyle w:val="Tablecondensedheading"/>
            </w:pPr>
            <w:r w:rsidRPr="00FB32B9">
              <w:t>0</w:t>
            </w:r>
          </w:p>
        </w:tc>
        <w:tc>
          <w:tcPr>
            <w:tcW w:w="578" w:type="dxa"/>
            <w:tcBorders>
              <w:top w:val="single" w:sz="4" w:space="0" w:color="000000"/>
              <w:bottom w:val="single" w:sz="4" w:space="0" w:color="000000"/>
            </w:tcBorders>
            <w:hideMark/>
          </w:tcPr>
          <w:p w14:paraId="0B6BA9FC" w14:textId="77777777" w:rsidR="00AE4F2C" w:rsidRPr="00FB32B9" w:rsidRDefault="00AE4F2C" w:rsidP="00FB3A71">
            <w:pPr>
              <w:pStyle w:val="Tablecondensedheading"/>
            </w:pPr>
            <w:r w:rsidRPr="00FB32B9">
              <w:t>1</w:t>
            </w:r>
          </w:p>
        </w:tc>
        <w:tc>
          <w:tcPr>
            <w:tcW w:w="578" w:type="dxa"/>
            <w:tcBorders>
              <w:top w:val="single" w:sz="4" w:space="0" w:color="000000"/>
              <w:bottom w:val="single" w:sz="4" w:space="0" w:color="000000"/>
            </w:tcBorders>
            <w:hideMark/>
          </w:tcPr>
          <w:p w14:paraId="3C64DE1F" w14:textId="77777777" w:rsidR="00AE4F2C" w:rsidRPr="00FB32B9" w:rsidRDefault="00AE4F2C" w:rsidP="00FB3A71">
            <w:pPr>
              <w:pStyle w:val="Tablecondensedheading"/>
            </w:pPr>
            <w:r w:rsidRPr="00FB32B9">
              <w:t>2</w:t>
            </w:r>
          </w:p>
        </w:tc>
        <w:tc>
          <w:tcPr>
            <w:tcW w:w="578" w:type="dxa"/>
            <w:tcBorders>
              <w:top w:val="single" w:sz="4" w:space="0" w:color="000000"/>
              <w:bottom w:val="single" w:sz="4" w:space="0" w:color="000000"/>
            </w:tcBorders>
            <w:hideMark/>
          </w:tcPr>
          <w:p w14:paraId="04AA203C" w14:textId="77777777" w:rsidR="00AE4F2C" w:rsidRPr="00FB32B9" w:rsidRDefault="00AE4F2C" w:rsidP="00FB3A71">
            <w:pPr>
              <w:pStyle w:val="Tablecondensedheading"/>
            </w:pPr>
            <w:r w:rsidRPr="00FB32B9">
              <w:t>3</w:t>
            </w:r>
          </w:p>
        </w:tc>
        <w:tc>
          <w:tcPr>
            <w:tcW w:w="578" w:type="dxa"/>
            <w:tcBorders>
              <w:top w:val="single" w:sz="4" w:space="0" w:color="000000"/>
              <w:bottom w:val="single" w:sz="4" w:space="0" w:color="000000"/>
            </w:tcBorders>
          </w:tcPr>
          <w:p w14:paraId="0DA35087" w14:textId="77777777" w:rsidR="00AE4F2C" w:rsidRPr="00FB32B9" w:rsidRDefault="00AE4F2C" w:rsidP="00FB3A71">
            <w:pPr>
              <w:pStyle w:val="Tablecondensedheading"/>
            </w:pPr>
            <w:r w:rsidRPr="00FB32B9">
              <w:t>4</w:t>
            </w:r>
          </w:p>
        </w:tc>
        <w:tc>
          <w:tcPr>
            <w:tcW w:w="578" w:type="dxa"/>
            <w:tcBorders>
              <w:top w:val="single" w:sz="4" w:space="0" w:color="000000"/>
              <w:bottom w:val="single" w:sz="4" w:space="0" w:color="000000"/>
            </w:tcBorders>
          </w:tcPr>
          <w:p w14:paraId="4D54FD65" w14:textId="77777777" w:rsidR="00AE4F2C" w:rsidRPr="00FB32B9" w:rsidRDefault="00AE4F2C" w:rsidP="00FB3A71">
            <w:pPr>
              <w:pStyle w:val="Tablecondensedheading"/>
            </w:pPr>
            <w:r w:rsidRPr="00FB32B9">
              <w:t>5</w:t>
            </w:r>
          </w:p>
        </w:tc>
        <w:tc>
          <w:tcPr>
            <w:tcW w:w="578" w:type="dxa"/>
            <w:tcBorders>
              <w:top w:val="single" w:sz="4" w:space="0" w:color="000000"/>
              <w:bottom w:val="single" w:sz="4" w:space="0" w:color="000000"/>
            </w:tcBorders>
          </w:tcPr>
          <w:p w14:paraId="5089E7ED" w14:textId="77777777" w:rsidR="00AE4F2C" w:rsidRPr="00FB32B9" w:rsidRDefault="00AE4F2C" w:rsidP="00FB3A71">
            <w:pPr>
              <w:pStyle w:val="Tablecondensedheading"/>
            </w:pPr>
            <w:r w:rsidRPr="00FB32B9">
              <w:t>6</w:t>
            </w:r>
          </w:p>
        </w:tc>
        <w:tc>
          <w:tcPr>
            <w:tcW w:w="1287" w:type="dxa"/>
            <w:tcBorders>
              <w:top w:val="single" w:sz="4" w:space="0" w:color="000000"/>
              <w:bottom w:val="single" w:sz="4" w:space="0" w:color="000000"/>
              <w:right w:val="single" w:sz="4" w:space="0" w:color="000000"/>
            </w:tcBorders>
            <w:hideMark/>
          </w:tcPr>
          <w:p w14:paraId="55935FF0" w14:textId="77777777" w:rsidR="00AE4F2C" w:rsidRPr="00FB32B9" w:rsidRDefault="00AE4F2C" w:rsidP="00FB3A71">
            <w:pPr>
              <w:pStyle w:val="Tablecondensedheading"/>
            </w:pPr>
            <w:r w:rsidRPr="00FB32B9">
              <w:t>Average</w:t>
            </w:r>
          </w:p>
        </w:tc>
      </w:tr>
      <w:tr w:rsidR="00AE4F2C" w:rsidRPr="00FB32B9" w14:paraId="4F80C2A4" w14:textId="77777777" w:rsidTr="00DF0280">
        <w:trPr>
          <w:trHeight w:val="392"/>
        </w:trPr>
        <w:tc>
          <w:tcPr>
            <w:tcW w:w="691" w:type="dxa"/>
            <w:tcBorders>
              <w:top w:val="single" w:sz="4" w:space="0" w:color="000000"/>
              <w:left w:val="single" w:sz="4" w:space="0" w:color="000000"/>
              <w:bottom w:val="single" w:sz="4" w:space="0" w:color="000000"/>
              <w:right w:val="single" w:sz="4" w:space="0" w:color="000000"/>
            </w:tcBorders>
            <w:hideMark/>
          </w:tcPr>
          <w:p w14:paraId="1CD2FDBF" w14:textId="77777777" w:rsidR="00AE4F2C" w:rsidRPr="00FB32B9" w:rsidRDefault="00AE4F2C" w:rsidP="00FB3A71">
            <w:pPr>
              <w:pStyle w:val="Tablecondensed"/>
            </w:pPr>
            <w:r w:rsidRPr="00FB32B9">
              <w:t>%</w:t>
            </w:r>
          </w:p>
        </w:tc>
        <w:tc>
          <w:tcPr>
            <w:tcW w:w="578" w:type="dxa"/>
            <w:tcBorders>
              <w:top w:val="single" w:sz="4" w:space="0" w:color="000000"/>
              <w:left w:val="single" w:sz="4" w:space="0" w:color="000000"/>
              <w:bottom w:val="single" w:sz="4" w:space="0" w:color="000000"/>
              <w:right w:val="single" w:sz="4" w:space="0" w:color="000000"/>
            </w:tcBorders>
          </w:tcPr>
          <w:p w14:paraId="655D5689" w14:textId="77777777" w:rsidR="00AE4F2C" w:rsidRPr="00FB32B9" w:rsidRDefault="00AE4F2C" w:rsidP="00FB3A71">
            <w:pPr>
              <w:pStyle w:val="Tablecondensed"/>
            </w:pPr>
            <w:r>
              <w:t>11</w:t>
            </w:r>
          </w:p>
        </w:tc>
        <w:tc>
          <w:tcPr>
            <w:tcW w:w="578" w:type="dxa"/>
            <w:tcBorders>
              <w:top w:val="single" w:sz="4" w:space="0" w:color="000000"/>
              <w:left w:val="single" w:sz="4" w:space="0" w:color="000000"/>
              <w:bottom w:val="single" w:sz="4" w:space="0" w:color="000000"/>
              <w:right w:val="single" w:sz="4" w:space="0" w:color="000000"/>
            </w:tcBorders>
          </w:tcPr>
          <w:p w14:paraId="48CDB0EB" w14:textId="77777777" w:rsidR="00AE4F2C" w:rsidRPr="00FB32B9" w:rsidRDefault="00AE4F2C" w:rsidP="00FB3A71">
            <w:pPr>
              <w:pStyle w:val="Tablecondensed"/>
            </w:pPr>
            <w:r>
              <w:t>3</w:t>
            </w:r>
          </w:p>
        </w:tc>
        <w:tc>
          <w:tcPr>
            <w:tcW w:w="578" w:type="dxa"/>
            <w:tcBorders>
              <w:top w:val="single" w:sz="4" w:space="0" w:color="000000"/>
              <w:left w:val="single" w:sz="4" w:space="0" w:color="000000"/>
              <w:bottom w:val="single" w:sz="4" w:space="0" w:color="000000"/>
              <w:right w:val="single" w:sz="4" w:space="0" w:color="000000"/>
            </w:tcBorders>
          </w:tcPr>
          <w:p w14:paraId="1608F779" w14:textId="77777777" w:rsidR="00AE4F2C" w:rsidRPr="00FB32B9" w:rsidRDefault="00AE4F2C" w:rsidP="00FB3A71">
            <w:pPr>
              <w:pStyle w:val="Tablecondensed"/>
            </w:pPr>
            <w:r>
              <w:t>21</w:t>
            </w:r>
          </w:p>
        </w:tc>
        <w:tc>
          <w:tcPr>
            <w:tcW w:w="578" w:type="dxa"/>
            <w:tcBorders>
              <w:top w:val="single" w:sz="4" w:space="0" w:color="000000"/>
              <w:left w:val="single" w:sz="4" w:space="0" w:color="000000"/>
              <w:bottom w:val="single" w:sz="4" w:space="0" w:color="000000"/>
              <w:right w:val="single" w:sz="4" w:space="0" w:color="000000"/>
            </w:tcBorders>
          </w:tcPr>
          <w:p w14:paraId="710A9719" w14:textId="77777777" w:rsidR="00AE4F2C" w:rsidRPr="00FB32B9" w:rsidRDefault="00AE4F2C" w:rsidP="00FB3A71">
            <w:pPr>
              <w:pStyle w:val="Tablecondensed"/>
            </w:pPr>
            <w:r>
              <w:t>40</w:t>
            </w:r>
          </w:p>
        </w:tc>
        <w:tc>
          <w:tcPr>
            <w:tcW w:w="578" w:type="dxa"/>
            <w:tcBorders>
              <w:top w:val="single" w:sz="4" w:space="0" w:color="000000"/>
              <w:left w:val="single" w:sz="4" w:space="0" w:color="000000"/>
              <w:bottom w:val="single" w:sz="4" w:space="0" w:color="000000"/>
              <w:right w:val="single" w:sz="4" w:space="0" w:color="000000"/>
            </w:tcBorders>
          </w:tcPr>
          <w:p w14:paraId="3E53987D" w14:textId="77777777" w:rsidR="00AE4F2C" w:rsidRPr="00FB32B9" w:rsidRDefault="00AE4F2C" w:rsidP="00FB3A71">
            <w:pPr>
              <w:pStyle w:val="Tablecondensed"/>
            </w:pPr>
            <w:r>
              <w:t>19</w:t>
            </w:r>
          </w:p>
        </w:tc>
        <w:tc>
          <w:tcPr>
            <w:tcW w:w="578" w:type="dxa"/>
            <w:tcBorders>
              <w:top w:val="single" w:sz="4" w:space="0" w:color="000000"/>
              <w:left w:val="single" w:sz="4" w:space="0" w:color="000000"/>
              <w:bottom w:val="single" w:sz="4" w:space="0" w:color="000000"/>
              <w:right w:val="single" w:sz="4" w:space="0" w:color="000000"/>
            </w:tcBorders>
          </w:tcPr>
          <w:p w14:paraId="280DB75F" w14:textId="77777777" w:rsidR="00AE4F2C" w:rsidRPr="00FB32B9" w:rsidRDefault="00AE4F2C" w:rsidP="00FB3A71">
            <w:pPr>
              <w:pStyle w:val="Tablecondensed"/>
            </w:pPr>
            <w:r>
              <w:t>6</w:t>
            </w:r>
          </w:p>
        </w:tc>
        <w:tc>
          <w:tcPr>
            <w:tcW w:w="578" w:type="dxa"/>
            <w:tcBorders>
              <w:top w:val="single" w:sz="4" w:space="0" w:color="000000"/>
              <w:left w:val="single" w:sz="4" w:space="0" w:color="000000"/>
              <w:bottom w:val="single" w:sz="4" w:space="0" w:color="000000"/>
              <w:right w:val="single" w:sz="4" w:space="0" w:color="000000"/>
            </w:tcBorders>
          </w:tcPr>
          <w:p w14:paraId="314087B0" w14:textId="77777777" w:rsidR="00AE4F2C" w:rsidRPr="00FB32B9" w:rsidRDefault="00AE4F2C" w:rsidP="00FB3A71">
            <w:pPr>
              <w:pStyle w:val="Tablecondensed"/>
            </w:pPr>
            <w:r>
              <w:t>1</w:t>
            </w:r>
          </w:p>
        </w:tc>
        <w:tc>
          <w:tcPr>
            <w:tcW w:w="1287" w:type="dxa"/>
            <w:tcBorders>
              <w:top w:val="single" w:sz="4" w:space="0" w:color="000000"/>
              <w:left w:val="single" w:sz="4" w:space="0" w:color="000000"/>
              <w:bottom w:val="single" w:sz="4" w:space="0" w:color="000000"/>
              <w:right w:val="single" w:sz="4" w:space="0" w:color="000000"/>
            </w:tcBorders>
          </w:tcPr>
          <w:p w14:paraId="13A22C0E" w14:textId="77777777" w:rsidR="00AE4F2C" w:rsidRPr="00FB32B9" w:rsidRDefault="00AE4F2C" w:rsidP="00FB3A71">
            <w:pPr>
              <w:pStyle w:val="Tablecondensed"/>
            </w:pPr>
            <w:r>
              <w:t>2.8</w:t>
            </w:r>
          </w:p>
        </w:tc>
      </w:tr>
    </w:tbl>
    <w:p w14:paraId="19B7F834" w14:textId="77777777" w:rsidR="00AE4F2C" w:rsidRDefault="00AE4F2C" w:rsidP="00FB3A71">
      <w:pPr>
        <w:pStyle w:val="BodyText"/>
      </w:pPr>
      <w:r>
        <w:t xml:space="preserve">This question required students to analyse the challenges faced by Loyalists during and after the War of Independence. </w:t>
      </w:r>
    </w:p>
    <w:p w14:paraId="41B9A893" w14:textId="39FAD333" w:rsidR="00AE4F2C" w:rsidRDefault="00AE4F2C" w:rsidP="00FB3A71">
      <w:pPr>
        <w:pStyle w:val="BodyText"/>
      </w:pPr>
      <w:r>
        <w:t xml:space="preserve">Most students were able to construct an argument that showed an understanding of who the Loyalists were and used evidence from Source 3 to establish that they were subjected to violence and confiscation of property. </w:t>
      </w:r>
    </w:p>
    <w:p w14:paraId="0A84E666" w14:textId="77777777" w:rsidR="00AE4F2C" w:rsidRDefault="00AE4F2C" w:rsidP="00FB3A71">
      <w:pPr>
        <w:pStyle w:val="BodyText"/>
      </w:pPr>
      <w:r>
        <w:t>High-scoring responses to this question tended to:</w:t>
      </w:r>
    </w:p>
    <w:p w14:paraId="2787861D" w14:textId="4CE06B14" w:rsidR="00AE4F2C" w:rsidRPr="00B53D58" w:rsidRDefault="00AE4F2C" w:rsidP="00E710C9">
      <w:pPr>
        <w:pStyle w:val="Bullet"/>
        <w:rPr>
          <w:i/>
          <w:iCs/>
        </w:rPr>
      </w:pPr>
      <w:r>
        <w:t xml:space="preserve">break the response into two distinct arguments, methodically exploring experiences during </w:t>
      </w:r>
      <w:r w:rsidRPr="009F73CD">
        <w:t>and</w:t>
      </w:r>
      <w:r>
        <w:t xml:space="preserve"> after the war</w:t>
      </w:r>
    </w:p>
    <w:p w14:paraId="1530BCB6" w14:textId="4555E0F3" w:rsidR="00AE4F2C" w:rsidRDefault="00AE4F2C" w:rsidP="00E710C9">
      <w:pPr>
        <w:pStyle w:val="Bullet"/>
      </w:pPr>
      <w:r>
        <w:t>incorporate a range of short direct quotes from Source 3</w:t>
      </w:r>
    </w:p>
    <w:p w14:paraId="09C4521C" w14:textId="1E366A78" w:rsidR="00AE4F2C" w:rsidRPr="009F73CD" w:rsidRDefault="00AE4F2C" w:rsidP="00E710C9">
      <w:pPr>
        <w:pStyle w:val="Bullet"/>
        <w:rPr>
          <w:i/>
          <w:iCs/>
        </w:rPr>
      </w:pPr>
      <w:r>
        <w:t xml:space="preserve">provide precise and accurate evidence </w:t>
      </w:r>
      <w:r w:rsidR="00F22779">
        <w:t xml:space="preserve">that </w:t>
      </w:r>
      <w:r>
        <w:t xml:space="preserve">supplemented and extended </w:t>
      </w:r>
      <w:r w:rsidR="00F22779">
        <w:t xml:space="preserve">on </w:t>
      </w:r>
      <w:r>
        <w:t>the ideas in the source, such as that 30</w:t>
      </w:r>
      <w:r w:rsidR="0018392B">
        <w:t>,</w:t>
      </w:r>
      <w:r>
        <w:t>000 Loyalists enlisted in the British Army during the war, and that 70</w:t>
      </w:r>
      <w:r w:rsidR="0018392B">
        <w:t>,</w:t>
      </w:r>
      <w:r>
        <w:t>000 Loyalists fled to Nova Scotia, Quebec, the West Indies or Britain after the war.</w:t>
      </w:r>
    </w:p>
    <w:p w14:paraId="4B8EB44B" w14:textId="77777777" w:rsidR="00AE4F2C" w:rsidRDefault="00AE4F2C" w:rsidP="00FB3A71">
      <w:pPr>
        <w:pStyle w:val="BodyText"/>
      </w:pPr>
      <w:r>
        <w:t xml:space="preserve">Many students were overly reliant on evidence from Source 3 and did not provide evidence from their own knowledge; these responses were unable to access the higher marks. </w:t>
      </w:r>
    </w:p>
    <w:p w14:paraId="3CA77CF5" w14:textId="537AD7B9" w:rsidR="00AE4F2C" w:rsidRPr="00896AA7" w:rsidRDefault="00AE4F2C" w:rsidP="00FB3A71">
      <w:pPr>
        <w:pStyle w:val="BodyText"/>
      </w:pPr>
      <w:r w:rsidRPr="00896AA7">
        <w:t>The following is a high-scoring response to Question 1c</w:t>
      </w:r>
      <w:r w:rsidR="00D81463">
        <w:t>.</w:t>
      </w:r>
      <w:r w:rsidRPr="00896AA7">
        <w:t>:</w:t>
      </w:r>
    </w:p>
    <w:p w14:paraId="0071A96F" w14:textId="4ECB6CA7" w:rsidR="00AE4F2C" w:rsidRDefault="00AE4F2C" w:rsidP="00FB3A71">
      <w:pPr>
        <w:pStyle w:val="Studentresponse"/>
      </w:pPr>
      <w:r>
        <w:t xml:space="preserve">Loyalists faced great suffering both during the war and after. As Source 3 states, during the war, laws had been enacted to </w:t>
      </w:r>
      <w:r w:rsidR="002D510D">
        <w:t>‘</w:t>
      </w:r>
      <w:r>
        <w:t xml:space="preserve">confiscate the property of prominent </w:t>
      </w:r>
      <w:proofErr w:type="gramStart"/>
      <w:r>
        <w:t>loyalists</w:t>
      </w:r>
      <w:r w:rsidR="00F22779">
        <w:t>’</w:t>
      </w:r>
      <w:proofErr w:type="gramEnd"/>
      <w:r>
        <w:t>. As a result of these measures, Loyalists often found themselves driven from their homes, businesses and even political positions. Loyalists made up one-third of the population by John Adams’</w:t>
      </w:r>
      <w:r w:rsidR="00F22779">
        <w:t>s</w:t>
      </w:r>
      <w:r>
        <w:t xml:space="preserve"> estimate, but this was not evenly distributed. In the South, with more Loyalists, the war took almost the character of a civil war, as Loyalists faced angry neighbours who were more interested in profiteering and settling disputes than high-minded ideals of liberty, as Alan Taylor argues.</w:t>
      </w:r>
    </w:p>
    <w:p w14:paraId="237DC66A" w14:textId="6D1421C0" w:rsidR="00AE4F2C" w:rsidRDefault="00AE4F2C" w:rsidP="00FB3A71">
      <w:pPr>
        <w:pStyle w:val="Studentresponse"/>
      </w:pPr>
      <w:r>
        <w:t xml:space="preserve">In addition to this, as Source 3 states, </w:t>
      </w:r>
      <w:r w:rsidR="002D510D">
        <w:t>‘</w:t>
      </w:r>
      <w:r>
        <w:t>Loyalists would receive no mercy</w:t>
      </w:r>
      <w:r w:rsidR="002D510D">
        <w:t>’</w:t>
      </w:r>
      <w:r>
        <w:t xml:space="preserve"> following the war. Since Congress lacked the power to enforce treaties under the Articles of Confederation, any promises made for their fair treatment could not be enforced, as Source 3 states. What resulted was a mass exodus of Loyalists, such as the 15</w:t>
      </w:r>
      <w:r w:rsidR="000957D0">
        <w:t xml:space="preserve"> </w:t>
      </w:r>
      <w:r>
        <w:t>000 that departed New York in April 1783. Worst of all was the position of Black enslaved people who followed their Loyalist masters to the brutal conditions of the British sugar colonies, as Betty Wood notes. Thus, Loyalists faced terrible consequences.</w:t>
      </w:r>
    </w:p>
    <w:p w14:paraId="7CA83D91" w14:textId="77777777" w:rsidR="00AE4F2C" w:rsidRPr="00AE4F2C" w:rsidRDefault="00AE4F2C" w:rsidP="00AE4F2C">
      <w:pPr>
        <w:pStyle w:val="Heading4"/>
      </w:pPr>
      <w:r w:rsidRPr="00AE4F2C">
        <w:t>Question 1d.</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AE4F2C" w:rsidRPr="00FB32B9" w14:paraId="55272FAF"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5D4ED80A" w14:textId="77777777" w:rsidR="00AE4F2C" w:rsidRPr="00FB32B9" w:rsidRDefault="00AE4F2C" w:rsidP="00FB3A71">
            <w:pPr>
              <w:pStyle w:val="Tablecondensedheading"/>
            </w:pPr>
            <w:r w:rsidRPr="00FB32B9">
              <w:t xml:space="preserve">Marks </w:t>
            </w:r>
          </w:p>
        </w:tc>
        <w:tc>
          <w:tcPr>
            <w:tcW w:w="576" w:type="dxa"/>
          </w:tcPr>
          <w:p w14:paraId="34C2D4EB" w14:textId="77777777" w:rsidR="00AE4F2C" w:rsidRPr="00FB32B9" w:rsidRDefault="00AE4F2C" w:rsidP="00FB3A71">
            <w:pPr>
              <w:pStyle w:val="Tablecondensedheading"/>
            </w:pPr>
            <w:r w:rsidRPr="00FB32B9">
              <w:t>0</w:t>
            </w:r>
          </w:p>
        </w:tc>
        <w:tc>
          <w:tcPr>
            <w:tcW w:w="576" w:type="dxa"/>
          </w:tcPr>
          <w:p w14:paraId="316F1AAE" w14:textId="77777777" w:rsidR="00AE4F2C" w:rsidRPr="00FB32B9" w:rsidRDefault="00AE4F2C" w:rsidP="00FB3A71">
            <w:pPr>
              <w:pStyle w:val="Tablecondensedheading"/>
            </w:pPr>
            <w:r w:rsidRPr="00FB32B9">
              <w:t>1</w:t>
            </w:r>
          </w:p>
        </w:tc>
        <w:tc>
          <w:tcPr>
            <w:tcW w:w="576" w:type="dxa"/>
          </w:tcPr>
          <w:p w14:paraId="0E5F60DA" w14:textId="77777777" w:rsidR="00AE4F2C" w:rsidRPr="00FB32B9" w:rsidRDefault="00AE4F2C" w:rsidP="00FB3A71">
            <w:pPr>
              <w:pStyle w:val="Tablecondensedheading"/>
            </w:pPr>
            <w:r w:rsidRPr="00FB32B9">
              <w:t>2</w:t>
            </w:r>
          </w:p>
        </w:tc>
        <w:tc>
          <w:tcPr>
            <w:tcW w:w="576" w:type="dxa"/>
          </w:tcPr>
          <w:p w14:paraId="7C13444A" w14:textId="77777777" w:rsidR="00AE4F2C" w:rsidRPr="00FB32B9" w:rsidRDefault="00AE4F2C" w:rsidP="00FB3A71">
            <w:pPr>
              <w:pStyle w:val="Tablecondensedheading"/>
            </w:pPr>
            <w:r w:rsidRPr="00FB32B9">
              <w:t>3</w:t>
            </w:r>
          </w:p>
        </w:tc>
        <w:tc>
          <w:tcPr>
            <w:tcW w:w="576" w:type="dxa"/>
          </w:tcPr>
          <w:p w14:paraId="0A2FB476" w14:textId="77777777" w:rsidR="00AE4F2C" w:rsidRPr="00FB32B9" w:rsidRDefault="00AE4F2C" w:rsidP="00FB3A71">
            <w:pPr>
              <w:pStyle w:val="Tablecondensedheading"/>
            </w:pPr>
            <w:r w:rsidRPr="00FB32B9">
              <w:t>4</w:t>
            </w:r>
          </w:p>
        </w:tc>
        <w:tc>
          <w:tcPr>
            <w:tcW w:w="576" w:type="dxa"/>
          </w:tcPr>
          <w:p w14:paraId="632AC3CB" w14:textId="77777777" w:rsidR="00AE4F2C" w:rsidRPr="00FB32B9" w:rsidRDefault="00AE4F2C" w:rsidP="00FB3A71">
            <w:pPr>
              <w:pStyle w:val="Tablecondensedheading"/>
            </w:pPr>
            <w:r w:rsidRPr="00FB32B9">
              <w:t>5</w:t>
            </w:r>
          </w:p>
        </w:tc>
        <w:tc>
          <w:tcPr>
            <w:tcW w:w="1287" w:type="dxa"/>
          </w:tcPr>
          <w:p w14:paraId="7AA63409" w14:textId="77777777" w:rsidR="00AE4F2C" w:rsidRPr="00FB32B9" w:rsidRDefault="00AE4F2C" w:rsidP="00FB3A71">
            <w:pPr>
              <w:pStyle w:val="Tablecondensedheading"/>
            </w:pPr>
            <w:r w:rsidRPr="00FB32B9">
              <w:t>Average</w:t>
            </w:r>
          </w:p>
        </w:tc>
      </w:tr>
      <w:tr w:rsidR="00AE4F2C" w:rsidRPr="00FB32B9" w14:paraId="17DA8B9C" w14:textId="77777777" w:rsidTr="00DF0280">
        <w:trPr>
          <w:trHeight w:val="392"/>
        </w:trPr>
        <w:tc>
          <w:tcPr>
            <w:tcW w:w="1030" w:type="dxa"/>
          </w:tcPr>
          <w:p w14:paraId="5B5D3480" w14:textId="77777777" w:rsidR="00AE4F2C" w:rsidRPr="00FB32B9" w:rsidRDefault="00AE4F2C" w:rsidP="00FB3A71">
            <w:pPr>
              <w:pStyle w:val="Tablecondensed"/>
            </w:pPr>
            <w:r w:rsidRPr="00FB32B9">
              <w:t>%</w:t>
            </w:r>
          </w:p>
        </w:tc>
        <w:tc>
          <w:tcPr>
            <w:tcW w:w="576" w:type="dxa"/>
          </w:tcPr>
          <w:p w14:paraId="21B3E9DE" w14:textId="77777777" w:rsidR="00AE4F2C" w:rsidRPr="00FB32B9" w:rsidRDefault="00AE4F2C" w:rsidP="00FB3A71">
            <w:pPr>
              <w:pStyle w:val="Tablecondensed"/>
            </w:pPr>
            <w:r>
              <w:t>12</w:t>
            </w:r>
          </w:p>
        </w:tc>
        <w:tc>
          <w:tcPr>
            <w:tcW w:w="576" w:type="dxa"/>
          </w:tcPr>
          <w:p w14:paraId="0E1FBB8C" w14:textId="77777777" w:rsidR="00AE4F2C" w:rsidRPr="00FB32B9" w:rsidRDefault="00AE4F2C" w:rsidP="00FB3A71">
            <w:pPr>
              <w:pStyle w:val="Tablecondensed"/>
            </w:pPr>
            <w:r>
              <w:t>5</w:t>
            </w:r>
          </w:p>
        </w:tc>
        <w:tc>
          <w:tcPr>
            <w:tcW w:w="576" w:type="dxa"/>
          </w:tcPr>
          <w:p w14:paraId="726AB1CA" w14:textId="77777777" w:rsidR="00AE4F2C" w:rsidRPr="00FB32B9" w:rsidRDefault="00AE4F2C" w:rsidP="00FB3A71">
            <w:pPr>
              <w:pStyle w:val="Tablecondensed"/>
            </w:pPr>
            <w:r>
              <w:t>27</w:t>
            </w:r>
          </w:p>
        </w:tc>
        <w:tc>
          <w:tcPr>
            <w:tcW w:w="576" w:type="dxa"/>
          </w:tcPr>
          <w:p w14:paraId="02337A9D" w14:textId="77777777" w:rsidR="00AE4F2C" w:rsidRPr="00FB32B9" w:rsidRDefault="00AE4F2C" w:rsidP="00FB3A71">
            <w:pPr>
              <w:pStyle w:val="Tablecondensed"/>
            </w:pPr>
            <w:r>
              <w:t>38</w:t>
            </w:r>
          </w:p>
        </w:tc>
        <w:tc>
          <w:tcPr>
            <w:tcW w:w="576" w:type="dxa"/>
          </w:tcPr>
          <w:p w14:paraId="0BF37FA0" w14:textId="77777777" w:rsidR="00AE4F2C" w:rsidRPr="00FB32B9" w:rsidRDefault="00AE4F2C" w:rsidP="00FB3A71">
            <w:pPr>
              <w:pStyle w:val="Tablecondensed"/>
            </w:pPr>
            <w:r>
              <w:t>14</w:t>
            </w:r>
          </w:p>
        </w:tc>
        <w:tc>
          <w:tcPr>
            <w:tcW w:w="576" w:type="dxa"/>
          </w:tcPr>
          <w:p w14:paraId="1773E583" w14:textId="77777777" w:rsidR="00AE4F2C" w:rsidRPr="00FB32B9" w:rsidRDefault="00AE4F2C" w:rsidP="00FB3A71">
            <w:pPr>
              <w:pStyle w:val="Tablecondensed"/>
            </w:pPr>
            <w:r>
              <w:t>4</w:t>
            </w:r>
          </w:p>
        </w:tc>
        <w:tc>
          <w:tcPr>
            <w:tcW w:w="1287" w:type="dxa"/>
          </w:tcPr>
          <w:p w14:paraId="54388887" w14:textId="77777777" w:rsidR="00AE4F2C" w:rsidRPr="00FB32B9" w:rsidRDefault="00AE4F2C" w:rsidP="00FB3A71">
            <w:pPr>
              <w:pStyle w:val="Tablecondensed"/>
            </w:pPr>
            <w:r>
              <w:t>2.5</w:t>
            </w:r>
          </w:p>
        </w:tc>
      </w:tr>
    </w:tbl>
    <w:p w14:paraId="362A9253" w14:textId="77777777" w:rsidR="00AE4F2C" w:rsidRPr="00896AA7" w:rsidRDefault="00AE4F2C" w:rsidP="00FB3A71">
      <w:pPr>
        <w:pStyle w:val="BodyText"/>
        <w:rPr>
          <w:vertAlign w:val="subscript"/>
        </w:rPr>
      </w:pPr>
      <w:r>
        <w:t>This question required students to explain the influence George Washington had on society from 1776 to 1789.</w:t>
      </w:r>
    </w:p>
    <w:p w14:paraId="1A3C4BE7" w14:textId="03F8FDD9" w:rsidR="00AE4F2C" w:rsidRDefault="00AE4F2C" w:rsidP="00FB3A71">
      <w:pPr>
        <w:pStyle w:val="BodyText"/>
      </w:pPr>
      <w:r>
        <w:t xml:space="preserve">Most students were able to offer a general explanation of Washington’s importance to the colonists’ victory in the War of Independence, and </w:t>
      </w:r>
      <w:r w:rsidR="00F22779">
        <w:t xml:space="preserve">they </w:t>
      </w:r>
      <w:r>
        <w:t>supported this with symbolic evidence from Source 4, such as Liberty standing in triumph over the crown of British monarchy.</w:t>
      </w:r>
    </w:p>
    <w:p w14:paraId="3443E689" w14:textId="77777777" w:rsidR="00D81463" w:rsidRDefault="00D81463">
      <w:pPr>
        <w:spacing w:line="276" w:lineRule="auto"/>
        <w:rPr>
          <w:rFonts w:ascii="Arial" w:hAnsi="Arial" w:cs="Arial"/>
          <w:color w:val="000000" w:themeColor="text1"/>
          <w:sz w:val="20"/>
          <w:lang w:val="en-AU" w:eastAsia="en-AU"/>
        </w:rPr>
      </w:pPr>
      <w:r>
        <w:br w:type="page"/>
      </w:r>
    </w:p>
    <w:p w14:paraId="163896EA" w14:textId="482AFD4A" w:rsidR="00AE4F2C" w:rsidRDefault="00AE4F2C" w:rsidP="00FB3A71">
      <w:pPr>
        <w:pStyle w:val="BodyText"/>
      </w:pPr>
      <w:r>
        <w:lastRenderedPageBreak/>
        <w:t>High-scoring responses to this question tended to:</w:t>
      </w:r>
    </w:p>
    <w:p w14:paraId="1402591D" w14:textId="0DEA5FC8" w:rsidR="00AE4F2C" w:rsidRPr="00E710C9" w:rsidRDefault="00AE4F2C" w:rsidP="00E710C9">
      <w:pPr>
        <w:pStyle w:val="Bullet"/>
      </w:pPr>
      <w:r w:rsidRPr="00E710C9">
        <w:t xml:space="preserve">provide specific evidence of Washington’s actions, such as his use of Fabian tactics that led to victories at Trenton and Princeton or his decision to read Thomas Paine’s </w:t>
      </w:r>
      <w:r w:rsidR="0018392B" w:rsidRPr="00AE46CA">
        <w:rPr>
          <w:i/>
          <w:iCs/>
        </w:rPr>
        <w:t xml:space="preserve">The </w:t>
      </w:r>
      <w:r w:rsidRPr="007755C3">
        <w:rPr>
          <w:i/>
          <w:iCs/>
        </w:rPr>
        <w:t>American Crisis</w:t>
      </w:r>
      <w:r w:rsidRPr="00E710C9">
        <w:t xml:space="preserve"> to Continental Army troops</w:t>
      </w:r>
    </w:p>
    <w:p w14:paraId="392179AA" w14:textId="7E892CF1" w:rsidR="00AE4F2C" w:rsidRPr="00E710C9" w:rsidRDefault="00AE4F2C" w:rsidP="00E710C9">
      <w:pPr>
        <w:pStyle w:val="Bullet"/>
      </w:pPr>
      <w:r w:rsidRPr="00E710C9">
        <w:t xml:space="preserve">contextualise, describe and elaborate upon what specific written and visual features of Source </w:t>
      </w:r>
      <w:r w:rsidR="0018392B">
        <w:t>4</w:t>
      </w:r>
      <w:r w:rsidRPr="00E710C9">
        <w:t xml:space="preserve"> revealed about Washington’s influence on society</w:t>
      </w:r>
    </w:p>
    <w:p w14:paraId="54453736" w14:textId="364B97CB" w:rsidR="00AE4F2C" w:rsidRPr="00E710C9" w:rsidRDefault="00AE4F2C" w:rsidP="00E710C9">
      <w:pPr>
        <w:pStyle w:val="Bullet"/>
      </w:pPr>
      <w:r w:rsidRPr="00E710C9">
        <w:t xml:space="preserve">move beyond Washington’s service as </w:t>
      </w:r>
      <w:r w:rsidR="001D0650">
        <w:t>c</w:t>
      </w:r>
      <w:r w:rsidRPr="00E710C9">
        <w:t>ommander-in-</w:t>
      </w:r>
      <w:r w:rsidR="001D0650">
        <w:t>c</w:t>
      </w:r>
      <w:r w:rsidRPr="00E710C9">
        <w:t>hief to consider his political role in legitimising the Philadelphia Convention, encouraging Virginia to ratify the Constitution and establishing conventions of the presidency like the two-term limit</w:t>
      </w:r>
    </w:p>
    <w:p w14:paraId="7E640541" w14:textId="0D0B1F64" w:rsidR="00AE4F2C" w:rsidRPr="00E710C9" w:rsidRDefault="00AE4F2C" w:rsidP="00E710C9">
      <w:pPr>
        <w:pStyle w:val="Bullet"/>
      </w:pPr>
      <w:r w:rsidRPr="00E710C9">
        <w:t xml:space="preserve">offer analysis of how these actions shaped the new society, such as rejecting monarchical traditions and helping ensure the ratification of the Constitution. </w:t>
      </w:r>
    </w:p>
    <w:p w14:paraId="5E2A8B5E" w14:textId="49E9DD4A" w:rsidR="00AE4F2C" w:rsidRDefault="00AE4F2C" w:rsidP="00FB3A71">
      <w:pPr>
        <w:pStyle w:val="BodyText"/>
      </w:pPr>
      <w:r>
        <w:t xml:space="preserve">Common limitations that prevented responses from </w:t>
      </w:r>
      <w:r w:rsidR="00F22779">
        <w:t xml:space="preserve">achieving </w:t>
      </w:r>
      <w:r>
        <w:t>high marks included:</w:t>
      </w:r>
    </w:p>
    <w:p w14:paraId="21317FA0" w14:textId="1B573896" w:rsidR="00AE4F2C" w:rsidRDefault="00AE4F2C" w:rsidP="00E710C9">
      <w:pPr>
        <w:pStyle w:val="Bullet"/>
      </w:pPr>
      <w:r>
        <w:t>discussing Washington’s actions before 1776</w:t>
      </w:r>
    </w:p>
    <w:p w14:paraId="02F9D4E0" w14:textId="7C22A2BD" w:rsidR="00AE4F2C" w:rsidRDefault="00AE4F2C" w:rsidP="00E710C9">
      <w:pPr>
        <w:pStyle w:val="Bullet"/>
      </w:pPr>
      <w:r>
        <w:t>only exploring Washington’s role during the war and ignoring his political contributions</w:t>
      </w:r>
    </w:p>
    <w:p w14:paraId="45684E3F" w14:textId="2BDB4856" w:rsidR="00AE4F2C" w:rsidRPr="001D26DD" w:rsidRDefault="00AE4F2C" w:rsidP="00E710C9">
      <w:pPr>
        <w:pStyle w:val="Bullet"/>
      </w:pPr>
      <w:r>
        <w:t>offering a narrative of events without establishing how Washington showed leadership or influenced the new society.</w:t>
      </w:r>
    </w:p>
    <w:p w14:paraId="4D8E9B8F" w14:textId="2AB2B637" w:rsidR="00AE4F2C" w:rsidRPr="00896AA7" w:rsidRDefault="00AE4F2C" w:rsidP="00FB3A71">
      <w:pPr>
        <w:pStyle w:val="BodyText"/>
      </w:pPr>
      <w:r w:rsidRPr="00896AA7">
        <w:t>The following is a high-scoring response to Question 1d</w:t>
      </w:r>
      <w:r w:rsidR="00D81463">
        <w:t>.</w:t>
      </w:r>
      <w:r w:rsidRPr="00896AA7">
        <w:t>:</w:t>
      </w:r>
    </w:p>
    <w:p w14:paraId="72F2912A" w14:textId="4E70693E" w:rsidR="00AE4F2C" w:rsidRPr="00297205" w:rsidRDefault="00AE4F2C" w:rsidP="00FB3A71">
      <w:pPr>
        <w:pStyle w:val="Studentresponse"/>
      </w:pPr>
      <w:r w:rsidRPr="00297205">
        <w:t xml:space="preserve">George Washington’s influence in the new society would principally be his role in leading the Continental Army to victory, emblematic in Source 4’s description of the supreme commander-in-chief of the Army as </w:t>
      </w:r>
      <w:r w:rsidR="002D510D">
        <w:t>‘</w:t>
      </w:r>
      <w:r w:rsidRPr="00297205">
        <w:t xml:space="preserve">first in war, first in </w:t>
      </w:r>
      <w:r>
        <w:t>p</w:t>
      </w:r>
      <w:r w:rsidRPr="00297205">
        <w:t>eace</w:t>
      </w:r>
      <w:r w:rsidR="002D510D">
        <w:t>’</w:t>
      </w:r>
      <w:r w:rsidRPr="00297205">
        <w:t xml:space="preserve"> (S4), whereby with Fabian tactics and embodying patriotic ethos, Washington would collectively galvanise the colonists in belief of their ability to triumph over the British. </w:t>
      </w:r>
      <w:proofErr w:type="gramStart"/>
      <w:r w:rsidRPr="00297205">
        <w:t>Thus</w:t>
      </w:r>
      <w:proofErr w:type="gramEnd"/>
      <w:r w:rsidRPr="00297205">
        <w:t xml:space="preserve"> with Lady Liberty depicted as placing an olive branch on Washington’s head, his role reflective in Source 4 is that of bringing liberty to America, with the 7-</w:t>
      </w:r>
      <w:proofErr w:type="spellStart"/>
      <w:r w:rsidRPr="00297205">
        <w:t>year long</w:t>
      </w:r>
      <w:proofErr w:type="spellEnd"/>
      <w:r w:rsidRPr="00297205">
        <w:t xml:space="preserve"> campaign from the Battle of White Plains (1777) to Battle of Yorktown (1781</w:t>
      </w:r>
      <w:r w:rsidR="000957D0">
        <w:t>–</w:t>
      </w:r>
      <w:proofErr w:type="gramStart"/>
      <w:r w:rsidRPr="00297205">
        <w:t>83)</w:t>
      </w:r>
      <w:r>
        <w:t>…</w:t>
      </w:r>
      <w:proofErr w:type="gramEnd"/>
      <w:r w:rsidRPr="00297205">
        <w:t xml:space="preserve"> </w:t>
      </w:r>
      <w:r>
        <w:t>T</w:t>
      </w:r>
      <w:r w:rsidRPr="00297205">
        <w:t xml:space="preserve">he eagle depicted is representation of Washington’s ability to be an icon of peace, freedom and strength, which would establish his influence at the Annapolis convention (1786) and Philadelphia convention (1787) </w:t>
      </w:r>
      <w:r>
        <w:t xml:space="preserve">and </w:t>
      </w:r>
      <w:r w:rsidRPr="00297205">
        <w:t>help create support in fixing the Articles of Confederation government (</w:t>
      </w:r>
      <w:proofErr w:type="gramStart"/>
      <w:r w:rsidRPr="00297205">
        <w:t>1777)</w:t>
      </w:r>
      <w:r w:rsidR="00771182">
        <w:t>…</w:t>
      </w:r>
      <w:proofErr w:type="gramEnd"/>
      <w:r w:rsidRPr="00297205">
        <w:t xml:space="preserve"> Thus, the flag of the United States depicted in Source 4 extends the representation of Washington’s influence to his creation of a strong central authority in the Constitution (1787), represent</w:t>
      </w:r>
      <w:r>
        <w:t>ing</w:t>
      </w:r>
      <w:r w:rsidRPr="00297205">
        <w:t xml:space="preserve"> its ratification, eventually nominated as the 1st President of the United States with an overwhelming majority of 78%, infusing the liberty rhetoric from his years as commander in new legislation of America.</w:t>
      </w:r>
    </w:p>
    <w:p w14:paraId="1F054A9A" w14:textId="77777777" w:rsidR="00AE4F2C" w:rsidRPr="00896AA7" w:rsidRDefault="00AE4F2C" w:rsidP="00AE4F2C">
      <w:pPr>
        <w:pStyle w:val="Heading3"/>
      </w:pPr>
      <w:r>
        <w:t xml:space="preserve">Question 2 </w:t>
      </w:r>
      <w:r>
        <w:rPr>
          <w:rFonts w:ascii="Courier New" w:hAnsi="Courier New" w:cs="Courier New"/>
        </w:rPr>
        <w:t>–</w:t>
      </w:r>
      <w:r>
        <w:t xml:space="preserve"> The </w:t>
      </w:r>
      <w:r w:rsidRPr="00896AA7">
        <w:t>F</w:t>
      </w:r>
      <w:r>
        <w:t>rench Revolution</w:t>
      </w:r>
    </w:p>
    <w:p w14:paraId="290BBAE2" w14:textId="77777777" w:rsidR="00AE4F2C" w:rsidRPr="00B2296D" w:rsidRDefault="00AE4F2C" w:rsidP="00AE4F2C">
      <w:pPr>
        <w:pStyle w:val="Heading4"/>
      </w:pPr>
      <w:r w:rsidRPr="00B2296D">
        <w:t>Question 2a.</w:t>
      </w:r>
    </w:p>
    <w:tbl>
      <w:tblPr>
        <w:tblStyle w:val="VCAATableClosed1"/>
        <w:tblW w:w="5197" w:type="dxa"/>
        <w:tblInd w:w="-5" w:type="dxa"/>
        <w:tblLook w:val="04A0" w:firstRow="1" w:lastRow="0" w:firstColumn="1" w:lastColumn="0" w:noHBand="0" w:noVBand="1"/>
      </w:tblPr>
      <w:tblGrid>
        <w:gridCol w:w="1030"/>
        <w:gridCol w:w="576"/>
        <w:gridCol w:w="576"/>
        <w:gridCol w:w="576"/>
        <w:gridCol w:w="576"/>
        <w:gridCol w:w="576"/>
        <w:gridCol w:w="1287"/>
      </w:tblGrid>
      <w:tr w:rsidR="00AE4F2C" w:rsidRPr="00FB32B9" w14:paraId="3C6C983E"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420D27C6" w14:textId="77777777" w:rsidR="00AE4F2C" w:rsidRPr="00FB32B9" w:rsidRDefault="00AE4F2C" w:rsidP="00FB3A71">
            <w:pPr>
              <w:pStyle w:val="Tablecondensedheading"/>
            </w:pPr>
            <w:r w:rsidRPr="00FB32B9">
              <w:t xml:space="preserve">Marks </w:t>
            </w:r>
          </w:p>
        </w:tc>
        <w:tc>
          <w:tcPr>
            <w:tcW w:w="576" w:type="dxa"/>
          </w:tcPr>
          <w:p w14:paraId="0DBBAF33" w14:textId="77777777" w:rsidR="00AE4F2C" w:rsidRPr="00FB32B9" w:rsidRDefault="00AE4F2C" w:rsidP="00FB3A71">
            <w:pPr>
              <w:pStyle w:val="Tablecondensedheading"/>
            </w:pPr>
            <w:r w:rsidRPr="00FB32B9">
              <w:t>0</w:t>
            </w:r>
          </w:p>
        </w:tc>
        <w:tc>
          <w:tcPr>
            <w:tcW w:w="576" w:type="dxa"/>
          </w:tcPr>
          <w:p w14:paraId="743CE9F4" w14:textId="77777777" w:rsidR="00AE4F2C" w:rsidRPr="00FB32B9" w:rsidRDefault="00AE4F2C" w:rsidP="00FB3A71">
            <w:pPr>
              <w:pStyle w:val="Tablecondensedheading"/>
            </w:pPr>
            <w:r w:rsidRPr="00FB32B9">
              <w:t>1</w:t>
            </w:r>
          </w:p>
        </w:tc>
        <w:tc>
          <w:tcPr>
            <w:tcW w:w="576" w:type="dxa"/>
          </w:tcPr>
          <w:p w14:paraId="5FE818D8" w14:textId="77777777" w:rsidR="00AE4F2C" w:rsidRPr="00FB32B9" w:rsidRDefault="00AE4F2C" w:rsidP="00FB3A71">
            <w:pPr>
              <w:pStyle w:val="Tablecondensedheading"/>
            </w:pPr>
            <w:r w:rsidRPr="00FB32B9">
              <w:t>2</w:t>
            </w:r>
          </w:p>
        </w:tc>
        <w:tc>
          <w:tcPr>
            <w:tcW w:w="576" w:type="dxa"/>
          </w:tcPr>
          <w:p w14:paraId="660E0330" w14:textId="77777777" w:rsidR="00AE4F2C" w:rsidRPr="00FB32B9" w:rsidRDefault="00AE4F2C" w:rsidP="00FB3A71">
            <w:pPr>
              <w:pStyle w:val="Tablecondensedheading"/>
            </w:pPr>
            <w:r w:rsidRPr="00FB32B9">
              <w:t>3</w:t>
            </w:r>
          </w:p>
        </w:tc>
        <w:tc>
          <w:tcPr>
            <w:tcW w:w="576" w:type="dxa"/>
          </w:tcPr>
          <w:p w14:paraId="429D37C8" w14:textId="77777777" w:rsidR="00AE4F2C" w:rsidRPr="00FB32B9" w:rsidRDefault="00AE4F2C" w:rsidP="00FB3A71">
            <w:pPr>
              <w:pStyle w:val="Tablecondensedheading"/>
            </w:pPr>
            <w:r w:rsidRPr="00FB32B9">
              <w:t>4</w:t>
            </w:r>
          </w:p>
        </w:tc>
        <w:tc>
          <w:tcPr>
            <w:tcW w:w="1287" w:type="dxa"/>
          </w:tcPr>
          <w:p w14:paraId="2471CA5A" w14:textId="77777777" w:rsidR="00AE4F2C" w:rsidRPr="00FB32B9" w:rsidRDefault="00AE4F2C" w:rsidP="00FB3A71">
            <w:pPr>
              <w:pStyle w:val="Tablecondensedheading"/>
            </w:pPr>
            <w:r w:rsidRPr="00FB32B9">
              <w:t>Average</w:t>
            </w:r>
          </w:p>
        </w:tc>
      </w:tr>
      <w:tr w:rsidR="00AE4F2C" w:rsidRPr="00FB32B9" w14:paraId="645E4776" w14:textId="77777777" w:rsidTr="00DF0280">
        <w:trPr>
          <w:trHeight w:val="392"/>
        </w:trPr>
        <w:tc>
          <w:tcPr>
            <w:tcW w:w="1030" w:type="dxa"/>
          </w:tcPr>
          <w:p w14:paraId="2D19492F" w14:textId="77777777" w:rsidR="00AE4F2C" w:rsidRPr="00FB32B9" w:rsidRDefault="00AE4F2C" w:rsidP="00FB3A71">
            <w:pPr>
              <w:pStyle w:val="Tablecondensed"/>
            </w:pPr>
            <w:r w:rsidRPr="00FB32B9">
              <w:t>%</w:t>
            </w:r>
          </w:p>
        </w:tc>
        <w:tc>
          <w:tcPr>
            <w:tcW w:w="576" w:type="dxa"/>
          </w:tcPr>
          <w:p w14:paraId="3E194E91" w14:textId="77777777" w:rsidR="00AE4F2C" w:rsidRPr="00FB32B9" w:rsidRDefault="00AE4F2C" w:rsidP="00FB3A71">
            <w:pPr>
              <w:pStyle w:val="Tablecondensed"/>
            </w:pPr>
            <w:r>
              <w:t>4</w:t>
            </w:r>
          </w:p>
        </w:tc>
        <w:tc>
          <w:tcPr>
            <w:tcW w:w="576" w:type="dxa"/>
          </w:tcPr>
          <w:p w14:paraId="6BE7D6E2" w14:textId="77777777" w:rsidR="00AE4F2C" w:rsidRPr="00FB32B9" w:rsidRDefault="00AE4F2C" w:rsidP="00FB3A71">
            <w:pPr>
              <w:pStyle w:val="Tablecondensed"/>
            </w:pPr>
            <w:r>
              <w:t>2</w:t>
            </w:r>
          </w:p>
        </w:tc>
        <w:tc>
          <w:tcPr>
            <w:tcW w:w="576" w:type="dxa"/>
          </w:tcPr>
          <w:p w14:paraId="382B7D82" w14:textId="77777777" w:rsidR="00AE4F2C" w:rsidRPr="00FB32B9" w:rsidRDefault="00AE4F2C" w:rsidP="00FB3A71">
            <w:pPr>
              <w:pStyle w:val="Tablecondensed"/>
            </w:pPr>
            <w:r>
              <w:t>16</w:t>
            </w:r>
          </w:p>
        </w:tc>
        <w:tc>
          <w:tcPr>
            <w:tcW w:w="576" w:type="dxa"/>
          </w:tcPr>
          <w:p w14:paraId="777AC328" w14:textId="77777777" w:rsidR="00AE4F2C" w:rsidRPr="00FB32B9" w:rsidRDefault="00AE4F2C" w:rsidP="00FB3A71">
            <w:pPr>
              <w:pStyle w:val="Tablecondensed"/>
            </w:pPr>
            <w:r>
              <w:t>34</w:t>
            </w:r>
          </w:p>
        </w:tc>
        <w:tc>
          <w:tcPr>
            <w:tcW w:w="576" w:type="dxa"/>
          </w:tcPr>
          <w:p w14:paraId="3B9DDB0E" w14:textId="77777777" w:rsidR="00AE4F2C" w:rsidRPr="00FB32B9" w:rsidRDefault="00AE4F2C" w:rsidP="00FB3A71">
            <w:pPr>
              <w:pStyle w:val="Tablecondensed"/>
            </w:pPr>
            <w:r>
              <w:t>46</w:t>
            </w:r>
          </w:p>
        </w:tc>
        <w:tc>
          <w:tcPr>
            <w:tcW w:w="1287" w:type="dxa"/>
          </w:tcPr>
          <w:p w14:paraId="31E975F0" w14:textId="77777777" w:rsidR="00AE4F2C" w:rsidRPr="00FB32B9" w:rsidRDefault="00AE4F2C" w:rsidP="00FB3A71">
            <w:pPr>
              <w:pStyle w:val="Tablecondensed"/>
            </w:pPr>
            <w:r>
              <w:t>3.2</w:t>
            </w:r>
          </w:p>
        </w:tc>
      </w:tr>
    </w:tbl>
    <w:p w14:paraId="0FE85A74" w14:textId="443BAD20" w:rsidR="00AE4F2C" w:rsidRDefault="00AE4F2C" w:rsidP="00FB3A71">
      <w:pPr>
        <w:pStyle w:val="BodyText"/>
      </w:pPr>
      <w:r>
        <w:t xml:space="preserve">This question required students to outline the ideas about the Third Estate expressed in Source 5. Students answered this question </w:t>
      </w:r>
      <w:r w:rsidR="003D5F75">
        <w:t>well</w:t>
      </w:r>
      <w:r>
        <w:t xml:space="preserve">. </w:t>
      </w:r>
    </w:p>
    <w:p w14:paraId="5FE2CCC9" w14:textId="617C5C21" w:rsidR="00AE4F2C" w:rsidRDefault="00AE4F2C" w:rsidP="00FB3A71">
      <w:pPr>
        <w:pStyle w:val="BodyText"/>
      </w:pPr>
      <w:r>
        <w:t xml:space="preserve">The best responses provided an overview written in full sentences with short, smoothly integrated direct quotes that illustrated the main ideas from the source. Providing an effective overview generally required students to briefly mention </w:t>
      </w:r>
      <w:r w:rsidR="00A113B5">
        <w:t>a range of</w:t>
      </w:r>
      <w:r>
        <w:t xml:space="preserve"> ideas, such as</w:t>
      </w:r>
      <w:r w:rsidR="00775DD5">
        <w:t xml:space="preserve"> that the Third Estate</w:t>
      </w:r>
      <w:r>
        <w:t>:</w:t>
      </w:r>
    </w:p>
    <w:p w14:paraId="1AD72126" w14:textId="018E2C50" w:rsidR="00AE4F2C" w:rsidRDefault="00AE4F2C" w:rsidP="00E710C9">
      <w:pPr>
        <w:pStyle w:val="Bullet"/>
      </w:pPr>
      <w:r>
        <w:t xml:space="preserve">was treated as </w:t>
      </w:r>
      <w:r w:rsidR="002D510D">
        <w:t>‘</w:t>
      </w:r>
      <w:r>
        <w:t>nothing</w:t>
      </w:r>
      <w:r w:rsidR="002D510D">
        <w:t>’</w:t>
      </w:r>
      <w:r>
        <w:t xml:space="preserve"> in the </w:t>
      </w:r>
      <w:r w:rsidR="002D510D">
        <w:t>‘</w:t>
      </w:r>
      <w:r>
        <w:t>political order</w:t>
      </w:r>
      <w:r w:rsidR="002D510D">
        <w:t>’</w:t>
      </w:r>
      <w:r>
        <w:t xml:space="preserve"> of the </w:t>
      </w:r>
      <w:r w:rsidR="0078564C" w:rsidRPr="00AE46CA">
        <w:t>A</w:t>
      </w:r>
      <w:r w:rsidRPr="00AE46CA">
        <w:t xml:space="preserve">ncien </w:t>
      </w:r>
      <w:r w:rsidR="0078564C" w:rsidRPr="00AE46CA">
        <w:t>R</w:t>
      </w:r>
      <w:r w:rsidR="0078564C">
        <w:t>é</w:t>
      </w:r>
      <w:r w:rsidRPr="00AE46CA">
        <w:t>gime</w:t>
      </w:r>
    </w:p>
    <w:p w14:paraId="4A1F7862" w14:textId="225639E0" w:rsidR="00AE4F2C" w:rsidRDefault="002D510D" w:rsidP="00E710C9">
      <w:pPr>
        <w:pStyle w:val="Bullet"/>
      </w:pPr>
      <w:r>
        <w:t>‘</w:t>
      </w:r>
      <w:proofErr w:type="gramStart"/>
      <w:r w:rsidR="00AE4F2C">
        <w:t>contain</w:t>
      </w:r>
      <w:proofErr w:type="gramEnd"/>
      <w:r w:rsidR="00AE4F2C">
        <w:t>[ed] everything that is needed to make up a complete nation</w:t>
      </w:r>
      <w:r>
        <w:t>’</w:t>
      </w:r>
    </w:p>
    <w:p w14:paraId="345A2FAE" w14:textId="310C32A6" w:rsidR="00AE4F2C" w:rsidRDefault="00AE4F2C" w:rsidP="00E710C9">
      <w:pPr>
        <w:pStyle w:val="Bullet"/>
      </w:pPr>
      <w:r>
        <w:t xml:space="preserve">would be </w:t>
      </w:r>
      <w:r w:rsidR="002D510D">
        <w:t>‘</w:t>
      </w:r>
      <w:r>
        <w:t>infinitely better without</w:t>
      </w:r>
      <w:r w:rsidR="002D510D">
        <w:t>’</w:t>
      </w:r>
      <w:r>
        <w:t xml:space="preserve"> the privileged estates</w:t>
      </w:r>
    </w:p>
    <w:p w14:paraId="02E3E528" w14:textId="6372CA84" w:rsidR="00AE4F2C" w:rsidRPr="00D14E17" w:rsidRDefault="00AE4F2C" w:rsidP="00E710C9">
      <w:pPr>
        <w:pStyle w:val="Bullet"/>
      </w:pPr>
      <w:r>
        <w:lastRenderedPageBreak/>
        <w:t xml:space="preserve">was asking </w:t>
      </w:r>
      <w:r w:rsidR="002D510D">
        <w:t>‘</w:t>
      </w:r>
      <w:r>
        <w:t>to be something</w:t>
      </w:r>
      <w:r w:rsidR="002D510D">
        <w:t>’</w:t>
      </w:r>
      <w:r>
        <w:t xml:space="preserve"> and to have a voice in the political order.</w:t>
      </w:r>
    </w:p>
    <w:p w14:paraId="7BDAD2D2" w14:textId="50573808" w:rsidR="00AE4F2C" w:rsidRDefault="00AE4F2C" w:rsidP="00FB3A71">
      <w:pPr>
        <w:pStyle w:val="BodyText"/>
      </w:pPr>
      <w:r>
        <w:t xml:space="preserve">Limitations </w:t>
      </w:r>
      <w:r w:rsidR="006E613F">
        <w:t xml:space="preserve">that </w:t>
      </w:r>
      <w:r>
        <w:t xml:space="preserve">prevented responses from achieving the highest marks included: </w:t>
      </w:r>
    </w:p>
    <w:p w14:paraId="14D6B157" w14:textId="02B2345A" w:rsidR="00AE4F2C" w:rsidRDefault="00AE4F2C" w:rsidP="00E710C9">
      <w:pPr>
        <w:pStyle w:val="Bullet"/>
      </w:pPr>
      <w:r>
        <w:t>providing a dot</w:t>
      </w:r>
      <w:r w:rsidR="006E613F">
        <w:t>-</w:t>
      </w:r>
      <w:r>
        <w:t>point list of quotes, with</w:t>
      </w:r>
      <w:r w:rsidR="00474D7B">
        <w:t>out</w:t>
      </w:r>
      <w:r>
        <w:t xml:space="preserve"> attempt</w:t>
      </w:r>
      <w:r w:rsidR="00474D7B">
        <w:t>ing</w:t>
      </w:r>
      <w:r>
        <w:t xml:space="preserve"> to provide a cohesive overview of what these revealed about </w:t>
      </w:r>
      <w:r w:rsidRPr="00340181">
        <w:t>Sieyès’s</w:t>
      </w:r>
      <w:r>
        <w:t xml:space="preserve"> view of the Third Estate</w:t>
      </w:r>
    </w:p>
    <w:p w14:paraId="0B5E0224" w14:textId="2C9ADD89" w:rsidR="00AE4F2C" w:rsidRDefault="00AE4F2C" w:rsidP="00E710C9">
      <w:pPr>
        <w:pStyle w:val="Bullet"/>
      </w:pPr>
      <w:r>
        <w:t xml:space="preserve">providing detailed evidence from </w:t>
      </w:r>
      <w:r w:rsidR="0043575F">
        <w:t xml:space="preserve">the student’s </w:t>
      </w:r>
      <w:r>
        <w:t>own knowledge</w:t>
      </w:r>
      <w:r w:rsidR="006D76C1">
        <w:t>,</w:t>
      </w:r>
      <w:r>
        <w:t xml:space="preserve"> which the question did not require, which left students with insufficient time and space to give an overview of several ideas from the source</w:t>
      </w:r>
    </w:p>
    <w:p w14:paraId="3084E703" w14:textId="51252E1B" w:rsidR="00AE4F2C" w:rsidRPr="00AB7998" w:rsidRDefault="006E613F" w:rsidP="00E710C9">
      <w:pPr>
        <w:pStyle w:val="Bullet"/>
      </w:pPr>
      <w:r>
        <w:t xml:space="preserve">using </w:t>
      </w:r>
      <w:r w:rsidR="00AE4F2C" w:rsidRPr="00AB7998">
        <w:t>vague</w:t>
      </w:r>
      <w:r w:rsidR="00AE4F2C">
        <w:t xml:space="preserve">, </w:t>
      </w:r>
      <w:r w:rsidR="00AE4F2C" w:rsidRPr="00AB7998">
        <w:t xml:space="preserve">unclear paraphrasing of the ideas from </w:t>
      </w:r>
      <w:r w:rsidR="00AE4F2C">
        <w:t>the source</w:t>
      </w:r>
    </w:p>
    <w:p w14:paraId="759F1FF3" w14:textId="69354FF6" w:rsidR="00AE4F2C" w:rsidRPr="00AB7998" w:rsidRDefault="006E613F" w:rsidP="00E710C9">
      <w:pPr>
        <w:pStyle w:val="Bullet"/>
      </w:pPr>
      <w:r>
        <w:t xml:space="preserve">providing </w:t>
      </w:r>
      <w:r w:rsidR="00AE4F2C" w:rsidRPr="00AB7998">
        <w:t>insufficient detail</w:t>
      </w:r>
      <w:r w:rsidR="00AE4F2C">
        <w:t>.</w:t>
      </w:r>
    </w:p>
    <w:p w14:paraId="7499A084" w14:textId="250525F0" w:rsidR="00AE4F2C" w:rsidRPr="00896AA7" w:rsidRDefault="00AE4F2C" w:rsidP="00FB3A71">
      <w:pPr>
        <w:pStyle w:val="BodyText"/>
      </w:pPr>
      <w:r w:rsidRPr="00896AA7">
        <w:t xml:space="preserve">The following is </w:t>
      </w:r>
      <w:r>
        <w:t xml:space="preserve">a </w:t>
      </w:r>
      <w:r w:rsidRPr="00896AA7">
        <w:t xml:space="preserve">high-scoring response to Question </w:t>
      </w:r>
      <w:r>
        <w:t>2a</w:t>
      </w:r>
      <w:r w:rsidR="00D81463">
        <w:t>.</w:t>
      </w:r>
      <w:r w:rsidRPr="00896AA7">
        <w:t>:</w:t>
      </w:r>
    </w:p>
    <w:p w14:paraId="44AFCFE1" w14:textId="7D422281" w:rsidR="00AE4F2C" w:rsidRPr="00D14E17" w:rsidRDefault="00AE4F2C" w:rsidP="00FB3A71">
      <w:pPr>
        <w:pStyle w:val="Studentresponse"/>
      </w:pPr>
      <w:r w:rsidRPr="00024882">
        <w:t xml:space="preserve">Emmanuel Joseph Sieyès published ‘What is the Third Estate?’ (1789) to stress the importance of the Third Estate in society. According to source 5, Sieyès wrote that the Third Estate is </w:t>
      </w:r>
      <w:r w:rsidR="002D510D">
        <w:t>‘</w:t>
      </w:r>
      <w:r w:rsidRPr="00024882">
        <w:t>everything</w:t>
      </w:r>
      <w:r w:rsidR="002D510D">
        <w:t>’</w:t>
      </w:r>
      <w:r w:rsidRPr="00024882">
        <w:t xml:space="preserve"> but </w:t>
      </w:r>
      <w:r w:rsidR="002D510D">
        <w:t>‘</w:t>
      </w:r>
      <w:r w:rsidRPr="00024882">
        <w:t xml:space="preserve">in </w:t>
      </w:r>
      <w:r>
        <w:t xml:space="preserve">the </w:t>
      </w:r>
      <w:r w:rsidRPr="00024882">
        <w:t>political order it was nothing</w:t>
      </w:r>
      <w:r w:rsidR="002D510D">
        <w:t>’</w:t>
      </w:r>
      <w:r w:rsidRPr="00024882">
        <w:t xml:space="preserve">, so he was therefore suggesting that they were </w:t>
      </w:r>
      <w:r w:rsidR="002D510D">
        <w:t>‘</w:t>
      </w:r>
      <w:r w:rsidRPr="00024882">
        <w:t>asking</w:t>
      </w:r>
      <w:r w:rsidR="006E613F">
        <w:t xml:space="preserve"> </w:t>
      </w:r>
      <w:r w:rsidRPr="00024882">
        <w:t>…</w:t>
      </w:r>
      <w:r w:rsidR="006E613F">
        <w:t xml:space="preserve"> </w:t>
      </w:r>
      <w:r w:rsidRPr="00024882">
        <w:t>to be something</w:t>
      </w:r>
      <w:r w:rsidR="002D510D">
        <w:t>’</w:t>
      </w:r>
      <w:r w:rsidRPr="00024882">
        <w:t xml:space="preserve"> (S5) as they lacked power in politics. He also wrote that the Third Estate contained </w:t>
      </w:r>
      <w:r w:rsidR="002D510D">
        <w:t>‘</w:t>
      </w:r>
      <w:r w:rsidRPr="00024882">
        <w:t>everything that is needed to make up a complete nation</w:t>
      </w:r>
      <w:r w:rsidR="002D510D">
        <w:t>’</w:t>
      </w:r>
      <w:r w:rsidRPr="00024882">
        <w:t xml:space="preserve"> (S5) so if the </w:t>
      </w:r>
      <w:r w:rsidR="002D510D">
        <w:t>‘</w:t>
      </w:r>
      <w:r w:rsidRPr="00024882">
        <w:t>privileged orders were removed</w:t>
      </w:r>
      <w:r w:rsidR="002D510D">
        <w:t>’</w:t>
      </w:r>
      <w:r w:rsidRPr="00024882">
        <w:t xml:space="preserve"> the nation would be </w:t>
      </w:r>
      <w:r w:rsidR="002D510D">
        <w:t>‘</w:t>
      </w:r>
      <w:r w:rsidRPr="00024882">
        <w:t>better</w:t>
      </w:r>
      <w:r w:rsidR="002D510D">
        <w:t>’</w:t>
      </w:r>
      <w:r w:rsidRPr="00024882">
        <w:t xml:space="preserve"> (S5) without them. He therefore posits that </w:t>
      </w:r>
      <w:r w:rsidR="002D510D">
        <w:t>‘</w:t>
      </w:r>
      <w:r w:rsidRPr="00024882">
        <w:t>nothing can happen without [the Third Estate]</w:t>
      </w:r>
      <w:r w:rsidR="002D510D">
        <w:t>’</w:t>
      </w:r>
      <w:r w:rsidRPr="00024882">
        <w:t xml:space="preserve"> (S5) and stresses their importance in society.</w:t>
      </w:r>
    </w:p>
    <w:p w14:paraId="27C6C22E" w14:textId="77777777" w:rsidR="00AE4F2C" w:rsidRDefault="00AE4F2C" w:rsidP="00AE4F2C">
      <w:pPr>
        <w:pStyle w:val="Heading4"/>
      </w:pPr>
      <w:r w:rsidRPr="00B2296D">
        <w:t xml:space="preserve">Question </w:t>
      </w:r>
      <w:r>
        <w:t>2</w:t>
      </w:r>
      <w:r w:rsidRPr="00B2296D">
        <w:t>b.</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AE4F2C" w:rsidRPr="00FB32B9" w14:paraId="21FA0C6E"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0F143794" w14:textId="77777777" w:rsidR="00AE4F2C" w:rsidRPr="00FB32B9" w:rsidRDefault="00AE4F2C" w:rsidP="00FB3A71">
            <w:pPr>
              <w:pStyle w:val="Tablecondensedheading"/>
            </w:pPr>
            <w:r w:rsidRPr="00FB32B9">
              <w:t xml:space="preserve">Marks </w:t>
            </w:r>
          </w:p>
        </w:tc>
        <w:tc>
          <w:tcPr>
            <w:tcW w:w="640" w:type="dxa"/>
          </w:tcPr>
          <w:p w14:paraId="15A4EC94" w14:textId="77777777" w:rsidR="00AE4F2C" w:rsidRPr="00FB32B9" w:rsidRDefault="00AE4F2C" w:rsidP="00FB3A71">
            <w:pPr>
              <w:pStyle w:val="Tablecondensedheading"/>
            </w:pPr>
            <w:r w:rsidRPr="00FB32B9">
              <w:t>0</w:t>
            </w:r>
          </w:p>
        </w:tc>
        <w:tc>
          <w:tcPr>
            <w:tcW w:w="640" w:type="dxa"/>
          </w:tcPr>
          <w:p w14:paraId="7314AC00" w14:textId="77777777" w:rsidR="00AE4F2C" w:rsidRPr="00FB32B9" w:rsidRDefault="00AE4F2C" w:rsidP="00FB3A71">
            <w:pPr>
              <w:pStyle w:val="Tablecondensedheading"/>
            </w:pPr>
            <w:r w:rsidRPr="00FB32B9">
              <w:t>1</w:t>
            </w:r>
          </w:p>
        </w:tc>
        <w:tc>
          <w:tcPr>
            <w:tcW w:w="641" w:type="dxa"/>
          </w:tcPr>
          <w:p w14:paraId="7B176BB7" w14:textId="77777777" w:rsidR="00AE4F2C" w:rsidRPr="00FB32B9" w:rsidRDefault="00AE4F2C" w:rsidP="00FB3A71">
            <w:pPr>
              <w:pStyle w:val="Tablecondensedheading"/>
            </w:pPr>
            <w:r w:rsidRPr="00FB32B9">
              <w:t>2</w:t>
            </w:r>
          </w:p>
        </w:tc>
        <w:tc>
          <w:tcPr>
            <w:tcW w:w="640" w:type="dxa"/>
          </w:tcPr>
          <w:p w14:paraId="4C8C4517" w14:textId="77777777" w:rsidR="00AE4F2C" w:rsidRPr="00FB32B9" w:rsidRDefault="00AE4F2C" w:rsidP="00FB3A71">
            <w:pPr>
              <w:pStyle w:val="Tablecondensedheading"/>
            </w:pPr>
            <w:r w:rsidRPr="00FB32B9">
              <w:t>3</w:t>
            </w:r>
          </w:p>
        </w:tc>
        <w:tc>
          <w:tcPr>
            <w:tcW w:w="641" w:type="dxa"/>
          </w:tcPr>
          <w:p w14:paraId="3C4355B4" w14:textId="77777777" w:rsidR="00AE4F2C" w:rsidRPr="00FB32B9" w:rsidRDefault="00AE4F2C" w:rsidP="00FB3A71">
            <w:pPr>
              <w:pStyle w:val="Tablecondensedheading"/>
            </w:pPr>
            <w:r w:rsidRPr="00FB32B9">
              <w:t>4</w:t>
            </w:r>
          </w:p>
        </w:tc>
        <w:tc>
          <w:tcPr>
            <w:tcW w:w="640" w:type="dxa"/>
          </w:tcPr>
          <w:p w14:paraId="7E3BA5C4" w14:textId="77777777" w:rsidR="00AE4F2C" w:rsidRPr="00FB32B9" w:rsidRDefault="00AE4F2C" w:rsidP="00FB3A71">
            <w:pPr>
              <w:pStyle w:val="Tablecondensedheading"/>
            </w:pPr>
            <w:r w:rsidRPr="00FB32B9">
              <w:t>5</w:t>
            </w:r>
          </w:p>
        </w:tc>
        <w:tc>
          <w:tcPr>
            <w:tcW w:w="641" w:type="dxa"/>
          </w:tcPr>
          <w:p w14:paraId="51534611" w14:textId="77777777" w:rsidR="00AE4F2C" w:rsidRPr="00FB32B9" w:rsidRDefault="00AE4F2C" w:rsidP="00FB3A71">
            <w:pPr>
              <w:pStyle w:val="Tablecondensedheading"/>
            </w:pPr>
            <w:r w:rsidRPr="00FB32B9">
              <w:t>6</w:t>
            </w:r>
          </w:p>
        </w:tc>
        <w:tc>
          <w:tcPr>
            <w:tcW w:w="640" w:type="dxa"/>
          </w:tcPr>
          <w:p w14:paraId="02B3C961" w14:textId="77777777" w:rsidR="00AE4F2C" w:rsidRPr="00FB32B9" w:rsidRDefault="00AE4F2C" w:rsidP="00FB3A71">
            <w:pPr>
              <w:pStyle w:val="Tablecondensedheading"/>
            </w:pPr>
            <w:r w:rsidRPr="00FB32B9">
              <w:t>7</w:t>
            </w:r>
          </w:p>
        </w:tc>
        <w:tc>
          <w:tcPr>
            <w:tcW w:w="641" w:type="dxa"/>
          </w:tcPr>
          <w:p w14:paraId="4641417D" w14:textId="77777777" w:rsidR="00AE4F2C" w:rsidRPr="00FB32B9" w:rsidRDefault="00AE4F2C" w:rsidP="00FB3A71">
            <w:pPr>
              <w:pStyle w:val="Tablecondensedheading"/>
            </w:pPr>
            <w:r w:rsidRPr="00FB32B9">
              <w:t>8</w:t>
            </w:r>
          </w:p>
        </w:tc>
        <w:tc>
          <w:tcPr>
            <w:tcW w:w="640" w:type="dxa"/>
          </w:tcPr>
          <w:p w14:paraId="507A3B8B" w14:textId="77777777" w:rsidR="00AE4F2C" w:rsidRPr="00FB32B9" w:rsidRDefault="00AE4F2C" w:rsidP="00FB3A71">
            <w:pPr>
              <w:pStyle w:val="Tablecondensedheading"/>
            </w:pPr>
            <w:r w:rsidRPr="00FB32B9">
              <w:t>9</w:t>
            </w:r>
          </w:p>
        </w:tc>
        <w:tc>
          <w:tcPr>
            <w:tcW w:w="641" w:type="dxa"/>
          </w:tcPr>
          <w:p w14:paraId="7C4B19E3" w14:textId="77777777" w:rsidR="00AE4F2C" w:rsidRPr="00FB32B9" w:rsidRDefault="00AE4F2C" w:rsidP="00FB3A71">
            <w:pPr>
              <w:pStyle w:val="Tablecondensedheading"/>
            </w:pPr>
            <w:r w:rsidRPr="00FB32B9">
              <w:t>10</w:t>
            </w:r>
          </w:p>
        </w:tc>
        <w:tc>
          <w:tcPr>
            <w:tcW w:w="1083" w:type="dxa"/>
          </w:tcPr>
          <w:p w14:paraId="682D03DC" w14:textId="77777777" w:rsidR="00AE4F2C" w:rsidRPr="00FB32B9" w:rsidRDefault="00AE4F2C" w:rsidP="00FB3A71">
            <w:pPr>
              <w:pStyle w:val="Tablecondensedheading"/>
            </w:pPr>
            <w:r w:rsidRPr="00FB32B9">
              <w:t>Average</w:t>
            </w:r>
          </w:p>
        </w:tc>
      </w:tr>
      <w:tr w:rsidR="00AE4F2C" w:rsidRPr="00FB32B9" w14:paraId="12D8AB95" w14:textId="77777777" w:rsidTr="00DF0280">
        <w:trPr>
          <w:trHeight w:val="392"/>
        </w:trPr>
        <w:tc>
          <w:tcPr>
            <w:tcW w:w="893" w:type="dxa"/>
          </w:tcPr>
          <w:p w14:paraId="10BB94F5" w14:textId="77777777" w:rsidR="00AE4F2C" w:rsidRPr="00FB32B9" w:rsidRDefault="00AE4F2C" w:rsidP="00FB3A71">
            <w:pPr>
              <w:pStyle w:val="Tablecondensed"/>
            </w:pPr>
            <w:r w:rsidRPr="00FB32B9">
              <w:t>%</w:t>
            </w:r>
          </w:p>
        </w:tc>
        <w:tc>
          <w:tcPr>
            <w:tcW w:w="640" w:type="dxa"/>
          </w:tcPr>
          <w:p w14:paraId="074E28F0" w14:textId="77777777" w:rsidR="00AE4F2C" w:rsidRPr="00FB32B9" w:rsidRDefault="00AE4F2C" w:rsidP="00FB3A71">
            <w:pPr>
              <w:pStyle w:val="Tablecondensed"/>
            </w:pPr>
            <w:r>
              <w:t>6</w:t>
            </w:r>
          </w:p>
        </w:tc>
        <w:tc>
          <w:tcPr>
            <w:tcW w:w="640" w:type="dxa"/>
          </w:tcPr>
          <w:p w14:paraId="5C853FED" w14:textId="77777777" w:rsidR="00AE4F2C" w:rsidRPr="00FB32B9" w:rsidRDefault="00AE4F2C" w:rsidP="00FB3A71">
            <w:pPr>
              <w:pStyle w:val="Tablecondensed"/>
            </w:pPr>
            <w:r>
              <w:t>2</w:t>
            </w:r>
          </w:p>
        </w:tc>
        <w:tc>
          <w:tcPr>
            <w:tcW w:w="641" w:type="dxa"/>
          </w:tcPr>
          <w:p w14:paraId="7EF23E89" w14:textId="77777777" w:rsidR="00AE4F2C" w:rsidRPr="00FB32B9" w:rsidRDefault="00AE4F2C" w:rsidP="00FB3A71">
            <w:pPr>
              <w:pStyle w:val="Tablecondensed"/>
            </w:pPr>
            <w:r>
              <w:t>4</w:t>
            </w:r>
          </w:p>
        </w:tc>
        <w:tc>
          <w:tcPr>
            <w:tcW w:w="640" w:type="dxa"/>
          </w:tcPr>
          <w:p w14:paraId="2E560D00" w14:textId="77777777" w:rsidR="00AE4F2C" w:rsidRPr="00FB32B9" w:rsidRDefault="00AE4F2C" w:rsidP="00FB3A71">
            <w:pPr>
              <w:pStyle w:val="Tablecondensed"/>
            </w:pPr>
            <w:r>
              <w:t>12</w:t>
            </w:r>
          </w:p>
        </w:tc>
        <w:tc>
          <w:tcPr>
            <w:tcW w:w="641" w:type="dxa"/>
          </w:tcPr>
          <w:p w14:paraId="363D7CF6" w14:textId="77777777" w:rsidR="00AE4F2C" w:rsidRPr="00FB32B9" w:rsidRDefault="00AE4F2C" w:rsidP="00FB3A71">
            <w:pPr>
              <w:pStyle w:val="Tablecondensed"/>
            </w:pPr>
            <w:r>
              <w:t>19</w:t>
            </w:r>
          </w:p>
        </w:tc>
        <w:tc>
          <w:tcPr>
            <w:tcW w:w="640" w:type="dxa"/>
          </w:tcPr>
          <w:p w14:paraId="6FEFB98A" w14:textId="77777777" w:rsidR="00AE4F2C" w:rsidRPr="00FB32B9" w:rsidRDefault="00AE4F2C" w:rsidP="00FB3A71">
            <w:pPr>
              <w:pStyle w:val="Tablecondensed"/>
            </w:pPr>
            <w:r>
              <w:t>23</w:t>
            </w:r>
          </w:p>
        </w:tc>
        <w:tc>
          <w:tcPr>
            <w:tcW w:w="641" w:type="dxa"/>
          </w:tcPr>
          <w:p w14:paraId="5AADCA9C" w14:textId="77777777" w:rsidR="00AE4F2C" w:rsidRPr="00FB32B9" w:rsidRDefault="00AE4F2C" w:rsidP="00FB3A71">
            <w:pPr>
              <w:pStyle w:val="Tablecondensed"/>
            </w:pPr>
            <w:r>
              <w:t>16</w:t>
            </w:r>
          </w:p>
        </w:tc>
        <w:tc>
          <w:tcPr>
            <w:tcW w:w="640" w:type="dxa"/>
          </w:tcPr>
          <w:p w14:paraId="584296AA" w14:textId="77777777" w:rsidR="00AE4F2C" w:rsidRPr="00FB32B9" w:rsidRDefault="00AE4F2C" w:rsidP="00FB3A71">
            <w:pPr>
              <w:pStyle w:val="Tablecondensed"/>
            </w:pPr>
            <w:r>
              <w:t>11</w:t>
            </w:r>
          </w:p>
        </w:tc>
        <w:tc>
          <w:tcPr>
            <w:tcW w:w="641" w:type="dxa"/>
          </w:tcPr>
          <w:p w14:paraId="0D9AE95A" w14:textId="77777777" w:rsidR="00AE4F2C" w:rsidRPr="00FB32B9" w:rsidRDefault="00AE4F2C" w:rsidP="00FB3A71">
            <w:pPr>
              <w:pStyle w:val="Tablecondensed"/>
            </w:pPr>
            <w:r>
              <w:t>5</w:t>
            </w:r>
          </w:p>
        </w:tc>
        <w:tc>
          <w:tcPr>
            <w:tcW w:w="640" w:type="dxa"/>
          </w:tcPr>
          <w:p w14:paraId="0AF6E343" w14:textId="77777777" w:rsidR="00AE4F2C" w:rsidRPr="00FB32B9" w:rsidRDefault="00AE4F2C" w:rsidP="00FB3A71">
            <w:pPr>
              <w:pStyle w:val="Tablecondensed"/>
            </w:pPr>
            <w:r>
              <w:t>2</w:t>
            </w:r>
          </w:p>
        </w:tc>
        <w:tc>
          <w:tcPr>
            <w:tcW w:w="641" w:type="dxa"/>
          </w:tcPr>
          <w:p w14:paraId="3C793258" w14:textId="77777777" w:rsidR="00AE4F2C" w:rsidRPr="00FB32B9" w:rsidRDefault="00AE4F2C" w:rsidP="00FB3A71">
            <w:pPr>
              <w:pStyle w:val="Tablecondensed"/>
            </w:pPr>
            <w:r>
              <w:t>1</w:t>
            </w:r>
          </w:p>
        </w:tc>
        <w:tc>
          <w:tcPr>
            <w:tcW w:w="1083" w:type="dxa"/>
          </w:tcPr>
          <w:p w14:paraId="108D2BDE" w14:textId="77777777" w:rsidR="00AE4F2C" w:rsidRPr="00FB32B9" w:rsidRDefault="00AE4F2C" w:rsidP="00FB3A71">
            <w:pPr>
              <w:pStyle w:val="Tablecondensed"/>
            </w:pPr>
            <w:r>
              <w:t>4.7</w:t>
            </w:r>
          </w:p>
        </w:tc>
      </w:tr>
    </w:tbl>
    <w:p w14:paraId="1D3B34FE" w14:textId="77777777" w:rsidR="00AE4F2C" w:rsidRDefault="00AE4F2C" w:rsidP="00FB3A71">
      <w:pPr>
        <w:pStyle w:val="BodyText"/>
      </w:pPr>
      <w:r>
        <w:t xml:space="preserve">This question required students to write an extended response evaluating the extent to which the events of the Estates-General contributed to the outbreak of the revolution. </w:t>
      </w:r>
    </w:p>
    <w:p w14:paraId="036CC127" w14:textId="5B1C92AA" w:rsidR="00AE4F2C" w:rsidRDefault="00AE4F2C" w:rsidP="00FB3A71">
      <w:pPr>
        <w:pStyle w:val="BodyText"/>
      </w:pPr>
      <w:r>
        <w:t>Most students engaged</w:t>
      </w:r>
      <w:r w:rsidR="009548A5">
        <w:t xml:space="preserve"> well</w:t>
      </w:r>
      <w:r>
        <w:t xml:space="preserve"> with the ideas provided in Source 6 to form arguments about how the formation of the National Assembly and the subsequent Tennis Court Oath challenged the king’s authority. Many students also compared the Estates-General to other causes or catalysts </w:t>
      </w:r>
      <w:r w:rsidR="00190B18">
        <w:t xml:space="preserve">that </w:t>
      </w:r>
      <w:r>
        <w:t>they saw as more significant, which was a valid approach.</w:t>
      </w:r>
    </w:p>
    <w:p w14:paraId="7E3AB694" w14:textId="77777777" w:rsidR="00AE4F2C" w:rsidRDefault="00AE4F2C" w:rsidP="00FB3A71">
      <w:pPr>
        <w:pStyle w:val="BodyText"/>
      </w:pPr>
      <w:r>
        <w:t>High-scoring responses to this question tended to:</w:t>
      </w:r>
    </w:p>
    <w:p w14:paraId="2D7B3B8F" w14:textId="13053B71" w:rsidR="00AE4F2C" w:rsidRDefault="00AE4F2C" w:rsidP="00E710C9">
      <w:pPr>
        <w:pStyle w:val="Bullet"/>
      </w:pPr>
      <w:r>
        <w:t>form and justify an evaluation of how important the events of the Estates-General were</w:t>
      </w:r>
    </w:p>
    <w:p w14:paraId="6BA8B716" w14:textId="524D5EEA" w:rsidR="00AE4F2C" w:rsidRDefault="00AE4F2C" w:rsidP="00E710C9">
      <w:pPr>
        <w:pStyle w:val="Bullet"/>
      </w:pPr>
      <w:r>
        <w:t xml:space="preserve">use smoothly integrated direct quotes from Source 6 as a ‘springboard’ for a line of argument </w:t>
      </w:r>
      <w:r w:rsidR="00190B18">
        <w:t xml:space="preserve">and </w:t>
      </w:r>
      <w:r>
        <w:t>then move beyond the source to explore a range of evidence from the student’s own knowledge</w:t>
      </w:r>
    </w:p>
    <w:p w14:paraId="4284B48A" w14:textId="72335BB9" w:rsidR="00AE4F2C" w:rsidRDefault="00AE4F2C" w:rsidP="00E710C9">
      <w:pPr>
        <w:pStyle w:val="Bullet"/>
      </w:pPr>
      <w:r>
        <w:t>form causal links between the events of the Estates-General and later developments</w:t>
      </w:r>
    </w:p>
    <w:p w14:paraId="780EDB2F" w14:textId="3752AB7D" w:rsidR="00AE4F2C" w:rsidRDefault="00AE4F2C" w:rsidP="00E710C9">
      <w:pPr>
        <w:pStyle w:val="Bullet"/>
      </w:pPr>
      <w:r w:rsidRPr="10B77027">
        <w:t xml:space="preserve">compare the relative importance of the Estates-General to other causes of the revolution, such as economic grievances, </w:t>
      </w:r>
      <w:r w:rsidR="00397CD7">
        <w:t xml:space="preserve">King </w:t>
      </w:r>
      <w:r w:rsidRPr="10B77027">
        <w:t>Louis</w:t>
      </w:r>
      <w:r w:rsidR="00397CD7">
        <w:t xml:space="preserve"> XVI</w:t>
      </w:r>
      <w:r w:rsidRPr="10B77027">
        <w:t>’s incompetence and popular action in Paris and the provinces</w:t>
      </w:r>
    </w:p>
    <w:p w14:paraId="6CFB9E18" w14:textId="30F7A264" w:rsidR="00AE4F2C" w:rsidRDefault="00AE4F2C" w:rsidP="00E710C9">
      <w:pPr>
        <w:pStyle w:val="Bullet"/>
        <w:rPr>
          <w:rFonts w:eastAsia="Arial"/>
          <w:szCs w:val="20"/>
        </w:rPr>
      </w:pPr>
      <w:r w:rsidRPr="10B77027">
        <w:rPr>
          <w:rFonts w:eastAsia="Arial"/>
          <w:szCs w:val="20"/>
        </w:rPr>
        <w:t xml:space="preserve">link arguments to a point in time </w:t>
      </w:r>
      <w:r w:rsidR="00190B18">
        <w:rPr>
          <w:rFonts w:eastAsia="Arial"/>
          <w:szCs w:val="20"/>
        </w:rPr>
        <w:t>that</w:t>
      </w:r>
      <w:r w:rsidR="00190B18" w:rsidRPr="10B77027">
        <w:rPr>
          <w:rFonts w:eastAsia="Arial"/>
          <w:szCs w:val="20"/>
        </w:rPr>
        <w:t xml:space="preserve"> </w:t>
      </w:r>
      <w:r w:rsidRPr="10B77027">
        <w:rPr>
          <w:rFonts w:eastAsia="Arial"/>
          <w:szCs w:val="20"/>
        </w:rPr>
        <w:t>constituted the ‘outbreak’ of revolution</w:t>
      </w:r>
      <w:r w:rsidR="00190B18">
        <w:rPr>
          <w:rFonts w:eastAsia="Arial"/>
          <w:szCs w:val="20"/>
        </w:rPr>
        <w:t>,</w:t>
      </w:r>
      <w:r w:rsidRPr="10B77027">
        <w:rPr>
          <w:rFonts w:eastAsia="Arial"/>
          <w:szCs w:val="20"/>
        </w:rPr>
        <w:t xml:space="preserve"> where either Louis lost control or the political system was fundamentally altered, such as the Storming of the Bastille </w:t>
      </w:r>
      <w:r w:rsidRPr="10B77027">
        <w:rPr>
          <w:rFonts w:eastAsia="Arial"/>
          <w:szCs w:val="20"/>
          <w:lang w:val="en-US"/>
        </w:rPr>
        <w:t xml:space="preserve">or </w:t>
      </w:r>
      <w:r w:rsidRPr="10B77027">
        <w:rPr>
          <w:rFonts w:eastAsia="Arial"/>
          <w:szCs w:val="20"/>
        </w:rPr>
        <w:t>the Night of Patriotic Delirium.</w:t>
      </w:r>
    </w:p>
    <w:p w14:paraId="0BED0106" w14:textId="4C31A5F6" w:rsidR="00AE4F2C" w:rsidRDefault="00AE4F2C" w:rsidP="00FB3A71">
      <w:pPr>
        <w:pStyle w:val="BodyText"/>
      </w:pPr>
      <w:r>
        <w:t xml:space="preserve">Common </w:t>
      </w:r>
      <w:r w:rsidR="0043575F">
        <w:t xml:space="preserve">limitations </w:t>
      </w:r>
      <w:r>
        <w:t xml:space="preserve">that prevented responses from </w:t>
      </w:r>
      <w:r w:rsidR="006E613F">
        <w:t xml:space="preserve">achieving </w:t>
      </w:r>
      <w:r>
        <w:t>high marks included:</w:t>
      </w:r>
    </w:p>
    <w:p w14:paraId="1E4CF1DD" w14:textId="63D6D988" w:rsidR="00AE4F2C" w:rsidRDefault="00AE4F2C" w:rsidP="00E710C9">
      <w:pPr>
        <w:pStyle w:val="Bullet"/>
      </w:pPr>
      <w:r>
        <w:t>rel</w:t>
      </w:r>
      <w:r w:rsidR="006E613F">
        <w:t>ying too much</w:t>
      </w:r>
      <w:r>
        <w:t xml:space="preserve"> on evidence from Source 6 </w:t>
      </w:r>
    </w:p>
    <w:p w14:paraId="08E764FC" w14:textId="53E4DBB5" w:rsidR="00AE4F2C" w:rsidRDefault="00AE4F2C" w:rsidP="00E710C9">
      <w:pPr>
        <w:pStyle w:val="Bullet"/>
      </w:pPr>
      <w:r>
        <w:t>offering a narrative of the reasons for calling the Estates-General and its day-by-day events without establishing how these contributed to the outbreak of the revolution</w:t>
      </w:r>
    </w:p>
    <w:p w14:paraId="3019C5C7" w14:textId="44642932" w:rsidR="00AE4F2C" w:rsidRDefault="006E613F" w:rsidP="00E710C9">
      <w:pPr>
        <w:pStyle w:val="Bullet"/>
      </w:pPr>
      <w:r>
        <w:t>misunderstanding</w:t>
      </w:r>
      <w:r w:rsidR="00AE4F2C">
        <w:t xml:space="preserve"> the difference between the declaration of the National Assembly (17 June 1789) and the Tennis Court Oath (20 June 1789).</w:t>
      </w:r>
    </w:p>
    <w:p w14:paraId="022BC036" w14:textId="77777777" w:rsidR="00D81463" w:rsidRDefault="00D81463">
      <w:pPr>
        <w:spacing w:line="276" w:lineRule="auto"/>
        <w:rPr>
          <w:rFonts w:ascii="Arial" w:hAnsi="Arial" w:cs="Arial"/>
          <w:color w:val="000000" w:themeColor="text1"/>
          <w:sz w:val="20"/>
          <w:lang w:val="en-AU" w:eastAsia="en-AU"/>
        </w:rPr>
      </w:pPr>
      <w:r>
        <w:br w:type="page"/>
      </w:r>
    </w:p>
    <w:p w14:paraId="67C53FE7" w14:textId="60F7169F" w:rsidR="00AE4F2C" w:rsidRPr="00896AA7" w:rsidRDefault="00AE4F2C" w:rsidP="00FB3A71">
      <w:pPr>
        <w:pStyle w:val="BodyText"/>
      </w:pPr>
      <w:r w:rsidRPr="00896AA7">
        <w:lastRenderedPageBreak/>
        <w:t xml:space="preserve">The following </w:t>
      </w:r>
      <w:r>
        <w:t xml:space="preserve">is a </w:t>
      </w:r>
      <w:r w:rsidRPr="00896AA7">
        <w:t xml:space="preserve">high-scoring response to Question </w:t>
      </w:r>
      <w:r>
        <w:t>2b</w:t>
      </w:r>
      <w:r w:rsidR="00D81463">
        <w:t>.</w:t>
      </w:r>
      <w:r w:rsidRPr="00896AA7">
        <w:t>:</w:t>
      </w:r>
    </w:p>
    <w:p w14:paraId="15316E3E" w14:textId="77777777" w:rsidR="00AE4F2C" w:rsidRDefault="00AE4F2C" w:rsidP="00FB3A71">
      <w:pPr>
        <w:pStyle w:val="Studentresponse"/>
      </w:pPr>
      <w:r>
        <w:t xml:space="preserve">While the events of the Estates-General were pivotal in the outbreak of Revolution, pre-existing conditions and grievances were its true cause. </w:t>
      </w:r>
    </w:p>
    <w:p w14:paraId="245EF487" w14:textId="3BC6DFEA" w:rsidR="00AE4F2C" w:rsidRDefault="00AE4F2C" w:rsidP="00FB3A71">
      <w:pPr>
        <w:pStyle w:val="Studentresponse"/>
      </w:pPr>
      <w:r>
        <w:t xml:space="preserve">First, in S6, </w:t>
      </w:r>
      <w:r w:rsidR="002D510D">
        <w:t>‘</w:t>
      </w:r>
      <w:r>
        <w:t>the lawyers in the Third Estate had become revolutionaries,</w:t>
      </w:r>
      <w:r w:rsidR="002D510D">
        <w:t>’</w:t>
      </w:r>
      <w:r>
        <w:t xml:space="preserve"> in declaring themselves and the National Assembly (17 June </w:t>
      </w:r>
      <w:r w:rsidR="004F785C">
        <w:t>–</w:t>
      </w:r>
      <w:r>
        <w:t xml:space="preserve"> 25 June 1789) an alternative government opposed to the royal absolutism of Louis XVI’s Ancien Régime. Indeed, the </w:t>
      </w:r>
      <w:r w:rsidR="002D510D">
        <w:t>‘</w:t>
      </w:r>
      <w:r>
        <w:t>deputies of the Third Estate were remarkably homogeneous and unified</w:t>
      </w:r>
      <w:r w:rsidR="002D510D">
        <w:t>’</w:t>
      </w:r>
      <w:r>
        <w:t xml:space="preserve"> (Doyle) throughout the proceed</w:t>
      </w:r>
      <w:r w:rsidR="00564D23">
        <w:t>[ing]</w:t>
      </w:r>
      <w:r>
        <w:t xml:space="preserve">s of the 1 May </w:t>
      </w:r>
      <w:r w:rsidR="00247133">
        <w:t>–</w:t>
      </w:r>
      <w:r>
        <w:t xml:space="preserve"> 25 June Estates-General, here in contrast to the </w:t>
      </w:r>
      <w:r w:rsidR="002D510D">
        <w:t>‘</w:t>
      </w:r>
      <w:r>
        <w:t>swagger</w:t>
      </w:r>
      <w:r w:rsidR="002D510D">
        <w:t>’</w:t>
      </w:r>
      <w:r>
        <w:t xml:space="preserve"> of the first two estates (Schama) who constituted 0.4% and 0.6% of France’s populace, or 300</w:t>
      </w:r>
      <w:r w:rsidR="000957D0">
        <w:t xml:space="preserve"> </w:t>
      </w:r>
      <w:r>
        <w:t xml:space="preserve">000 members, respectively, in contrast again to the Third Estate, which was 99% of the population, 80% of which was peasantry. The arrogance and </w:t>
      </w:r>
      <w:r w:rsidR="002D510D">
        <w:t>‘</w:t>
      </w:r>
      <w:r>
        <w:t>patchwork of privilege</w:t>
      </w:r>
      <w:r w:rsidR="002D510D">
        <w:t>’</w:t>
      </w:r>
      <w:r>
        <w:t xml:space="preserve"> (McPhee) espoused by the upper Estates orchestrated the general defiance realised at the Estates-General, and later again at the 20 June 1789 Tennis Court Oath, thus heavily contributing to the outbreak of the revolution. </w:t>
      </w:r>
    </w:p>
    <w:p w14:paraId="69D794C4" w14:textId="1CFA8FB2" w:rsidR="00AE4F2C" w:rsidRDefault="00AE4F2C" w:rsidP="00FB3A71">
      <w:pPr>
        <w:pStyle w:val="Studentresponse"/>
      </w:pPr>
      <w:r>
        <w:t xml:space="preserve">Yet, other deep-lying factors contributed to the outbreak of Revolution, including the grievances of the peasantry and financial chaos of </w:t>
      </w:r>
      <w:r w:rsidR="0078564C">
        <w:t>A</w:t>
      </w:r>
      <w:r>
        <w:t xml:space="preserve">ncien </w:t>
      </w:r>
      <w:r w:rsidR="0078564C">
        <w:t>R</w:t>
      </w:r>
      <w:r>
        <w:t xml:space="preserve">égime France. Indeed, </w:t>
      </w:r>
      <w:r w:rsidR="0043575F">
        <w:t xml:space="preserve">of </w:t>
      </w:r>
      <w:r>
        <w:t>the 40</w:t>
      </w:r>
      <w:r w:rsidR="000957D0">
        <w:t xml:space="preserve"> </w:t>
      </w:r>
      <w:r>
        <w:t xml:space="preserve">000 peasant cahiers de doléances, 42% demanded reform to taxation and 37% demanded a reform to, or abolition of, feudal dues without indemnity. Here, the deep-rooted resentments of the peasantry for the fact that </w:t>
      </w:r>
      <w:r w:rsidR="002D510D">
        <w:t>‘</w:t>
      </w:r>
      <w:r>
        <w:t>every aspect of the institutional structures of life … bore the imprint of privilege</w:t>
      </w:r>
      <w:r w:rsidR="002D510D">
        <w:t>’</w:t>
      </w:r>
      <w:r>
        <w:t xml:space="preserve"> (McPhee) was realised, contributing significantly to the inception of the Revolution on 14 July 1789 with the </w:t>
      </w:r>
      <w:r w:rsidR="002D510D">
        <w:t>‘</w:t>
      </w:r>
      <w:r>
        <w:t>climax of the popular movement</w:t>
      </w:r>
      <w:r w:rsidR="002D510D">
        <w:t>’</w:t>
      </w:r>
      <w:r>
        <w:t xml:space="preserve"> (Doyle) at the fall of the Bastille… </w:t>
      </w:r>
    </w:p>
    <w:p w14:paraId="0E73061D" w14:textId="77777777" w:rsidR="00AE4F2C" w:rsidRPr="00BB45B4" w:rsidRDefault="00AE4F2C" w:rsidP="00FB3A71">
      <w:pPr>
        <w:pStyle w:val="Studentresponse"/>
        <w:rPr>
          <w:lang w:val="en-US"/>
        </w:rPr>
      </w:pPr>
      <w:r>
        <w:t>Thus, while the course of the Estates-General signified a critical defiance of royal absolutism, the long-harboured resentment of peasants and dire financial situation truly caused the Revolution.</w:t>
      </w:r>
    </w:p>
    <w:p w14:paraId="346B6648" w14:textId="77777777" w:rsidR="00AE4F2C" w:rsidRDefault="00AE4F2C" w:rsidP="00AE4F2C">
      <w:pPr>
        <w:pStyle w:val="Heading4"/>
      </w:pPr>
      <w:r w:rsidRPr="00AA20F3">
        <w:t>Question 2c.</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AE4F2C" w:rsidRPr="00FB32B9" w14:paraId="2E67EEA3"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left w:val="single" w:sz="4" w:space="0" w:color="000000"/>
              <w:bottom w:val="single" w:sz="4" w:space="0" w:color="000000"/>
            </w:tcBorders>
            <w:hideMark/>
          </w:tcPr>
          <w:p w14:paraId="173FAD81" w14:textId="77777777" w:rsidR="00AE4F2C" w:rsidRPr="00FB32B9" w:rsidRDefault="00AE4F2C" w:rsidP="00FB3A71">
            <w:pPr>
              <w:pStyle w:val="Tablecondensedheading"/>
            </w:pPr>
            <w:r w:rsidRPr="00FB32B9">
              <w:t xml:space="preserve">Marks </w:t>
            </w:r>
          </w:p>
        </w:tc>
        <w:tc>
          <w:tcPr>
            <w:tcW w:w="578" w:type="dxa"/>
            <w:tcBorders>
              <w:top w:val="single" w:sz="4" w:space="0" w:color="000000"/>
              <w:bottom w:val="single" w:sz="4" w:space="0" w:color="000000"/>
            </w:tcBorders>
            <w:hideMark/>
          </w:tcPr>
          <w:p w14:paraId="00EFDD13" w14:textId="77777777" w:rsidR="00AE4F2C" w:rsidRPr="00FB32B9" w:rsidRDefault="00AE4F2C" w:rsidP="00FB3A71">
            <w:pPr>
              <w:pStyle w:val="Tablecondensedheading"/>
            </w:pPr>
            <w:r w:rsidRPr="00FB32B9">
              <w:t>0</w:t>
            </w:r>
          </w:p>
        </w:tc>
        <w:tc>
          <w:tcPr>
            <w:tcW w:w="578" w:type="dxa"/>
            <w:tcBorders>
              <w:top w:val="single" w:sz="4" w:space="0" w:color="000000"/>
              <w:bottom w:val="single" w:sz="4" w:space="0" w:color="000000"/>
            </w:tcBorders>
            <w:hideMark/>
          </w:tcPr>
          <w:p w14:paraId="0D00BFA7" w14:textId="77777777" w:rsidR="00AE4F2C" w:rsidRPr="00FB32B9" w:rsidRDefault="00AE4F2C" w:rsidP="00FB3A71">
            <w:pPr>
              <w:pStyle w:val="Tablecondensedheading"/>
            </w:pPr>
            <w:r w:rsidRPr="00FB32B9">
              <w:t>1</w:t>
            </w:r>
          </w:p>
        </w:tc>
        <w:tc>
          <w:tcPr>
            <w:tcW w:w="578" w:type="dxa"/>
            <w:tcBorders>
              <w:top w:val="single" w:sz="4" w:space="0" w:color="000000"/>
              <w:bottom w:val="single" w:sz="4" w:space="0" w:color="000000"/>
            </w:tcBorders>
            <w:hideMark/>
          </w:tcPr>
          <w:p w14:paraId="70C5216A" w14:textId="77777777" w:rsidR="00AE4F2C" w:rsidRPr="00FB32B9" w:rsidRDefault="00AE4F2C" w:rsidP="00FB3A71">
            <w:pPr>
              <w:pStyle w:val="Tablecondensedheading"/>
            </w:pPr>
            <w:r w:rsidRPr="00FB32B9">
              <w:t>2</w:t>
            </w:r>
          </w:p>
        </w:tc>
        <w:tc>
          <w:tcPr>
            <w:tcW w:w="578" w:type="dxa"/>
            <w:tcBorders>
              <w:top w:val="single" w:sz="4" w:space="0" w:color="000000"/>
              <w:bottom w:val="single" w:sz="4" w:space="0" w:color="000000"/>
            </w:tcBorders>
            <w:hideMark/>
          </w:tcPr>
          <w:p w14:paraId="559FCA3E" w14:textId="77777777" w:rsidR="00AE4F2C" w:rsidRPr="00FB32B9" w:rsidRDefault="00AE4F2C" w:rsidP="00FB3A71">
            <w:pPr>
              <w:pStyle w:val="Tablecondensedheading"/>
            </w:pPr>
            <w:r w:rsidRPr="00FB32B9">
              <w:t>3</w:t>
            </w:r>
          </w:p>
        </w:tc>
        <w:tc>
          <w:tcPr>
            <w:tcW w:w="578" w:type="dxa"/>
            <w:tcBorders>
              <w:top w:val="single" w:sz="4" w:space="0" w:color="000000"/>
              <w:bottom w:val="single" w:sz="4" w:space="0" w:color="000000"/>
            </w:tcBorders>
          </w:tcPr>
          <w:p w14:paraId="6E1E8FF3" w14:textId="77777777" w:rsidR="00AE4F2C" w:rsidRPr="00FB32B9" w:rsidRDefault="00AE4F2C" w:rsidP="00FB3A71">
            <w:pPr>
              <w:pStyle w:val="Tablecondensedheading"/>
            </w:pPr>
            <w:r w:rsidRPr="00FB32B9">
              <w:t>4</w:t>
            </w:r>
          </w:p>
        </w:tc>
        <w:tc>
          <w:tcPr>
            <w:tcW w:w="578" w:type="dxa"/>
            <w:tcBorders>
              <w:top w:val="single" w:sz="4" w:space="0" w:color="000000"/>
              <w:bottom w:val="single" w:sz="4" w:space="0" w:color="000000"/>
            </w:tcBorders>
          </w:tcPr>
          <w:p w14:paraId="25855EE8" w14:textId="77777777" w:rsidR="00AE4F2C" w:rsidRPr="00FB32B9" w:rsidRDefault="00AE4F2C" w:rsidP="00FB3A71">
            <w:pPr>
              <w:pStyle w:val="Tablecondensedheading"/>
            </w:pPr>
            <w:r w:rsidRPr="00FB32B9">
              <w:t>5</w:t>
            </w:r>
          </w:p>
        </w:tc>
        <w:tc>
          <w:tcPr>
            <w:tcW w:w="578" w:type="dxa"/>
            <w:tcBorders>
              <w:top w:val="single" w:sz="4" w:space="0" w:color="000000"/>
              <w:bottom w:val="single" w:sz="4" w:space="0" w:color="000000"/>
            </w:tcBorders>
          </w:tcPr>
          <w:p w14:paraId="0896A70D" w14:textId="77777777" w:rsidR="00AE4F2C" w:rsidRPr="00FB32B9" w:rsidRDefault="00AE4F2C" w:rsidP="00FB3A71">
            <w:pPr>
              <w:pStyle w:val="Tablecondensedheading"/>
            </w:pPr>
            <w:r w:rsidRPr="00FB32B9">
              <w:t>6</w:t>
            </w:r>
          </w:p>
        </w:tc>
        <w:tc>
          <w:tcPr>
            <w:tcW w:w="1287" w:type="dxa"/>
            <w:tcBorders>
              <w:top w:val="single" w:sz="4" w:space="0" w:color="000000"/>
              <w:bottom w:val="single" w:sz="4" w:space="0" w:color="000000"/>
              <w:right w:val="single" w:sz="4" w:space="0" w:color="000000"/>
            </w:tcBorders>
            <w:hideMark/>
          </w:tcPr>
          <w:p w14:paraId="16935D1D" w14:textId="77777777" w:rsidR="00AE4F2C" w:rsidRPr="00FB32B9" w:rsidRDefault="00AE4F2C" w:rsidP="00FB3A71">
            <w:pPr>
              <w:pStyle w:val="Tablecondensedheading"/>
            </w:pPr>
            <w:r w:rsidRPr="00FB32B9">
              <w:t>Average</w:t>
            </w:r>
          </w:p>
        </w:tc>
      </w:tr>
      <w:tr w:rsidR="00AE4F2C" w:rsidRPr="00FB32B9" w14:paraId="3A32AD13" w14:textId="77777777" w:rsidTr="00DF0280">
        <w:trPr>
          <w:trHeight w:val="392"/>
        </w:trPr>
        <w:tc>
          <w:tcPr>
            <w:tcW w:w="691" w:type="dxa"/>
            <w:tcBorders>
              <w:top w:val="single" w:sz="4" w:space="0" w:color="000000"/>
              <w:left w:val="single" w:sz="4" w:space="0" w:color="000000"/>
              <w:bottom w:val="single" w:sz="4" w:space="0" w:color="000000"/>
              <w:right w:val="single" w:sz="4" w:space="0" w:color="000000"/>
            </w:tcBorders>
            <w:hideMark/>
          </w:tcPr>
          <w:p w14:paraId="643AB988" w14:textId="77777777" w:rsidR="00AE4F2C" w:rsidRPr="00FB32B9" w:rsidRDefault="00AE4F2C" w:rsidP="00FB3A71">
            <w:pPr>
              <w:pStyle w:val="Tablecondensed"/>
            </w:pPr>
            <w:r w:rsidRPr="00FB32B9">
              <w:t>%</w:t>
            </w:r>
          </w:p>
        </w:tc>
        <w:tc>
          <w:tcPr>
            <w:tcW w:w="578" w:type="dxa"/>
            <w:tcBorders>
              <w:top w:val="single" w:sz="4" w:space="0" w:color="000000"/>
              <w:left w:val="single" w:sz="4" w:space="0" w:color="000000"/>
              <w:bottom w:val="single" w:sz="4" w:space="0" w:color="000000"/>
              <w:right w:val="single" w:sz="4" w:space="0" w:color="000000"/>
            </w:tcBorders>
          </w:tcPr>
          <w:p w14:paraId="3BEC79D6" w14:textId="77777777" w:rsidR="00AE4F2C" w:rsidRPr="00FB32B9" w:rsidRDefault="00AE4F2C" w:rsidP="00FB3A71">
            <w:pPr>
              <w:pStyle w:val="Tablecondensed"/>
            </w:pPr>
            <w:r>
              <w:t>5</w:t>
            </w:r>
          </w:p>
        </w:tc>
        <w:tc>
          <w:tcPr>
            <w:tcW w:w="578" w:type="dxa"/>
            <w:tcBorders>
              <w:top w:val="single" w:sz="4" w:space="0" w:color="000000"/>
              <w:left w:val="single" w:sz="4" w:space="0" w:color="000000"/>
              <w:bottom w:val="single" w:sz="4" w:space="0" w:color="000000"/>
              <w:right w:val="single" w:sz="4" w:space="0" w:color="000000"/>
            </w:tcBorders>
          </w:tcPr>
          <w:p w14:paraId="7A0AE200" w14:textId="77777777" w:rsidR="00AE4F2C" w:rsidRPr="00FB32B9" w:rsidRDefault="00AE4F2C" w:rsidP="00FB3A71">
            <w:pPr>
              <w:pStyle w:val="Tablecondensed"/>
            </w:pPr>
            <w:r>
              <w:t>4</w:t>
            </w:r>
          </w:p>
        </w:tc>
        <w:tc>
          <w:tcPr>
            <w:tcW w:w="578" w:type="dxa"/>
            <w:tcBorders>
              <w:top w:val="single" w:sz="4" w:space="0" w:color="000000"/>
              <w:left w:val="single" w:sz="4" w:space="0" w:color="000000"/>
              <w:bottom w:val="single" w:sz="4" w:space="0" w:color="000000"/>
              <w:right w:val="single" w:sz="4" w:space="0" w:color="000000"/>
            </w:tcBorders>
          </w:tcPr>
          <w:p w14:paraId="0E8D2359" w14:textId="77777777" w:rsidR="00AE4F2C" w:rsidRPr="00FB32B9" w:rsidRDefault="00AE4F2C" w:rsidP="00FB3A71">
            <w:pPr>
              <w:pStyle w:val="Tablecondensed"/>
            </w:pPr>
            <w:r>
              <w:t>24</w:t>
            </w:r>
          </w:p>
        </w:tc>
        <w:tc>
          <w:tcPr>
            <w:tcW w:w="578" w:type="dxa"/>
            <w:tcBorders>
              <w:top w:val="single" w:sz="4" w:space="0" w:color="000000"/>
              <w:left w:val="single" w:sz="4" w:space="0" w:color="000000"/>
              <w:bottom w:val="single" w:sz="4" w:space="0" w:color="000000"/>
              <w:right w:val="single" w:sz="4" w:space="0" w:color="000000"/>
            </w:tcBorders>
          </w:tcPr>
          <w:p w14:paraId="5791BEDC" w14:textId="77777777" w:rsidR="00AE4F2C" w:rsidRPr="00FB32B9" w:rsidRDefault="00AE4F2C" w:rsidP="00FB3A71">
            <w:pPr>
              <w:pStyle w:val="Tablecondensed"/>
            </w:pPr>
            <w:r>
              <w:t>36</w:t>
            </w:r>
          </w:p>
        </w:tc>
        <w:tc>
          <w:tcPr>
            <w:tcW w:w="578" w:type="dxa"/>
            <w:tcBorders>
              <w:top w:val="single" w:sz="4" w:space="0" w:color="000000"/>
              <w:left w:val="single" w:sz="4" w:space="0" w:color="000000"/>
              <w:bottom w:val="single" w:sz="4" w:space="0" w:color="000000"/>
              <w:right w:val="single" w:sz="4" w:space="0" w:color="000000"/>
            </w:tcBorders>
          </w:tcPr>
          <w:p w14:paraId="0D53DA3D" w14:textId="77777777" w:rsidR="00AE4F2C" w:rsidRPr="00FB32B9" w:rsidRDefault="00AE4F2C" w:rsidP="00FB3A71">
            <w:pPr>
              <w:pStyle w:val="Tablecondensed"/>
            </w:pPr>
            <w:r>
              <w:t>20</w:t>
            </w:r>
          </w:p>
        </w:tc>
        <w:tc>
          <w:tcPr>
            <w:tcW w:w="578" w:type="dxa"/>
            <w:tcBorders>
              <w:top w:val="single" w:sz="4" w:space="0" w:color="000000"/>
              <w:left w:val="single" w:sz="4" w:space="0" w:color="000000"/>
              <w:bottom w:val="single" w:sz="4" w:space="0" w:color="000000"/>
              <w:right w:val="single" w:sz="4" w:space="0" w:color="000000"/>
            </w:tcBorders>
          </w:tcPr>
          <w:p w14:paraId="64E8013E" w14:textId="77777777" w:rsidR="00AE4F2C" w:rsidRPr="00FB32B9" w:rsidRDefault="00AE4F2C" w:rsidP="00FB3A71">
            <w:pPr>
              <w:pStyle w:val="Tablecondensed"/>
            </w:pPr>
            <w:r>
              <w:t>8</w:t>
            </w:r>
          </w:p>
        </w:tc>
        <w:tc>
          <w:tcPr>
            <w:tcW w:w="578" w:type="dxa"/>
            <w:tcBorders>
              <w:top w:val="single" w:sz="4" w:space="0" w:color="000000"/>
              <w:left w:val="single" w:sz="4" w:space="0" w:color="000000"/>
              <w:bottom w:val="single" w:sz="4" w:space="0" w:color="000000"/>
              <w:right w:val="single" w:sz="4" w:space="0" w:color="000000"/>
            </w:tcBorders>
          </w:tcPr>
          <w:p w14:paraId="3384925F" w14:textId="77777777" w:rsidR="00AE4F2C" w:rsidRPr="00FB32B9" w:rsidRDefault="00AE4F2C" w:rsidP="00FB3A71">
            <w:pPr>
              <w:pStyle w:val="Tablecondensed"/>
            </w:pPr>
            <w:r>
              <w:t>2</w:t>
            </w:r>
          </w:p>
        </w:tc>
        <w:tc>
          <w:tcPr>
            <w:tcW w:w="1287" w:type="dxa"/>
            <w:tcBorders>
              <w:top w:val="single" w:sz="4" w:space="0" w:color="000000"/>
              <w:left w:val="single" w:sz="4" w:space="0" w:color="000000"/>
              <w:bottom w:val="single" w:sz="4" w:space="0" w:color="000000"/>
              <w:right w:val="single" w:sz="4" w:space="0" w:color="000000"/>
            </w:tcBorders>
          </w:tcPr>
          <w:p w14:paraId="7FF02119" w14:textId="77777777" w:rsidR="00AE4F2C" w:rsidRPr="00FB32B9" w:rsidRDefault="00AE4F2C" w:rsidP="00FB3A71">
            <w:pPr>
              <w:pStyle w:val="Tablecondensed"/>
            </w:pPr>
            <w:r>
              <w:t>2.9</w:t>
            </w:r>
          </w:p>
        </w:tc>
      </w:tr>
    </w:tbl>
    <w:p w14:paraId="45268872" w14:textId="77777777" w:rsidR="00AE4F2C" w:rsidRDefault="00AE4F2C" w:rsidP="00FB3A71">
      <w:pPr>
        <w:pStyle w:val="BodyText"/>
      </w:pPr>
      <w:r>
        <w:t xml:space="preserve">This question required students to analyse how economic challenges impacted the consolidation of the new regime. </w:t>
      </w:r>
    </w:p>
    <w:p w14:paraId="724D4F62" w14:textId="77777777" w:rsidR="00AE4F2C" w:rsidRDefault="00AE4F2C" w:rsidP="00FB3A71">
      <w:pPr>
        <w:pStyle w:val="BodyText"/>
      </w:pPr>
      <w:r>
        <w:t xml:space="preserve">Most students were able to construct an argument using evidence from Source 7 about inflation and food scarcity. </w:t>
      </w:r>
    </w:p>
    <w:p w14:paraId="1AEB57DE" w14:textId="77777777" w:rsidR="00AE4F2C" w:rsidRDefault="00AE4F2C" w:rsidP="00FB3A71">
      <w:pPr>
        <w:pStyle w:val="BodyText"/>
      </w:pPr>
      <w:r w:rsidRPr="10B77027">
        <w:t>High-scoring responses to this question tended to:</w:t>
      </w:r>
    </w:p>
    <w:p w14:paraId="51969D77" w14:textId="60C44B2C" w:rsidR="00AE4F2C" w:rsidRDefault="00AE4F2C" w:rsidP="00E710C9">
      <w:pPr>
        <w:pStyle w:val="Bullet"/>
        <w:rPr>
          <w:rFonts w:eastAsia="Arial"/>
        </w:rPr>
      </w:pPr>
      <w:r w:rsidRPr="10B77027">
        <w:rPr>
          <w:rFonts w:eastAsia="Arial"/>
        </w:rPr>
        <w:t>incorporate a range of short direct quotes from Source 7</w:t>
      </w:r>
    </w:p>
    <w:p w14:paraId="1A23B274" w14:textId="751F0822" w:rsidR="00AE4F2C" w:rsidRDefault="00AE4F2C" w:rsidP="00E710C9">
      <w:pPr>
        <w:pStyle w:val="Bullet"/>
        <w:rPr>
          <w:rFonts w:eastAsia="Arial"/>
        </w:rPr>
      </w:pPr>
      <w:r w:rsidRPr="10B77027">
        <w:rPr>
          <w:rFonts w:eastAsia="Arial"/>
        </w:rPr>
        <w:t xml:space="preserve">briefly contextualise the causes of economic challenges, such </w:t>
      </w:r>
      <w:r w:rsidR="002F20D1">
        <w:rPr>
          <w:rFonts w:eastAsia="Arial"/>
        </w:rPr>
        <w:t xml:space="preserve">as </w:t>
      </w:r>
      <w:r w:rsidRPr="10B77027">
        <w:rPr>
          <w:rFonts w:eastAsia="Arial"/>
        </w:rPr>
        <w:t>the war against Austria and Prussia</w:t>
      </w:r>
      <w:r w:rsidR="002F20D1">
        <w:rPr>
          <w:rFonts w:eastAsia="Arial"/>
        </w:rPr>
        <w:t>, which</w:t>
      </w:r>
      <w:r w:rsidRPr="10B77027">
        <w:rPr>
          <w:rFonts w:eastAsia="Arial"/>
        </w:rPr>
        <w:t xml:space="preserve"> led to increased military expenditure </w:t>
      </w:r>
      <w:r w:rsidR="002F20D1">
        <w:rPr>
          <w:rFonts w:eastAsia="Arial"/>
        </w:rPr>
        <w:t>and</w:t>
      </w:r>
      <w:r w:rsidR="002F20D1" w:rsidRPr="10B77027">
        <w:rPr>
          <w:rFonts w:eastAsia="Arial"/>
        </w:rPr>
        <w:t xml:space="preserve"> </w:t>
      </w:r>
      <w:r w:rsidRPr="10B77027">
        <w:rPr>
          <w:rFonts w:eastAsia="Arial"/>
        </w:rPr>
        <w:t xml:space="preserve">was funded through printing additional </w:t>
      </w:r>
      <w:r w:rsidRPr="10B77027">
        <w:rPr>
          <w:rFonts w:eastAsia="Arial"/>
          <w:i/>
          <w:iCs/>
        </w:rPr>
        <w:t>assignats</w:t>
      </w:r>
      <w:r w:rsidRPr="10B77027">
        <w:rPr>
          <w:rFonts w:eastAsia="Arial"/>
        </w:rPr>
        <w:t xml:space="preserve"> </w:t>
      </w:r>
    </w:p>
    <w:p w14:paraId="6681C5E9" w14:textId="5C35B759" w:rsidR="00AE4F2C" w:rsidRDefault="00AE4F2C" w:rsidP="00E710C9">
      <w:pPr>
        <w:pStyle w:val="Bullet"/>
        <w:rPr>
          <w:rFonts w:eastAsia="Arial"/>
        </w:rPr>
      </w:pPr>
      <w:r w:rsidRPr="10B77027">
        <w:rPr>
          <w:rFonts w:eastAsia="Arial"/>
        </w:rPr>
        <w:t xml:space="preserve">illustrate </w:t>
      </w:r>
      <w:r w:rsidR="002F20D1">
        <w:rPr>
          <w:rFonts w:eastAsia="Arial"/>
        </w:rPr>
        <w:t xml:space="preserve">the </w:t>
      </w:r>
      <w:r w:rsidRPr="10B77027">
        <w:rPr>
          <w:rFonts w:eastAsia="Arial"/>
        </w:rPr>
        <w:t xml:space="preserve">challenges to the government with evidence from the student’s own knowledge, such as statistics showing inflation, or details of how the </w:t>
      </w:r>
      <w:r w:rsidRPr="10B77027">
        <w:rPr>
          <w:rFonts w:eastAsia="Arial"/>
          <w:i/>
          <w:iCs/>
        </w:rPr>
        <w:t xml:space="preserve">levée en masse </w:t>
      </w:r>
      <w:r w:rsidRPr="10B77027">
        <w:rPr>
          <w:rFonts w:eastAsia="Arial"/>
        </w:rPr>
        <w:t>disrupted the workforce</w:t>
      </w:r>
    </w:p>
    <w:p w14:paraId="1B925736" w14:textId="379AC102" w:rsidR="00AE4F2C" w:rsidRDefault="00AE4F2C" w:rsidP="00E710C9">
      <w:pPr>
        <w:pStyle w:val="Bullet"/>
        <w:rPr>
          <w:rFonts w:eastAsia="Arial"/>
        </w:rPr>
      </w:pPr>
      <w:r w:rsidRPr="10B77027">
        <w:rPr>
          <w:rFonts w:eastAsia="Arial"/>
        </w:rPr>
        <w:t>establish causal links between economic problems (</w:t>
      </w:r>
      <w:r w:rsidR="006D0B9D">
        <w:rPr>
          <w:rFonts w:eastAsia="Arial"/>
        </w:rPr>
        <w:t>such as</w:t>
      </w:r>
      <w:r w:rsidRPr="10B77027">
        <w:rPr>
          <w:rFonts w:eastAsia="Arial"/>
        </w:rPr>
        <w:t xml:space="preserve"> food shortages in Paris) and problems in consolidation of power (</w:t>
      </w:r>
      <w:r w:rsidR="006D0B9D">
        <w:rPr>
          <w:rFonts w:eastAsia="Arial"/>
        </w:rPr>
        <w:t>such as</w:t>
      </w:r>
      <w:r w:rsidRPr="10B77027">
        <w:rPr>
          <w:rFonts w:eastAsia="Arial"/>
        </w:rPr>
        <w:t xml:space="preserve"> the </w:t>
      </w:r>
      <w:r w:rsidRPr="10B77027">
        <w:rPr>
          <w:rFonts w:eastAsia="Arial"/>
          <w:i/>
          <w:iCs/>
        </w:rPr>
        <w:t xml:space="preserve">Enragés </w:t>
      </w:r>
      <w:r w:rsidRPr="10B77027">
        <w:rPr>
          <w:rFonts w:eastAsia="Arial"/>
        </w:rPr>
        <w:t>pressuring the National Convention to introduce the disastrous Law of the Maximum).</w:t>
      </w:r>
    </w:p>
    <w:p w14:paraId="582864BE" w14:textId="114C88BA" w:rsidR="00AE4F2C" w:rsidRDefault="00AE4F2C" w:rsidP="00FB3A71">
      <w:pPr>
        <w:pStyle w:val="BodyText"/>
      </w:pPr>
      <w:r>
        <w:t xml:space="preserve">Limitations </w:t>
      </w:r>
      <w:r w:rsidR="002F20D1">
        <w:t xml:space="preserve">that </w:t>
      </w:r>
      <w:r>
        <w:t xml:space="preserve">prevented responses from achieving the highest marks included: </w:t>
      </w:r>
    </w:p>
    <w:p w14:paraId="20ADBAB8" w14:textId="0A791FEB" w:rsidR="00AE4F2C" w:rsidRDefault="00AE4F2C" w:rsidP="00E710C9">
      <w:pPr>
        <w:pStyle w:val="Bullet"/>
      </w:pPr>
      <w:r>
        <w:t>rel</w:t>
      </w:r>
      <w:r w:rsidR="002F20D1">
        <w:t>ying too much</w:t>
      </w:r>
      <w:r>
        <w:t xml:space="preserve"> on evidence from Source 7</w:t>
      </w:r>
    </w:p>
    <w:p w14:paraId="43E0FBB0" w14:textId="4A5265EF" w:rsidR="00AE4F2C" w:rsidRDefault="0043575F" w:rsidP="00E710C9">
      <w:pPr>
        <w:pStyle w:val="Bullet"/>
      </w:pPr>
      <w:r>
        <w:t xml:space="preserve">focusing </w:t>
      </w:r>
      <w:r w:rsidR="00AE4F2C">
        <w:t>excessive</w:t>
      </w:r>
      <w:r w:rsidR="002F20D1">
        <w:t>ly</w:t>
      </w:r>
      <w:r w:rsidR="00AE4F2C">
        <w:t xml:space="preserve"> </w:t>
      </w:r>
      <w:r>
        <w:t xml:space="preserve">on </w:t>
      </w:r>
      <w:r w:rsidR="002F20D1">
        <w:t xml:space="preserve">the </w:t>
      </w:r>
      <w:r w:rsidR="00AE4F2C">
        <w:t xml:space="preserve">economic problems from the </w:t>
      </w:r>
      <w:r w:rsidR="0078564C" w:rsidRPr="00AE46CA">
        <w:t>A</w:t>
      </w:r>
      <w:r w:rsidR="00AE4F2C" w:rsidRPr="00AE46CA">
        <w:t xml:space="preserve">ncien </w:t>
      </w:r>
      <w:r w:rsidR="0078564C" w:rsidRPr="00AE46CA">
        <w:t>Ré</w:t>
      </w:r>
      <w:r w:rsidR="00AE4F2C" w:rsidRPr="00AE46CA">
        <w:t>gime</w:t>
      </w:r>
      <w:r w:rsidR="00AE4F2C">
        <w:rPr>
          <w:i/>
          <w:iCs/>
        </w:rPr>
        <w:t xml:space="preserve"> </w:t>
      </w:r>
      <w:r w:rsidR="00AE4F2C">
        <w:t xml:space="preserve">in Area of Study 1 </w:t>
      </w:r>
      <w:r w:rsidR="00234E40">
        <w:t>(AOS1)</w:t>
      </w:r>
    </w:p>
    <w:p w14:paraId="2924566C" w14:textId="1B0FE720" w:rsidR="00AE4F2C" w:rsidRPr="00391ACB" w:rsidRDefault="00AE4F2C" w:rsidP="00E710C9">
      <w:pPr>
        <w:pStyle w:val="Bullet"/>
      </w:pPr>
      <w:r>
        <w:t>offering a narrative expanding on allusions to political challenges in the source, such as the king’s execution and the war, without establishing how these led to economic challenges</w:t>
      </w:r>
      <w:r w:rsidR="002D510D">
        <w:t>.</w:t>
      </w:r>
    </w:p>
    <w:p w14:paraId="4758BAB9" w14:textId="77777777" w:rsidR="00D81463" w:rsidRDefault="00D81463">
      <w:pPr>
        <w:spacing w:line="276" w:lineRule="auto"/>
        <w:rPr>
          <w:rFonts w:ascii="Arial" w:hAnsi="Arial" w:cs="Arial"/>
          <w:color w:val="000000" w:themeColor="text1"/>
          <w:sz w:val="20"/>
          <w:lang w:val="en-AU" w:eastAsia="en-AU"/>
        </w:rPr>
      </w:pPr>
      <w:r>
        <w:br w:type="page"/>
      </w:r>
    </w:p>
    <w:p w14:paraId="72142BA6" w14:textId="6379810D" w:rsidR="00AE4F2C" w:rsidRPr="00896AA7" w:rsidRDefault="00AE4F2C" w:rsidP="00FB3A71">
      <w:pPr>
        <w:pStyle w:val="BodyText"/>
      </w:pPr>
      <w:r w:rsidRPr="00896AA7">
        <w:lastRenderedPageBreak/>
        <w:t xml:space="preserve">The following is a high-scoring response to Question </w:t>
      </w:r>
      <w:r>
        <w:t>2c</w:t>
      </w:r>
      <w:r w:rsidR="00D81463">
        <w:t>.</w:t>
      </w:r>
      <w:r w:rsidRPr="00896AA7">
        <w:t>:</w:t>
      </w:r>
    </w:p>
    <w:p w14:paraId="0ADB64E9" w14:textId="465EAEED" w:rsidR="00AE4F2C" w:rsidRPr="00D14E17" w:rsidRDefault="00AE4F2C" w:rsidP="00FB3A71">
      <w:pPr>
        <w:pStyle w:val="Studentresponse"/>
      </w:pPr>
      <w:r w:rsidRPr="00E32645">
        <w:t xml:space="preserve">The war on the </w:t>
      </w:r>
      <w:r w:rsidR="002D510D">
        <w:t>‘</w:t>
      </w:r>
      <w:r w:rsidRPr="00E32645">
        <w:t>monarchies of Europe</w:t>
      </w:r>
      <w:r w:rsidR="002D510D">
        <w:t>’</w:t>
      </w:r>
      <w:r w:rsidRPr="00E32645">
        <w:t xml:space="preserve"> (April 1792) as well as </w:t>
      </w:r>
      <w:r w:rsidR="002D510D">
        <w:t>‘</w:t>
      </w:r>
      <w:r w:rsidRPr="00E32645">
        <w:t>counter-revolution and civil war</w:t>
      </w:r>
      <w:r w:rsidR="002D510D">
        <w:t>’</w:t>
      </w:r>
      <w:r w:rsidRPr="00E32645">
        <w:t xml:space="preserve"> all worsened the existing economic issues of the revolution that threatened to undo the regime. The cost of the fight against internal and external threats forced the National Convention to issue </w:t>
      </w:r>
      <w:r w:rsidR="002D510D">
        <w:t>‘</w:t>
      </w:r>
      <w:r w:rsidRPr="00E32645">
        <w:t>new assignats</w:t>
      </w:r>
      <w:r w:rsidR="002D510D">
        <w:t>’</w:t>
      </w:r>
      <w:r w:rsidRPr="00E32645">
        <w:t xml:space="preserve"> </w:t>
      </w:r>
      <w:proofErr w:type="gramStart"/>
      <w:r w:rsidRPr="00E32645">
        <w:t>in an attempt to</w:t>
      </w:r>
      <w:proofErr w:type="gramEnd"/>
      <w:r w:rsidRPr="00E32645">
        <w:t xml:space="preserve"> bring control to the suffering economy. However, this had the unintended consequence of hyperinflation and a </w:t>
      </w:r>
      <w:r w:rsidR="002D510D">
        <w:t>‘</w:t>
      </w:r>
      <w:r w:rsidRPr="00E32645">
        <w:t>rapid rise</w:t>
      </w:r>
      <w:r w:rsidR="002D510D">
        <w:t>’</w:t>
      </w:r>
      <w:r w:rsidRPr="00E32645">
        <w:t xml:space="preserve"> in living costs. The movement of peasant men to fight against the foreign armies, as evident by levée en masse of 300</w:t>
      </w:r>
      <w:r w:rsidR="0001231D">
        <w:t xml:space="preserve"> </w:t>
      </w:r>
      <w:r w:rsidRPr="00E32645">
        <w:t>000 men each in February and October 1793, led to</w:t>
      </w:r>
      <w:r w:rsidR="00906E4D">
        <w:t xml:space="preserve"> a</w:t>
      </w:r>
      <w:r w:rsidRPr="00E32645">
        <w:t xml:space="preserve"> shortfall of labour and harvests, worsening the </w:t>
      </w:r>
      <w:r w:rsidR="002D510D">
        <w:t>‘</w:t>
      </w:r>
      <w:r w:rsidRPr="00E32645">
        <w:t>food crisis</w:t>
      </w:r>
      <w:r w:rsidR="002F20D1">
        <w:t>’</w:t>
      </w:r>
      <w:r w:rsidRPr="00E32645">
        <w:t xml:space="preserve">. Goods such as candles, soap and firewood grew more expensive, as did bread, costing </w:t>
      </w:r>
      <w:r w:rsidR="002D510D">
        <w:t>‘</w:t>
      </w:r>
      <w:r w:rsidRPr="00E32645">
        <w:t>8 sous per pound</w:t>
      </w:r>
      <w:r w:rsidR="002D510D">
        <w:t>’</w:t>
      </w:r>
      <w:r w:rsidRPr="00E32645">
        <w:t xml:space="preserve"> at a time where country-dwellers and Parisians were only earning 20 and 40 sous per day, respectively. The scarcity of bread increased its prices, triggering unrest and riots on bakeries and grain silos throughout 1792 and 1793. The Vendée especially, angered by the levée en masse and the impacts of famine, staged a major rebellion. The war with the European power</w:t>
      </w:r>
      <w:r>
        <w:t>s</w:t>
      </w:r>
      <w:r w:rsidRPr="00E32645">
        <w:t xml:space="preserve"> also meant trade declined, and blockades of the trade towns like Lyon and Marseille contributed to the struggling economy. These areas were the centre of a rebellion led by federalists that the Paris-centric government of France was failing, as it had failed to alleviate the rampant economic issues.</w:t>
      </w:r>
    </w:p>
    <w:p w14:paraId="29A7CCC3" w14:textId="77777777" w:rsidR="00AE4F2C" w:rsidRDefault="00AE4F2C" w:rsidP="00AE4F2C">
      <w:pPr>
        <w:pStyle w:val="Heading4"/>
      </w:pPr>
      <w:r>
        <w:t>Question 2</w:t>
      </w:r>
      <w:r w:rsidRPr="00896AA7">
        <w:t>d</w:t>
      </w:r>
      <w: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AE4F2C" w:rsidRPr="00FB32B9" w14:paraId="0782F04F"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25671129" w14:textId="77777777" w:rsidR="00AE4F2C" w:rsidRPr="00FB32B9" w:rsidRDefault="00AE4F2C" w:rsidP="00FB3A71">
            <w:pPr>
              <w:pStyle w:val="Tablecondensedheading"/>
            </w:pPr>
            <w:r w:rsidRPr="00FB32B9">
              <w:t xml:space="preserve">Marks </w:t>
            </w:r>
          </w:p>
        </w:tc>
        <w:tc>
          <w:tcPr>
            <w:tcW w:w="576" w:type="dxa"/>
          </w:tcPr>
          <w:p w14:paraId="7E0A0DD5" w14:textId="77777777" w:rsidR="00AE4F2C" w:rsidRPr="00FB32B9" w:rsidRDefault="00AE4F2C" w:rsidP="00FB3A71">
            <w:pPr>
              <w:pStyle w:val="Tablecondensedheading"/>
            </w:pPr>
            <w:r w:rsidRPr="00FB32B9">
              <w:t>0</w:t>
            </w:r>
          </w:p>
        </w:tc>
        <w:tc>
          <w:tcPr>
            <w:tcW w:w="576" w:type="dxa"/>
          </w:tcPr>
          <w:p w14:paraId="62C1B091" w14:textId="77777777" w:rsidR="00AE4F2C" w:rsidRPr="00FB32B9" w:rsidRDefault="00AE4F2C" w:rsidP="00FB3A71">
            <w:pPr>
              <w:pStyle w:val="Tablecondensedheading"/>
            </w:pPr>
            <w:r w:rsidRPr="00FB32B9">
              <w:t>1</w:t>
            </w:r>
          </w:p>
        </w:tc>
        <w:tc>
          <w:tcPr>
            <w:tcW w:w="576" w:type="dxa"/>
          </w:tcPr>
          <w:p w14:paraId="3B9FA52F" w14:textId="77777777" w:rsidR="00AE4F2C" w:rsidRPr="00FB32B9" w:rsidRDefault="00AE4F2C" w:rsidP="00FB3A71">
            <w:pPr>
              <w:pStyle w:val="Tablecondensedheading"/>
            </w:pPr>
            <w:r w:rsidRPr="00FB32B9">
              <w:t>2</w:t>
            </w:r>
          </w:p>
        </w:tc>
        <w:tc>
          <w:tcPr>
            <w:tcW w:w="576" w:type="dxa"/>
          </w:tcPr>
          <w:p w14:paraId="7690D53C" w14:textId="77777777" w:rsidR="00AE4F2C" w:rsidRPr="00FB32B9" w:rsidRDefault="00AE4F2C" w:rsidP="00FB3A71">
            <w:pPr>
              <w:pStyle w:val="Tablecondensedheading"/>
            </w:pPr>
            <w:r w:rsidRPr="00FB32B9">
              <w:t>3</w:t>
            </w:r>
          </w:p>
        </w:tc>
        <w:tc>
          <w:tcPr>
            <w:tcW w:w="576" w:type="dxa"/>
          </w:tcPr>
          <w:p w14:paraId="2D5164D8" w14:textId="77777777" w:rsidR="00AE4F2C" w:rsidRPr="00FB32B9" w:rsidRDefault="00AE4F2C" w:rsidP="00FB3A71">
            <w:pPr>
              <w:pStyle w:val="Tablecondensedheading"/>
            </w:pPr>
            <w:r w:rsidRPr="00FB32B9">
              <w:t>4</w:t>
            </w:r>
          </w:p>
        </w:tc>
        <w:tc>
          <w:tcPr>
            <w:tcW w:w="576" w:type="dxa"/>
          </w:tcPr>
          <w:p w14:paraId="26968AA9" w14:textId="77777777" w:rsidR="00AE4F2C" w:rsidRPr="00FB32B9" w:rsidRDefault="00AE4F2C" w:rsidP="00FB3A71">
            <w:pPr>
              <w:pStyle w:val="Tablecondensedheading"/>
            </w:pPr>
            <w:r w:rsidRPr="00FB32B9">
              <w:t>5</w:t>
            </w:r>
          </w:p>
        </w:tc>
        <w:tc>
          <w:tcPr>
            <w:tcW w:w="1287" w:type="dxa"/>
          </w:tcPr>
          <w:p w14:paraId="78524737" w14:textId="77777777" w:rsidR="00AE4F2C" w:rsidRPr="00FB32B9" w:rsidRDefault="00AE4F2C" w:rsidP="00FB3A71">
            <w:pPr>
              <w:pStyle w:val="Tablecondensedheading"/>
            </w:pPr>
            <w:r w:rsidRPr="00FB32B9">
              <w:t>Average</w:t>
            </w:r>
          </w:p>
        </w:tc>
      </w:tr>
      <w:tr w:rsidR="00AE4F2C" w:rsidRPr="00FB32B9" w14:paraId="7D227095" w14:textId="77777777" w:rsidTr="00DF0280">
        <w:trPr>
          <w:trHeight w:val="392"/>
        </w:trPr>
        <w:tc>
          <w:tcPr>
            <w:tcW w:w="1030" w:type="dxa"/>
          </w:tcPr>
          <w:p w14:paraId="4549CCC2" w14:textId="77777777" w:rsidR="00AE4F2C" w:rsidRPr="00FB32B9" w:rsidRDefault="00AE4F2C" w:rsidP="00FB3A71">
            <w:pPr>
              <w:pStyle w:val="Tablecondensed"/>
            </w:pPr>
            <w:r w:rsidRPr="00FB32B9">
              <w:t>%</w:t>
            </w:r>
          </w:p>
        </w:tc>
        <w:tc>
          <w:tcPr>
            <w:tcW w:w="576" w:type="dxa"/>
          </w:tcPr>
          <w:p w14:paraId="3B4101F3" w14:textId="77777777" w:rsidR="00AE4F2C" w:rsidRPr="00FB32B9" w:rsidRDefault="00AE4F2C" w:rsidP="00FB3A71">
            <w:pPr>
              <w:pStyle w:val="Tablecondensed"/>
            </w:pPr>
            <w:r>
              <w:t>9</w:t>
            </w:r>
          </w:p>
        </w:tc>
        <w:tc>
          <w:tcPr>
            <w:tcW w:w="576" w:type="dxa"/>
          </w:tcPr>
          <w:p w14:paraId="47F48817" w14:textId="77777777" w:rsidR="00AE4F2C" w:rsidRPr="00FB32B9" w:rsidRDefault="00AE4F2C" w:rsidP="00FB3A71">
            <w:pPr>
              <w:pStyle w:val="Tablecondensed"/>
            </w:pPr>
            <w:r>
              <w:t>10</w:t>
            </w:r>
          </w:p>
        </w:tc>
        <w:tc>
          <w:tcPr>
            <w:tcW w:w="576" w:type="dxa"/>
          </w:tcPr>
          <w:p w14:paraId="0B15B8C5" w14:textId="77777777" w:rsidR="00AE4F2C" w:rsidRPr="00FB32B9" w:rsidRDefault="00AE4F2C" w:rsidP="00FB3A71">
            <w:pPr>
              <w:pStyle w:val="Tablecondensed"/>
            </w:pPr>
            <w:r>
              <w:t>31</w:t>
            </w:r>
          </w:p>
        </w:tc>
        <w:tc>
          <w:tcPr>
            <w:tcW w:w="576" w:type="dxa"/>
          </w:tcPr>
          <w:p w14:paraId="5B5E0BF2" w14:textId="77777777" w:rsidR="00AE4F2C" w:rsidRPr="00FB32B9" w:rsidRDefault="00AE4F2C" w:rsidP="00FB3A71">
            <w:pPr>
              <w:pStyle w:val="Tablecondensed"/>
            </w:pPr>
            <w:r>
              <w:t>31</w:t>
            </w:r>
          </w:p>
        </w:tc>
        <w:tc>
          <w:tcPr>
            <w:tcW w:w="576" w:type="dxa"/>
          </w:tcPr>
          <w:p w14:paraId="41FD2D76" w14:textId="77777777" w:rsidR="00AE4F2C" w:rsidRPr="00FB32B9" w:rsidRDefault="00AE4F2C" w:rsidP="00FB3A71">
            <w:pPr>
              <w:pStyle w:val="Tablecondensed"/>
            </w:pPr>
            <w:r>
              <w:t>15</w:t>
            </w:r>
          </w:p>
        </w:tc>
        <w:tc>
          <w:tcPr>
            <w:tcW w:w="576" w:type="dxa"/>
          </w:tcPr>
          <w:p w14:paraId="28C5ECF2" w14:textId="77777777" w:rsidR="00AE4F2C" w:rsidRPr="00FB32B9" w:rsidRDefault="00AE4F2C" w:rsidP="00FB3A71">
            <w:pPr>
              <w:pStyle w:val="Tablecondensed"/>
            </w:pPr>
            <w:r>
              <w:t>3</w:t>
            </w:r>
          </w:p>
        </w:tc>
        <w:tc>
          <w:tcPr>
            <w:tcW w:w="1287" w:type="dxa"/>
          </w:tcPr>
          <w:p w14:paraId="4C1FDB07" w14:textId="77777777" w:rsidR="00AE4F2C" w:rsidRPr="00FB32B9" w:rsidRDefault="00AE4F2C" w:rsidP="00FB3A71">
            <w:pPr>
              <w:pStyle w:val="Tablecondensed"/>
            </w:pPr>
            <w:r>
              <w:t>2.4</w:t>
            </w:r>
          </w:p>
        </w:tc>
      </w:tr>
    </w:tbl>
    <w:p w14:paraId="2D460A8D" w14:textId="77777777" w:rsidR="00AE4F2C" w:rsidRDefault="00AE4F2C" w:rsidP="00FB3A71">
      <w:pPr>
        <w:pStyle w:val="BodyText"/>
      </w:pPr>
      <w:r>
        <w:t xml:space="preserve">This question required students to explain how the rise of the </w:t>
      </w:r>
      <w:proofErr w:type="gramStart"/>
      <w:r w:rsidRPr="00AE46CA">
        <w:t>sans</w:t>
      </w:r>
      <w:proofErr w:type="gramEnd"/>
      <w:r w:rsidRPr="00AE46CA">
        <w:t xml:space="preserve"> culottes</w:t>
      </w:r>
      <w:r>
        <w:t xml:space="preserve"> led to challenges in France up to 1793. </w:t>
      </w:r>
    </w:p>
    <w:p w14:paraId="730F97F7" w14:textId="16E8B5DF" w:rsidR="00AE4F2C" w:rsidRDefault="00AE4F2C" w:rsidP="00FB3A71">
      <w:pPr>
        <w:pStyle w:val="BodyText"/>
      </w:pPr>
      <w:r>
        <w:t xml:space="preserve">Most students were able to describe the key characteristics of the </w:t>
      </w:r>
      <w:r w:rsidRPr="00AE46CA">
        <w:t>sans culottes</w:t>
      </w:r>
      <w:r>
        <w:t xml:space="preserve"> as a popular political movement and recognised that Source 8 depicted the 1792 September Massacres. </w:t>
      </w:r>
    </w:p>
    <w:p w14:paraId="3845C948" w14:textId="77777777" w:rsidR="00AE4F2C" w:rsidRDefault="00AE4F2C" w:rsidP="00FB3A71">
      <w:pPr>
        <w:pStyle w:val="BodyText"/>
      </w:pPr>
      <w:r w:rsidRPr="10B77027">
        <w:t>High-scoring responses to this question tended to:</w:t>
      </w:r>
    </w:p>
    <w:p w14:paraId="68478E05" w14:textId="4C2269E0" w:rsidR="00AE4F2C" w:rsidRPr="00E710C9" w:rsidRDefault="00AE4F2C" w:rsidP="00E710C9">
      <w:pPr>
        <w:pStyle w:val="Bullet"/>
        <w:rPr>
          <w:rFonts w:eastAsia="Arial"/>
        </w:rPr>
      </w:pPr>
      <w:r w:rsidRPr="00E710C9">
        <w:rPr>
          <w:rFonts w:eastAsia="Arial"/>
        </w:rPr>
        <w:t xml:space="preserve">contextualise, describe and elaborate upon what specific written and visual features of Source 8 revealed about </w:t>
      </w:r>
      <w:r w:rsidRPr="00AE46CA">
        <w:rPr>
          <w:rFonts w:eastAsia="Arial"/>
        </w:rPr>
        <w:t>sans culottes</w:t>
      </w:r>
      <w:r w:rsidRPr="00E710C9">
        <w:rPr>
          <w:rFonts w:eastAsia="Arial"/>
        </w:rPr>
        <w:t xml:space="preserve"> violence and radicalism</w:t>
      </w:r>
    </w:p>
    <w:p w14:paraId="1C203EDE" w14:textId="49823FD9" w:rsidR="00AE4F2C" w:rsidRPr="00E710C9" w:rsidRDefault="00AE4F2C" w:rsidP="00E710C9">
      <w:pPr>
        <w:pStyle w:val="Bullet"/>
        <w:rPr>
          <w:rFonts w:eastAsia="Arial"/>
        </w:rPr>
      </w:pPr>
      <w:r w:rsidRPr="00E710C9">
        <w:rPr>
          <w:rFonts w:eastAsia="Arial"/>
        </w:rPr>
        <w:t xml:space="preserve">identify </w:t>
      </w:r>
      <w:r w:rsidRPr="007755C3">
        <w:rPr>
          <w:rFonts w:eastAsia="Arial"/>
          <w:i/>
          <w:iCs/>
        </w:rPr>
        <w:t>journées</w:t>
      </w:r>
      <w:r w:rsidRPr="00E710C9">
        <w:rPr>
          <w:rFonts w:eastAsia="Arial"/>
        </w:rPr>
        <w:t xml:space="preserve"> undertaken by the </w:t>
      </w:r>
      <w:proofErr w:type="gramStart"/>
      <w:r w:rsidRPr="00AE46CA">
        <w:rPr>
          <w:rFonts w:eastAsia="Arial"/>
        </w:rPr>
        <w:t>sans</w:t>
      </w:r>
      <w:proofErr w:type="gramEnd"/>
      <w:r w:rsidRPr="00AE46CA">
        <w:rPr>
          <w:rFonts w:eastAsia="Arial"/>
        </w:rPr>
        <w:t xml:space="preserve"> culottes</w:t>
      </w:r>
      <w:r w:rsidRPr="00E710C9">
        <w:rPr>
          <w:rFonts w:eastAsia="Arial"/>
        </w:rPr>
        <w:t xml:space="preserve">, such as the 10 August 1792 </w:t>
      </w:r>
      <w:r w:rsidR="00564D23">
        <w:rPr>
          <w:rFonts w:eastAsia="Arial"/>
        </w:rPr>
        <w:t>s</w:t>
      </w:r>
      <w:r w:rsidRPr="00E710C9">
        <w:rPr>
          <w:rFonts w:eastAsia="Arial"/>
        </w:rPr>
        <w:t>torming of the Tuileries, the September Massacres and the purge of the Girondins</w:t>
      </w:r>
    </w:p>
    <w:p w14:paraId="1C189774" w14:textId="65C1CF9D" w:rsidR="00AE4F2C" w:rsidRPr="00E710C9" w:rsidRDefault="00AE4F2C" w:rsidP="00E710C9">
      <w:pPr>
        <w:pStyle w:val="Bullet"/>
        <w:rPr>
          <w:rFonts w:eastAsia="Arial"/>
        </w:rPr>
      </w:pPr>
      <w:r w:rsidRPr="00E710C9">
        <w:rPr>
          <w:rFonts w:eastAsia="Arial"/>
        </w:rPr>
        <w:t xml:space="preserve">explain how the actions of the </w:t>
      </w:r>
      <w:proofErr w:type="gramStart"/>
      <w:r w:rsidRPr="00AE46CA">
        <w:rPr>
          <w:rFonts w:eastAsia="Arial"/>
        </w:rPr>
        <w:t>sans</w:t>
      </w:r>
      <w:proofErr w:type="gramEnd"/>
      <w:r w:rsidRPr="00AE46CA">
        <w:rPr>
          <w:rFonts w:eastAsia="Arial"/>
        </w:rPr>
        <w:t xml:space="preserve"> culottes</w:t>
      </w:r>
      <w:r w:rsidRPr="00E710C9">
        <w:rPr>
          <w:rFonts w:eastAsia="Arial"/>
        </w:rPr>
        <w:t xml:space="preserve"> radicalised the revolution by placing pressure on the Legislative Assembly and the National Convention</w:t>
      </w:r>
    </w:p>
    <w:p w14:paraId="7676F795" w14:textId="5746AD80" w:rsidR="00AE4F2C" w:rsidRPr="00E710C9" w:rsidRDefault="00AE4F2C" w:rsidP="00E710C9">
      <w:pPr>
        <w:pStyle w:val="Bullet"/>
        <w:rPr>
          <w:rFonts w:eastAsia="Arial"/>
        </w:rPr>
      </w:pPr>
      <w:r w:rsidRPr="00E710C9">
        <w:rPr>
          <w:rFonts w:eastAsia="Arial"/>
        </w:rPr>
        <w:t xml:space="preserve">explain the interdependence of the Jacobins and </w:t>
      </w:r>
      <w:r w:rsidRPr="00AE46CA">
        <w:rPr>
          <w:rFonts w:eastAsia="Arial"/>
        </w:rPr>
        <w:t>sans culottes</w:t>
      </w:r>
      <w:r w:rsidRPr="00E710C9">
        <w:rPr>
          <w:rFonts w:eastAsia="Arial"/>
        </w:rPr>
        <w:t xml:space="preserve"> </w:t>
      </w:r>
    </w:p>
    <w:p w14:paraId="4D05030B" w14:textId="7D9C7E5A" w:rsidR="00AE4F2C" w:rsidRPr="00E710C9" w:rsidRDefault="00AE4F2C" w:rsidP="00E710C9">
      <w:pPr>
        <w:pStyle w:val="Bullet"/>
        <w:rPr>
          <w:rFonts w:eastAsia="Arial"/>
        </w:rPr>
      </w:pPr>
      <w:r w:rsidRPr="00E710C9">
        <w:rPr>
          <w:rFonts w:eastAsia="Arial"/>
        </w:rPr>
        <w:t xml:space="preserve">provide specific evidence from the student’s own knowledge, such as Danton’s argument </w:t>
      </w:r>
      <w:r w:rsidR="002D510D">
        <w:rPr>
          <w:rFonts w:eastAsia="Arial"/>
        </w:rPr>
        <w:t>‘</w:t>
      </w:r>
      <w:r w:rsidRPr="00E710C9">
        <w:rPr>
          <w:rFonts w:eastAsia="Arial"/>
        </w:rPr>
        <w:t>Let us be terrible, so that the people have no need to be</w:t>
      </w:r>
      <w:r w:rsidR="002D510D">
        <w:rPr>
          <w:rFonts w:eastAsia="Arial"/>
        </w:rPr>
        <w:t>’.</w:t>
      </w:r>
    </w:p>
    <w:p w14:paraId="545296D6" w14:textId="7895DA9D" w:rsidR="00AE4F2C" w:rsidRDefault="00AE4F2C" w:rsidP="00FB3A71">
      <w:pPr>
        <w:pStyle w:val="BodyText"/>
      </w:pPr>
      <w:r>
        <w:t xml:space="preserve">Limitations </w:t>
      </w:r>
      <w:r w:rsidR="002F20D1">
        <w:t xml:space="preserve">that </w:t>
      </w:r>
      <w:r>
        <w:t xml:space="preserve">prevented responses from achieving the highest marks included: </w:t>
      </w:r>
    </w:p>
    <w:p w14:paraId="7F716169" w14:textId="6D4DF73C" w:rsidR="00AE4F2C" w:rsidRDefault="00AE4F2C" w:rsidP="00E710C9">
      <w:pPr>
        <w:pStyle w:val="Bullet"/>
      </w:pPr>
      <w:r>
        <w:t>excessive</w:t>
      </w:r>
      <w:r w:rsidR="002F20D1">
        <w:t>ly</w:t>
      </w:r>
      <w:r>
        <w:t xml:space="preserve"> descri</w:t>
      </w:r>
      <w:r w:rsidR="002F20D1">
        <w:t>bing</w:t>
      </w:r>
      <w:r>
        <w:t xml:space="preserve"> </w:t>
      </w:r>
      <w:r w:rsidRPr="00AE46CA">
        <w:t>sans culotte</w:t>
      </w:r>
      <w:r w:rsidR="006D0B9D">
        <w:t>s</w:t>
      </w:r>
      <w:r>
        <w:t xml:space="preserve"> violence without explaining how </w:t>
      </w:r>
      <w:proofErr w:type="gramStart"/>
      <w:r>
        <w:t>this created challenges</w:t>
      </w:r>
      <w:proofErr w:type="gramEnd"/>
      <w:r>
        <w:t xml:space="preserve"> in France </w:t>
      </w:r>
    </w:p>
    <w:p w14:paraId="3BB2F8E6" w14:textId="185DD70D" w:rsidR="00AE4F2C" w:rsidRPr="00976493" w:rsidRDefault="00AE4F2C" w:rsidP="00E710C9">
      <w:pPr>
        <w:pStyle w:val="Bullet"/>
      </w:pPr>
      <w:r>
        <w:t>focusing on examples of violence like the Storming of the Bastille and the Champ de Mars massacre</w:t>
      </w:r>
      <w:r w:rsidR="00912E58">
        <w:t>,</w:t>
      </w:r>
      <w:r>
        <w:t xml:space="preserve"> which preceded the rise of the </w:t>
      </w:r>
      <w:r w:rsidRPr="00AE46CA">
        <w:t>sans culottes</w:t>
      </w:r>
      <w:r>
        <w:t xml:space="preserve"> as a distinct popular movement in 1792.</w:t>
      </w:r>
    </w:p>
    <w:p w14:paraId="5C035DDA" w14:textId="1A36EDB8" w:rsidR="00AE4F2C" w:rsidRPr="00896AA7" w:rsidRDefault="00AE4F2C" w:rsidP="00FB3A71">
      <w:pPr>
        <w:pStyle w:val="BodyText"/>
      </w:pPr>
      <w:r w:rsidRPr="00896AA7">
        <w:t xml:space="preserve">The following is </w:t>
      </w:r>
      <w:r>
        <w:t xml:space="preserve">a </w:t>
      </w:r>
      <w:r w:rsidRPr="00896AA7">
        <w:t xml:space="preserve">high-scoring response to Question </w:t>
      </w:r>
      <w:r>
        <w:t>2d</w:t>
      </w:r>
      <w:r w:rsidR="00D81463">
        <w:t>.</w:t>
      </w:r>
      <w:r w:rsidRPr="00896AA7">
        <w:t>:</w:t>
      </w:r>
    </w:p>
    <w:p w14:paraId="08346D48" w14:textId="48686E77" w:rsidR="00AE4F2C" w:rsidRPr="00321068" w:rsidRDefault="00AE4F2C" w:rsidP="00FB3A71">
      <w:pPr>
        <w:pStyle w:val="Studentresponse"/>
      </w:pPr>
      <w:r w:rsidRPr="00321068">
        <w:t xml:space="preserve">The rise of the sans-culottes exacerbated the challenges of republican sentiment and increasing violence. The urban workers’ violent demonstration against authority is depicted by the pikes they wield. This alludes to the Revolutionary Commune (9 August 1792) issuing pikes to the sans-culottes under Petion, inciting their violent insurrection of the Tuileries (10 August 1792) which triggered the loss of the </w:t>
      </w:r>
      <w:r w:rsidR="0078564C">
        <w:t>K</w:t>
      </w:r>
      <w:r w:rsidRPr="00321068">
        <w:t xml:space="preserve">ing Louis XVI’s authority, thus creating new challenges for the National Convention regarding the fate of the monarchy. Secondly, Source 8 depicts the violent massacre of priests during the September massacres (2–6 September 1792). Following the fall of Verdun, the violence </w:t>
      </w:r>
      <w:r w:rsidRPr="00321068">
        <w:lastRenderedPageBreak/>
        <w:t>of the sans-culottes pushed the government into policies of Terror, to consolidate power during the war (30 April 1792) evident by the execution of King Louis XVI (21 January 1793).</w:t>
      </w:r>
    </w:p>
    <w:p w14:paraId="6AEBF358" w14:textId="77777777" w:rsidR="00AE4F2C" w:rsidRPr="00896AA7" w:rsidRDefault="00AE4F2C" w:rsidP="00AE4F2C">
      <w:pPr>
        <w:pStyle w:val="Heading3"/>
      </w:pPr>
      <w:r>
        <w:t xml:space="preserve">Question 3 </w:t>
      </w:r>
      <w:r>
        <w:rPr>
          <w:rFonts w:ascii="Courier New" w:hAnsi="Courier New" w:cs="Courier New"/>
        </w:rPr>
        <w:t>–</w:t>
      </w:r>
      <w:r>
        <w:t xml:space="preserve"> The </w:t>
      </w:r>
      <w:r w:rsidRPr="00896AA7">
        <w:t>R</w:t>
      </w:r>
      <w:r>
        <w:t>ussian Revolution</w:t>
      </w:r>
    </w:p>
    <w:p w14:paraId="78E36E54" w14:textId="77777777" w:rsidR="00AE4F2C" w:rsidRPr="00896AA7" w:rsidRDefault="00AE4F2C" w:rsidP="00AE4F2C">
      <w:pPr>
        <w:pStyle w:val="Heading4"/>
      </w:pPr>
      <w:r>
        <w:t>Question 3</w:t>
      </w:r>
      <w:r w:rsidRPr="00896AA7">
        <w:t>a</w:t>
      </w:r>
      <w:r>
        <w:t>.</w:t>
      </w:r>
    </w:p>
    <w:tbl>
      <w:tblPr>
        <w:tblStyle w:val="VCAATableClosed1"/>
        <w:tblW w:w="5197" w:type="dxa"/>
        <w:tblInd w:w="-5" w:type="dxa"/>
        <w:tblLook w:val="04A0" w:firstRow="1" w:lastRow="0" w:firstColumn="1" w:lastColumn="0" w:noHBand="0" w:noVBand="1"/>
      </w:tblPr>
      <w:tblGrid>
        <w:gridCol w:w="1030"/>
        <w:gridCol w:w="576"/>
        <w:gridCol w:w="576"/>
        <w:gridCol w:w="576"/>
        <w:gridCol w:w="576"/>
        <w:gridCol w:w="576"/>
        <w:gridCol w:w="1287"/>
      </w:tblGrid>
      <w:tr w:rsidR="00AE4F2C" w:rsidRPr="00FB32B9" w14:paraId="2F445808"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480C73FE" w14:textId="77777777" w:rsidR="00AE4F2C" w:rsidRPr="00FB32B9" w:rsidRDefault="00AE4F2C" w:rsidP="00FB3A71">
            <w:pPr>
              <w:pStyle w:val="Tablecondensedheading"/>
            </w:pPr>
            <w:r w:rsidRPr="00FB32B9">
              <w:t xml:space="preserve">Marks </w:t>
            </w:r>
          </w:p>
        </w:tc>
        <w:tc>
          <w:tcPr>
            <w:tcW w:w="576" w:type="dxa"/>
          </w:tcPr>
          <w:p w14:paraId="20CAAB45" w14:textId="77777777" w:rsidR="00AE4F2C" w:rsidRPr="00FB32B9" w:rsidRDefault="00AE4F2C" w:rsidP="00FB3A71">
            <w:pPr>
              <w:pStyle w:val="Tablecondensedheading"/>
            </w:pPr>
            <w:r w:rsidRPr="00FB32B9">
              <w:t>0</w:t>
            </w:r>
          </w:p>
        </w:tc>
        <w:tc>
          <w:tcPr>
            <w:tcW w:w="576" w:type="dxa"/>
          </w:tcPr>
          <w:p w14:paraId="1A19414C" w14:textId="77777777" w:rsidR="00AE4F2C" w:rsidRPr="00FB32B9" w:rsidRDefault="00AE4F2C" w:rsidP="00FB3A71">
            <w:pPr>
              <w:pStyle w:val="Tablecondensedheading"/>
            </w:pPr>
            <w:r w:rsidRPr="00FB32B9">
              <w:t>1</w:t>
            </w:r>
          </w:p>
        </w:tc>
        <w:tc>
          <w:tcPr>
            <w:tcW w:w="576" w:type="dxa"/>
          </w:tcPr>
          <w:p w14:paraId="55EAC22C" w14:textId="77777777" w:rsidR="00AE4F2C" w:rsidRPr="00FB32B9" w:rsidRDefault="00AE4F2C" w:rsidP="00FB3A71">
            <w:pPr>
              <w:pStyle w:val="Tablecondensedheading"/>
            </w:pPr>
            <w:r w:rsidRPr="00FB32B9">
              <w:t>2</w:t>
            </w:r>
          </w:p>
        </w:tc>
        <w:tc>
          <w:tcPr>
            <w:tcW w:w="576" w:type="dxa"/>
          </w:tcPr>
          <w:p w14:paraId="2A27E95A" w14:textId="77777777" w:rsidR="00AE4F2C" w:rsidRPr="00FB32B9" w:rsidRDefault="00AE4F2C" w:rsidP="00FB3A71">
            <w:pPr>
              <w:pStyle w:val="Tablecondensedheading"/>
            </w:pPr>
            <w:r w:rsidRPr="00FB32B9">
              <w:t>3</w:t>
            </w:r>
          </w:p>
        </w:tc>
        <w:tc>
          <w:tcPr>
            <w:tcW w:w="576" w:type="dxa"/>
          </w:tcPr>
          <w:p w14:paraId="582FF397" w14:textId="77777777" w:rsidR="00AE4F2C" w:rsidRPr="00FB32B9" w:rsidRDefault="00AE4F2C" w:rsidP="00FB3A71">
            <w:pPr>
              <w:pStyle w:val="Tablecondensedheading"/>
            </w:pPr>
            <w:r w:rsidRPr="00FB32B9">
              <w:t>4</w:t>
            </w:r>
          </w:p>
        </w:tc>
        <w:tc>
          <w:tcPr>
            <w:tcW w:w="1287" w:type="dxa"/>
          </w:tcPr>
          <w:p w14:paraId="42A0D626" w14:textId="77777777" w:rsidR="00AE4F2C" w:rsidRPr="00FB32B9" w:rsidRDefault="00AE4F2C" w:rsidP="00FB3A71">
            <w:pPr>
              <w:pStyle w:val="Tablecondensedheading"/>
            </w:pPr>
            <w:r w:rsidRPr="00FB32B9">
              <w:t>Average</w:t>
            </w:r>
          </w:p>
        </w:tc>
      </w:tr>
      <w:tr w:rsidR="00AE4F2C" w:rsidRPr="00FB32B9" w14:paraId="6995A906" w14:textId="77777777" w:rsidTr="00DF0280">
        <w:trPr>
          <w:trHeight w:val="392"/>
        </w:trPr>
        <w:tc>
          <w:tcPr>
            <w:tcW w:w="1030" w:type="dxa"/>
          </w:tcPr>
          <w:p w14:paraId="6BF1F7C8" w14:textId="77777777" w:rsidR="00AE4F2C" w:rsidRPr="00FB32B9" w:rsidRDefault="00AE4F2C" w:rsidP="00FB3A71">
            <w:pPr>
              <w:pStyle w:val="Tablecondensed"/>
            </w:pPr>
            <w:r w:rsidRPr="00FB32B9">
              <w:t>%</w:t>
            </w:r>
          </w:p>
        </w:tc>
        <w:tc>
          <w:tcPr>
            <w:tcW w:w="576" w:type="dxa"/>
          </w:tcPr>
          <w:p w14:paraId="3CBB9B6F" w14:textId="77777777" w:rsidR="00AE4F2C" w:rsidRPr="00FB32B9" w:rsidRDefault="00AE4F2C" w:rsidP="00FB3A71">
            <w:pPr>
              <w:pStyle w:val="Tablecondensed"/>
            </w:pPr>
            <w:r>
              <w:t>1</w:t>
            </w:r>
          </w:p>
        </w:tc>
        <w:tc>
          <w:tcPr>
            <w:tcW w:w="576" w:type="dxa"/>
          </w:tcPr>
          <w:p w14:paraId="0446BAD5" w14:textId="77777777" w:rsidR="00AE4F2C" w:rsidRPr="00FB32B9" w:rsidRDefault="00AE4F2C" w:rsidP="00FB3A71">
            <w:pPr>
              <w:pStyle w:val="Tablecondensed"/>
            </w:pPr>
            <w:r>
              <w:t>2</w:t>
            </w:r>
          </w:p>
        </w:tc>
        <w:tc>
          <w:tcPr>
            <w:tcW w:w="576" w:type="dxa"/>
          </w:tcPr>
          <w:p w14:paraId="287A3820" w14:textId="77777777" w:rsidR="00AE4F2C" w:rsidRPr="00FB32B9" w:rsidRDefault="00AE4F2C" w:rsidP="00FB3A71">
            <w:pPr>
              <w:pStyle w:val="Tablecondensed"/>
            </w:pPr>
            <w:r>
              <w:t>15</w:t>
            </w:r>
          </w:p>
        </w:tc>
        <w:tc>
          <w:tcPr>
            <w:tcW w:w="576" w:type="dxa"/>
          </w:tcPr>
          <w:p w14:paraId="73C7E6AF" w14:textId="77777777" w:rsidR="00AE4F2C" w:rsidRPr="00FB32B9" w:rsidRDefault="00AE4F2C" w:rsidP="00FB3A71">
            <w:pPr>
              <w:pStyle w:val="Tablecondensed"/>
            </w:pPr>
            <w:r>
              <w:t>39</w:t>
            </w:r>
          </w:p>
        </w:tc>
        <w:tc>
          <w:tcPr>
            <w:tcW w:w="576" w:type="dxa"/>
          </w:tcPr>
          <w:p w14:paraId="56E9B737" w14:textId="77777777" w:rsidR="00AE4F2C" w:rsidRPr="00FB32B9" w:rsidRDefault="00AE4F2C" w:rsidP="00FB3A71">
            <w:pPr>
              <w:pStyle w:val="Tablecondensed"/>
            </w:pPr>
            <w:r>
              <w:t>43</w:t>
            </w:r>
          </w:p>
        </w:tc>
        <w:tc>
          <w:tcPr>
            <w:tcW w:w="1287" w:type="dxa"/>
          </w:tcPr>
          <w:p w14:paraId="5F26ABB2" w14:textId="77777777" w:rsidR="00AE4F2C" w:rsidRPr="00FB32B9" w:rsidRDefault="00AE4F2C" w:rsidP="00FB3A71">
            <w:pPr>
              <w:pStyle w:val="Tablecondensed"/>
            </w:pPr>
            <w:r>
              <w:t>3.2</w:t>
            </w:r>
          </w:p>
        </w:tc>
      </w:tr>
    </w:tbl>
    <w:p w14:paraId="2D823175" w14:textId="6962B494" w:rsidR="00AE4F2C" w:rsidRDefault="00AE4F2C" w:rsidP="00FB3A71">
      <w:pPr>
        <w:pStyle w:val="BodyText"/>
      </w:pPr>
      <w:r>
        <w:t xml:space="preserve">This question required students to outline how the Fundamental Laws aimed to retain the tsar’s powers and authority. Students answered this question </w:t>
      </w:r>
      <w:r w:rsidR="00912E58">
        <w:t>well</w:t>
      </w:r>
      <w:r>
        <w:t xml:space="preserve">. </w:t>
      </w:r>
    </w:p>
    <w:p w14:paraId="76B02D04" w14:textId="77DDBBD5" w:rsidR="00AE4F2C" w:rsidRDefault="00AE4F2C" w:rsidP="00FB3A71">
      <w:pPr>
        <w:pStyle w:val="BodyText"/>
      </w:pPr>
      <w:r>
        <w:t xml:space="preserve">The best responses provided an overview written in full sentences with short, smoothly integrated direct quotes that illustrated the main methods used in the source. Providing an effective overview generally required students to briefly mention </w:t>
      </w:r>
      <w:r w:rsidR="00A113B5">
        <w:t>a range of</w:t>
      </w:r>
      <w:r>
        <w:t xml:space="preserve"> ideas, such as:</w:t>
      </w:r>
    </w:p>
    <w:p w14:paraId="5FBBF8A6" w14:textId="0D51E0EC" w:rsidR="00AE4F2C" w:rsidRPr="00E710C9" w:rsidRDefault="00AE4F2C" w:rsidP="00E710C9">
      <w:pPr>
        <w:pStyle w:val="Bullet"/>
      </w:pPr>
      <w:r w:rsidRPr="00E710C9">
        <w:t xml:space="preserve">suppressing national minorities and affirming the supremacy of the </w:t>
      </w:r>
      <w:r w:rsidR="002D510D">
        <w:t>‘</w:t>
      </w:r>
      <w:r w:rsidRPr="00E710C9">
        <w:t>All-Russian Emperor</w:t>
      </w:r>
      <w:r w:rsidR="002D510D">
        <w:t>’</w:t>
      </w:r>
      <w:r w:rsidRPr="00E710C9">
        <w:t xml:space="preserve"> by declaring Russian alone was </w:t>
      </w:r>
      <w:r w:rsidR="002D510D">
        <w:t>‘</w:t>
      </w:r>
      <w:r w:rsidRPr="00E710C9">
        <w:t>the official state language</w:t>
      </w:r>
      <w:r w:rsidR="002D510D">
        <w:t>’</w:t>
      </w:r>
    </w:p>
    <w:p w14:paraId="493EDE6F" w14:textId="192E7D34" w:rsidR="00AE4F2C" w:rsidRPr="00E710C9" w:rsidRDefault="00AE4F2C" w:rsidP="00E710C9">
      <w:pPr>
        <w:pStyle w:val="Bullet"/>
      </w:pPr>
      <w:r w:rsidRPr="00E710C9">
        <w:t xml:space="preserve">reasserting the tsar’s </w:t>
      </w:r>
      <w:r w:rsidR="002D510D">
        <w:t>‘</w:t>
      </w:r>
      <w:r w:rsidRPr="00E710C9">
        <w:t>supreme autocratic power</w:t>
      </w:r>
      <w:r w:rsidR="002D510D">
        <w:t>’</w:t>
      </w:r>
    </w:p>
    <w:p w14:paraId="0BE811E8" w14:textId="20F49F72" w:rsidR="00AE4F2C" w:rsidRPr="00E710C9" w:rsidRDefault="00AE4F2C" w:rsidP="00E710C9">
      <w:pPr>
        <w:pStyle w:val="Bullet"/>
      </w:pPr>
      <w:r w:rsidRPr="00E710C9">
        <w:t xml:space="preserve">emphasising the tsar’s divine right to rule, as </w:t>
      </w:r>
      <w:r w:rsidR="002D510D">
        <w:t>‘</w:t>
      </w:r>
      <w:r w:rsidRPr="00E710C9">
        <w:t>God himself</w:t>
      </w:r>
      <w:r w:rsidR="00B52589">
        <w:t xml:space="preserve"> </w:t>
      </w:r>
      <w:r w:rsidRPr="00E710C9">
        <w:t>… commands obedience to his authority</w:t>
      </w:r>
      <w:r w:rsidR="002D510D">
        <w:t>’</w:t>
      </w:r>
    </w:p>
    <w:p w14:paraId="6103B2FE" w14:textId="55D97A92" w:rsidR="00AE4F2C" w:rsidRPr="00E710C9" w:rsidRDefault="00AE4F2C" w:rsidP="00E710C9">
      <w:pPr>
        <w:pStyle w:val="Bullet"/>
      </w:pPr>
      <w:r w:rsidRPr="00E710C9">
        <w:t xml:space="preserve">limiting the State Duma’s power by declaring </w:t>
      </w:r>
      <w:r w:rsidR="00B52589">
        <w:t xml:space="preserve">that </w:t>
      </w:r>
      <w:r w:rsidRPr="00E710C9">
        <w:t xml:space="preserve">the tsar possesses </w:t>
      </w:r>
      <w:r w:rsidR="002D510D">
        <w:t>‘</w:t>
      </w:r>
      <w:r w:rsidRPr="00E710C9">
        <w:t>legislative initiative</w:t>
      </w:r>
      <w:r w:rsidR="002D510D">
        <w:t>’</w:t>
      </w:r>
      <w:r w:rsidRPr="00E710C9">
        <w:t xml:space="preserve"> and</w:t>
      </w:r>
      <w:r w:rsidR="006C3C1E">
        <w:t xml:space="preserve"> that</w:t>
      </w:r>
      <w:r w:rsidRPr="00E710C9">
        <w:t xml:space="preserve"> </w:t>
      </w:r>
      <w:r w:rsidR="002D510D">
        <w:t>‘</w:t>
      </w:r>
      <w:r w:rsidRPr="00E710C9">
        <w:t>without his approval no legislative measure can become law</w:t>
      </w:r>
      <w:r w:rsidR="002D510D">
        <w:t>’.</w:t>
      </w:r>
    </w:p>
    <w:p w14:paraId="65F69F93" w14:textId="015DC3BD" w:rsidR="00AE4F2C" w:rsidRDefault="00AE4F2C" w:rsidP="00FB3A71">
      <w:pPr>
        <w:pStyle w:val="BodyText"/>
      </w:pPr>
      <w:r>
        <w:t xml:space="preserve">Limitations </w:t>
      </w:r>
      <w:r w:rsidR="00B52589">
        <w:t xml:space="preserve">that </w:t>
      </w:r>
      <w:r>
        <w:t xml:space="preserve">prevented responses from achieving the highest marks included: </w:t>
      </w:r>
    </w:p>
    <w:p w14:paraId="4154BA6C" w14:textId="5586FB03" w:rsidR="00AE4F2C" w:rsidRDefault="00AE4F2C" w:rsidP="00E710C9">
      <w:pPr>
        <w:pStyle w:val="Bullet"/>
      </w:pPr>
      <w:r>
        <w:t>providing a dot</w:t>
      </w:r>
      <w:r w:rsidR="00B52589">
        <w:t>-</w:t>
      </w:r>
      <w:r>
        <w:t>point list of quotes, with</w:t>
      </w:r>
      <w:r w:rsidR="00474D7B">
        <w:t>out</w:t>
      </w:r>
      <w:r>
        <w:t xml:space="preserve"> attempt</w:t>
      </w:r>
      <w:r w:rsidR="00474D7B">
        <w:t>ing</w:t>
      </w:r>
      <w:r>
        <w:t xml:space="preserve"> to provide a cohesive overview of what these revealed about how the tsar sought to reassert his powers and authority</w:t>
      </w:r>
    </w:p>
    <w:p w14:paraId="6A8089EA" w14:textId="107BCF1F" w:rsidR="00AE4F2C" w:rsidRDefault="00AE4F2C" w:rsidP="00E710C9">
      <w:pPr>
        <w:pStyle w:val="Bullet"/>
      </w:pPr>
      <w:r w:rsidRPr="3D3C8E06">
        <w:t xml:space="preserve">providing detailed evidence from </w:t>
      </w:r>
      <w:r w:rsidR="0043575F">
        <w:t xml:space="preserve">the student’s </w:t>
      </w:r>
      <w:r w:rsidRPr="3D3C8E06">
        <w:t>own knowledge</w:t>
      </w:r>
      <w:r w:rsidR="00B52589">
        <w:t>,</w:t>
      </w:r>
      <w:r w:rsidRPr="3D3C8E06">
        <w:t xml:space="preserve"> which the question did not require</w:t>
      </w:r>
      <w:r>
        <w:t>, which left students with insufficient time and space to give an overview of several ideas from the source</w:t>
      </w:r>
      <w:r w:rsidRPr="3D3C8E06">
        <w:t xml:space="preserve"> </w:t>
      </w:r>
    </w:p>
    <w:p w14:paraId="6037B730" w14:textId="15841160" w:rsidR="00AE4F2C" w:rsidRDefault="00AE4F2C" w:rsidP="00E710C9">
      <w:pPr>
        <w:pStyle w:val="Bullet"/>
      </w:pPr>
      <w:r>
        <w:t>using multiple quotes that illustrate a single idea (</w:t>
      </w:r>
      <w:r w:rsidR="006C3C1E">
        <w:t>such as</w:t>
      </w:r>
      <w:r>
        <w:t xml:space="preserve"> legislative initiative) instead of providing an outline of a range of methods shown in the document</w:t>
      </w:r>
    </w:p>
    <w:p w14:paraId="547B9CD4" w14:textId="27E94685" w:rsidR="00AE4F2C" w:rsidRPr="00AB7998" w:rsidRDefault="00B52589" w:rsidP="00E710C9">
      <w:pPr>
        <w:pStyle w:val="Bullet"/>
      </w:pPr>
      <w:r>
        <w:t xml:space="preserve">using </w:t>
      </w:r>
      <w:r w:rsidR="00AE4F2C" w:rsidRPr="00AB7998">
        <w:t>vague</w:t>
      </w:r>
      <w:r w:rsidR="00AE4F2C">
        <w:t xml:space="preserve">, </w:t>
      </w:r>
      <w:r w:rsidR="00AE4F2C" w:rsidRPr="00AB7998">
        <w:t xml:space="preserve">unclear paraphrasing of the ideas from </w:t>
      </w:r>
      <w:r w:rsidR="00AE4F2C">
        <w:t>the source</w:t>
      </w:r>
    </w:p>
    <w:p w14:paraId="253C5C8A" w14:textId="29C8D3DA" w:rsidR="00AE4F2C" w:rsidRDefault="00B52589" w:rsidP="00E710C9">
      <w:pPr>
        <w:pStyle w:val="Bullet"/>
      </w:pPr>
      <w:r>
        <w:t xml:space="preserve">providing </w:t>
      </w:r>
      <w:r w:rsidR="00AE4F2C" w:rsidRPr="00AB7998">
        <w:t>insufficient detail</w:t>
      </w:r>
      <w:r w:rsidR="00AE4F2C">
        <w:t>.</w:t>
      </w:r>
    </w:p>
    <w:p w14:paraId="17B6E6B6" w14:textId="484A62EA" w:rsidR="00AE4F2C" w:rsidRPr="00896AA7" w:rsidRDefault="00AE4F2C" w:rsidP="00FB3A71">
      <w:pPr>
        <w:pStyle w:val="BodyText"/>
      </w:pPr>
      <w:r w:rsidRPr="00896AA7">
        <w:t xml:space="preserve">The following is a high-scoring response to Question </w:t>
      </w:r>
      <w:r>
        <w:t>3a</w:t>
      </w:r>
      <w:r w:rsidR="00D81463">
        <w:t>.</w:t>
      </w:r>
      <w:r w:rsidRPr="00896AA7">
        <w:t>:</w:t>
      </w:r>
    </w:p>
    <w:p w14:paraId="5EBDA005" w14:textId="72262EE3" w:rsidR="00AE4F2C" w:rsidRPr="00D14E17" w:rsidRDefault="00AE4F2C" w:rsidP="00FB3A71">
      <w:pPr>
        <w:pStyle w:val="Studentresponse"/>
      </w:pPr>
      <w:r w:rsidRPr="00B33D73">
        <w:t>The Fundamental Laws</w:t>
      </w:r>
      <w:r>
        <w:t xml:space="preserve"> (23 April 1906)</w:t>
      </w:r>
      <w:r w:rsidRPr="00B33D73">
        <w:t xml:space="preserve"> aimed to retain the powers of the Tsar through the stipulation that </w:t>
      </w:r>
      <w:r w:rsidR="002D510D">
        <w:t>‘</w:t>
      </w:r>
      <w:r w:rsidRPr="00B33D73">
        <w:t>the Sovereign Emperor enjoys the legislative initiative in all legislative matters</w:t>
      </w:r>
      <w:r w:rsidR="002D510D">
        <w:t>’</w:t>
      </w:r>
      <w:r w:rsidRPr="00B33D73">
        <w:t xml:space="preserve"> (S9) thus giving the Tsar the control to overrule decisions made by the Dumas. The Fundamental Laws also aimed to minimi</w:t>
      </w:r>
      <w:r w:rsidR="00B52589">
        <w:t>s</w:t>
      </w:r>
      <w:r w:rsidRPr="00B33D73">
        <w:t xml:space="preserve">e potential fractures, stating that </w:t>
      </w:r>
      <w:r w:rsidR="002D510D">
        <w:t>‘</w:t>
      </w:r>
      <w:r w:rsidRPr="00B33D73">
        <w:t>the Russian state is unified and indivisible</w:t>
      </w:r>
      <w:r w:rsidR="002D510D">
        <w:t>’</w:t>
      </w:r>
      <w:r w:rsidRPr="00B33D73">
        <w:t xml:space="preserve"> (S9), </w:t>
      </w:r>
      <w:proofErr w:type="gramStart"/>
      <w:r w:rsidRPr="00B33D73">
        <w:t>and also</w:t>
      </w:r>
      <w:proofErr w:type="gramEnd"/>
      <w:r w:rsidRPr="00B33D73">
        <w:t xml:space="preserve"> through emphasi</w:t>
      </w:r>
      <w:r w:rsidR="00B52589">
        <w:t>s</w:t>
      </w:r>
      <w:r w:rsidRPr="00B33D73">
        <w:t xml:space="preserve">ing the Russian national identity through rules such as </w:t>
      </w:r>
      <w:r w:rsidR="002D510D">
        <w:t>‘</w:t>
      </w:r>
      <w:r w:rsidRPr="00B33D73">
        <w:t>the Russian language … is obligatory in the Army</w:t>
      </w:r>
      <w:r w:rsidR="00B52589">
        <w:t xml:space="preserve"> </w:t>
      </w:r>
      <w:r w:rsidRPr="00B33D73">
        <w:t>… and in all</w:t>
      </w:r>
      <w:r w:rsidR="00B52589">
        <w:t xml:space="preserve"> </w:t>
      </w:r>
      <w:r w:rsidRPr="00B33D73">
        <w:t>… institutions</w:t>
      </w:r>
      <w:r w:rsidR="002D510D">
        <w:t>’</w:t>
      </w:r>
      <w:r w:rsidRPr="00B33D73">
        <w:t xml:space="preserve"> (S9). The Fundamental Laws also aimed to destabili</w:t>
      </w:r>
      <w:r w:rsidR="00B52589">
        <w:t>s</w:t>
      </w:r>
      <w:r w:rsidRPr="00B33D73">
        <w:t xml:space="preserve">e the changes … of 1905, as </w:t>
      </w:r>
      <w:r w:rsidR="002D510D">
        <w:t>‘</w:t>
      </w:r>
      <w:r w:rsidRPr="00B33D73">
        <w:t>no legislative matter can become law without the Tsar’s approval</w:t>
      </w:r>
      <w:r w:rsidR="002D510D">
        <w:t>’</w:t>
      </w:r>
      <w:r w:rsidRPr="00B33D73">
        <w:t xml:space="preserve"> (S9), thus retaining his authority.</w:t>
      </w:r>
    </w:p>
    <w:p w14:paraId="2BB0B9BB" w14:textId="77777777" w:rsidR="00AE4F2C" w:rsidRDefault="00AE4F2C" w:rsidP="00AE4F2C">
      <w:pPr>
        <w:rPr>
          <w:rFonts w:ascii="Arial" w:hAnsi="Arial" w:cs="Arial"/>
          <w:color w:val="0F7EB4"/>
          <w:sz w:val="28"/>
          <w:lang w:val="en-AU" w:eastAsia="en-AU"/>
        </w:rPr>
      </w:pPr>
      <w:r>
        <w:rPr>
          <w:lang w:val="en-AU"/>
        </w:rPr>
        <w:br w:type="page"/>
      </w:r>
    </w:p>
    <w:p w14:paraId="35D21393" w14:textId="77777777" w:rsidR="00AE4F2C" w:rsidRDefault="00AE4F2C" w:rsidP="00AE4F2C">
      <w:pPr>
        <w:pStyle w:val="Heading4"/>
      </w:pPr>
      <w:r>
        <w:lastRenderedPageBreak/>
        <w:t>Question 3</w:t>
      </w:r>
      <w:r w:rsidRPr="00896AA7">
        <w:t>b</w:t>
      </w:r>
      <w: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AE4F2C" w:rsidRPr="00FB32B9" w14:paraId="7280C477"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5745C3AB" w14:textId="77777777" w:rsidR="00AE4F2C" w:rsidRPr="00FB32B9" w:rsidRDefault="00AE4F2C" w:rsidP="00FB3A71">
            <w:pPr>
              <w:pStyle w:val="Tablecondensedheading"/>
            </w:pPr>
            <w:r w:rsidRPr="00FB32B9">
              <w:t xml:space="preserve">Marks </w:t>
            </w:r>
          </w:p>
        </w:tc>
        <w:tc>
          <w:tcPr>
            <w:tcW w:w="640" w:type="dxa"/>
          </w:tcPr>
          <w:p w14:paraId="2A706C16" w14:textId="77777777" w:rsidR="00AE4F2C" w:rsidRPr="00FB32B9" w:rsidRDefault="00AE4F2C" w:rsidP="00FB3A71">
            <w:pPr>
              <w:pStyle w:val="Tablecondensedheading"/>
            </w:pPr>
            <w:r w:rsidRPr="00FB32B9">
              <w:t>0</w:t>
            </w:r>
          </w:p>
        </w:tc>
        <w:tc>
          <w:tcPr>
            <w:tcW w:w="640" w:type="dxa"/>
          </w:tcPr>
          <w:p w14:paraId="35EF5039" w14:textId="77777777" w:rsidR="00AE4F2C" w:rsidRPr="00FB32B9" w:rsidRDefault="00AE4F2C" w:rsidP="00FB3A71">
            <w:pPr>
              <w:pStyle w:val="Tablecondensedheading"/>
            </w:pPr>
            <w:r w:rsidRPr="00FB32B9">
              <w:t>1</w:t>
            </w:r>
          </w:p>
        </w:tc>
        <w:tc>
          <w:tcPr>
            <w:tcW w:w="641" w:type="dxa"/>
          </w:tcPr>
          <w:p w14:paraId="38E57871" w14:textId="77777777" w:rsidR="00AE4F2C" w:rsidRPr="00FB32B9" w:rsidRDefault="00AE4F2C" w:rsidP="00FB3A71">
            <w:pPr>
              <w:pStyle w:val="Tablecondensedheading"/>
            </w:pPr>
            <w:r w:rsidRPr="00FB32B9">
              <w:t>2</w:t>
            </w:r>
          </w:p>
        </w:tc>
        <w:tc>
          <w:tcPr>
            <w:tcW w:w="640" w:type="dxa"/>
          </w:tcPr>
          <w:p w14:paraId="564A69CE" w14:textId="77777777" w:rsidR="00AE4F2C" w:rsidRPr="00FB32B9" w:rsidRDefault="00AE4F2C" w:rsidP="00FB3A71">
            <w:pPr>
              <w:pStyle w:val="Tablecondensedheading"/>
            </w:pPr>
            <w:r w:rsidRPr="00FB32B9">
              <w:t>3</w:t>
            </w:r>
          </w:p>
        </w:tc>
        <w:tc>
          <w:tcPr>
            <w:tcW w:w="641" w:type="dxa"/>
          </w:tcPr>
          <w:p w14:paraId="7FC9ED1B" w14:textId="77777777" w:rsidR="00AE4F2C" w:rsidRPr="00FB32B9" w:rsidRDefault="00AE4F2C" w:rsidP="00FB3A71">
            <w:pPr>
              <w:pStyle w:val="Tablecondensedheading"/>
            </w:pPr>
            <w:r w:rsidRPr="00FB32B9">
              <w:t>4</w:t>
            </w:r>
          </w:p>
        </w:tc>
        <w:tc>
          <w:tcPr>
            <w:tcW w:w="640" w:type="dxa"/>
          </w:tcPr>
          <w:p w14:paraId="009A2CE2" w14:textId="77777777" w:rsidR="00AE4F2C" w:rsidRPr="00FB32B9" w:rsidRDefault="00AE4F2C" w:rsidP="00FB3A71">
            <w:pPr>
              <w:pStyle w:val="Tablecondensedheading"/>
            </w:pPr>
            <w:r w:rsidRPr="00FB32B9">
              <w:t>5</w:t>
            </w:r>
          </w:p>
        </w:tc>
        <w:tc>
          <w:tcPr>
            <w:tcW w:w="641" w:type="dxa"/>
          </w:tcPr>
          <w:p w14:paraId="35B8882F" w14:textId="77777777" w:rsidR="00AE4F2C" w:rsidRPr="00FB32B9" w:rsidRDefault="00AE4F2C" w:rsidP="00FB3A71">
            <w:pPr>
              <w:pStyle w:val="Tablecondensedheading"/>
            </w:pPr>
            <w:r w:rsidRPr="00FB32B9">
              <w:t>6</w:t>
            </w:r>
          </w:p>
        </w:tc>
        <w:tc>
          <w:tcPr>
            <w:tcW w:w="640" w:type="dxa"/>
          </w:tcPr>
          <w:p w14:paraId="034D41C1" w14:textId="77777777" w:rsidR="00AE4F2C" w:rsidRPr="00FB32B9" w:rsidRDefault="00AE4F2C" w:rsidP="00FB3A71">
            <w:pPr>
              <w:pStyle w:val="Tablecondensedheading"/>
            </w:pPr>
            <w:r w:rsidRPr="00FB32B9">
              <w:t>7</w:t>
            </w:r>
          </w:p>
        </w:tc>
        <w:tc>
          <w:tcPr>
            <w:tcW w:w="641" w:type="dxa"/>
          </w:tcPr>
          <w:p w14:paraId="45E03D6A" w14:textId="77777777" w:rsidR="00AE4F2C" w:rsidRPr="00FB32B9" w:rsidRDefault="00AE4F2C" w:rsidP="00FB3A71">
            <w:pPr>
              <w:pStyle w:val="Tablecondensedheading"/>
            </w:pPr>
            <w:r w:rsidRPr="00FB32B9">
              <w:t>8</w:t>
            </w:r>
          </w:p>
        </w:tc>
        <w:tc>
          <w:tcPr>
            <w:tcW w:w="640" w:type="dxa"/>
          </w:tcPr>
          <w:p w14:paraId="46A0DD1B" w14:textId="77777777" w:rsidR="00AE4F2C" w:rsidRPr="00FB32B9" w:rsidRDefault="00AE4F2C" w:rsidP="00FB3A71">
            <w:pPr>
              <w:pStyle w:val="Tablecondensedheading"/>
            </w:pPr>
            <w:r w:rsidRPr="00FB32B9">
              <w:t>9</w:t>
            </w:r>
          </w:p>
        </w:tc>
        <w:tc>
          <w:tcPr>
            <w:tcW w:w="641" w:type="dxa"/>
          </w:tcPr>
          <w:p w14:paraId="244F3E3C" w14:textId="77777777" w:rsidR="00AE4F2C" w:rsidRPr="00FB32B9" w:rsidRDefault="00AE4F2C" w:rsidP="00FB3A71">
            <w:pPr>
              <w:pStyle w:val="Tablecondensedheading"/>
            </w:pPr>
            <w:r w:rsidRPr="00FB32B9">
              <w:t>10</w:t>
            </w:r>
          </w:p>
        </w:tc>
        <w:tc>
          <w:tcPr>
            <w:tcW w:w="1083" w:type="dxa"/>
          </w:tcPr>
          <w:p w14:paraId="0F134D14" w14:textId="77777777" w:rsidR="00AE4F2C" w:rsidRPr="00FB32B9" w:rsidRDefault="00AE4F2C" w:rsidP="00FB3A71">
            <w:pPr>
              <w:pStyle w:val="Tablecondensedheading"/>
            </w:pPr>
            <w:r w:rsidRPr="00FB32B9">
              <w:t>Average</w:t>
            </w:r>
          </w:p>
        </w:tc>
      </w:tr>
      <w:tr w:rsidR="00AE4F2C" w:rsidRPr="00FB32B9" w14:paraId="0FFB5E9D" w14:textId="77777777" w:rsidTr="00DF0280">
        <w:trPr>
          <w:trHeight w:val="392"/>
        </w:trPr>
        <w:tc>
          <w:tcPr>
            <w:tcW w:w="893" w:type="dxa"/>
          </w:tcPr>
          <w:p w14:paraId="50FDFF04" w14:textId="77777777" w:rsidR="00AE4F2C" w:rsidRPr="00FB32B9" w:rsidRDefault="00AE4F2C" w:rsidP="00FB3A71">
            <w:pPr>
              <w:pStyle w:val="Tablecondensed"/>
            </w:pPr>
            <w:r w:rsidRPr="00FB32B9">
              <w:t>%</w:t>
            </w:r>
          </w:p>
        </w:tc>
        <w:tc>
          <w:tcPr>
            <w:tcW w:w="640" w:type="dxa"/>
          </w:tcPr>
          <w:p w14:paraId="3B2D2AF9" w14:textId="77777777" w:rsidR="00AE4F2C" w:rsidRPr="00FB32B9" w:rsidRDefault="00AE4F2C" w:rsidP="00FB3A71">
            <w:pPr>
              <w:pStyle w:val="Tablecondensed"/>
            </w:pPr>
            <w:r>
              <w:t>5</w:t>
            </w:r>
          </w:p>
        </w:tc>
        <w:tc>
          <w:tcPr>
            <w:tcW w:w="640" w:type="dxa"/>
          </w:tcPr>
          <w:p w14:paraId="4ED66939" w14:textId="77777777" w:rsidR="00AE4F2C" w:rsidRPr="00FB32B9" w:rsidRDefault="00AE4F2C" w:rsidP="00FB3A71">
            <w:pPr>
              <w:pStyle w:val="Tablecondensed"/>
            </w:pPr>
            <w:r>
              <w:t>4</w:t>
            </w:r>
          </w:p>
        </w:tc>
        <w:tc>
          <w:tcPr>
            <w:tcW w:w="641" w:type="dxa"/>
          </w:tcPr>
          <w:p w14:paraId="128F9696" w14:textId="77777777" w:rsidR="00AE4F2C" w:rsidRPr="00FB32B9" w:rsidRDefault="00AE4F2C" w:rsidP="00FB3A71">
            <w:pPr>
              <w:pStyle w:val="Tablecondensed"/>
            </w:pPr>
            <w:r>
              <w:t>8</w:t>
            </w:r>
          </w:p>
        </w:tc>
        <w:tc>
          <w:tcPr>
            <w:tcW w:w="640" w:type="dxa"/>
          </w:tcPr>
          <w:p w14:paraId="2990BB08" w14:textId="77777777" w:rsidR="00AE4F2C" w:rsidRPr="00FB32B9" w:rsidRDefault="00AE4F2C" w:rsidP="00FB3A71">
            <w:pPr>
              <w:pStyle w:val="Tablecondensed"/>
            </w:pPr>
            <w:r>
              <w:t>16</w:t>
            </w:r>
          </w:p>
        </w:tc>
        <w:tc>
          <w:tcPr>
            <w:tcW w:w="641" w:type="dxa"/>
          </w:tcPr>
          <w:p w14:paraId="3063E0C6" w14:textId="77777777" w:rsidR="00AE4F2C" w:rsidRPr="00FB32B9" w:rsidRDefault="00AE4F2C" w:rsidP="00FB3A71">
            <w:pPr>
              <w:pStyle w:val="Tablecondensed"/>
            </w:pPr>
            <w:r>
              <w:t>19</w:t>
            </w:r>
          </w:p>
        </w:tc>
        <w:tc>
          <w:tcPr>
            <w:tcW w:w="640" w:type="dxa"/>
          </w:tcPr>
          <w:p w14:paraId="02B2CE9F" w14:textId="77777777" w:rsidR="00AE4F2C" w:rsidRPr="00FB32B9" w:rsidRDefault="00AE4F2C" w:rsidP="00FB3A71">
            <w:pPr>
              <w:pStyle w:val="Tablecondensed"/>
            </w:pPr>
            <w:r>
              <w:t>18</w:t>
            </w:r>
          </w:p>
        </w:tc>
        <w:tc>
          <w:tcPr>
            <w:tcW w:w="641" w:type="dxa"/>
          </w:tcPr>
          <w:p w14:paraId="20AD5034" w14:textId="77777777" w:rsidR="00AE4F2C" w:rsidRPr="00FB32B9" w:rsidRDefault="00AE4F2C" w:rsidP="00FB3A71">
            <w:pPr>
              <w:pStyle w:val="Tablecondensed"/>
            </w:pPr>
            <w:r>
              <w:t>13</w:t>
            </w:r>
          </w:p>
        </w:tc>
        <w:tc>
          <w:tcPr>
            <w:tcW w:w="640" w:type="dxa"/>
          </w:tcPr>
          <w:p w14:paraId="33EA9557" w14:textId="77777777" w:rsidR="00AE4F2C" w:rsidRPr="00FB32B9" w:rsidRDefault="00AE4F2C" w:rsidP="00FB3A71">
            <w:pPr>
              <w:pStyle w:val="Tablecondensed"/>
            </w:pPr>
            <w:r>
              <w:t>10</w:t>
            </w:r>
          </w:p>
        </w:tc>
        <w:tc>
          <w:tcPr>
            <w:tcW w:w="641" w:type="dxa"/>
          </w:tcPr>
          <w:p w14:paraId="496FE8CC" w14:textId="77777777" w:rsidR="00AE4F2C" w:rsidRPr="00FB32B9" w:rsidRDefault="00AE4F2C" w:rsidP="00FB3A71">
            <w:pPr>
              <w:pStyle w:val="Tablecondensed"/>
            </w:pPr>
            <w:r>
              <w:t>4</w:t>
            </w:r>
          </w:p>
        </w:tc>
        <w:tc>
          <w:tcPr>
            <w:tcW w:w="640" w:type="dxa"/>
          </w:tcPr>
          <w:p w14:paraId="6542AACE" w14:textId="77777777" w:rsidR="00AE4F2C" w:rsidRPr="00FB32B9" w:rsidRDefault="00AE4F2C" w:rsidP="00FB3A71">
            <w:pPr>
              <w:pStyle w:val="Tablecondensed"/>
            </w:pPr>
            <w:r>
              <w:t>2</w:t>
            </w:r>
          </w:p>
        </w:tc>
        <w:tc>
          <w:tcPr>
            <w:tcW w:w="641" w:type="dxa"/>
          </w:tcPr>
          <w:p w14:paraId="499F92BA" w14:textId="77777777" w:rsidR="00AE4F2C" w:rsidRPr="00FB32B9" w:rsidRDefault="00AE4F2C" w:rsidP="00FB3A71">
            <w:pPr>
              <w:pStyle w:val="Tablecondensed"/>
            </w:pPr>
            <w:r>
              <w:t>0.5</w:t>
            </w:r>
          </w:p>
        </w:tc>
        <w:tc>
          <w:tcPr>
            <w:tcW w:w="1083" w:type="dxa"/>
          </w:tcPr>
          <w:p w14:paraId="09CCC702" w14:textId="119575C7" w:rsidR="00AE4F2C" w:rsidRPr="00FB32B9" w:rsidRDefault="00AE4F2C" w:rsidP="00FB3A71">
            <w:pPr>
              <w:pStyle w:val="Tablecondensed"/>
            </w:pPr>
            <w:r>
              <w:t>4.</w:t>
            </w:r>
            <w:r w:rsidR="00604C6E">
              <w:t>4</w:t>
            </w:r>
          </w:p>
        </w:tc>
      </w:tr>
    </w:tbl>
    <w:p w14:paraId="39695A11" w14:textId="77777777" w:rsidR="00AE4F2C" w:rsidRDefault="00AE4F2C" w:rsidP="00FB3A71">
      <w:pPr>
        <w:pStyle w:val="BodyText"/>
      </w:pPr>
      <w:r>
        <w:t>This question required students to evaluate the role played by Alexander Kerensky in the Bolshevik seizure of power in October 1917.</w:t>
      </w:r>
    </w:p>
    <w:p w14:paraId="19B11E63" w14:textId="2DD4184E" w:rsidR="00AE4F2C" w:rsidRDefault="00AE4F2C" w:rsidP="00FB3A71">
      <w:pPr>
        <w:pStyle w:val="BodyText"/>
      </w:pPr>
      <w:r>
        <w:t xml:space="preserve">Most students were able to use the information provided </w:t>
      </w:r>
      <w:r w:rsidR="0012383A">
        <w:t xml:space="preserve">in </w:t>
      </w:r>
      <w:r>
        <w:t xml:space="preserve">Source 10 to argue that Kerensky was complacent and ignored warnings of Bolshevik plans for an uprising. Many students also argued </w:t>
      </w:r>
      <w:r w:rsidR="00470204">
        <w:t xml:space="preserve">that </w:t>
      </w:r>
      <w:r>
        <w:t>Kerensky’s role was only significant when considered in relation to factors that explain the rise of the Bolsheviks, which was a valid approach to this question.</w:t>
      </w:r>
    </w:p>
    <w:p w14:paraId="3AE77822" w14:textId="77777777" w:rsidR="00AE4F2C" w:rsidRDefault="00AE4F2C" w:rsidP="00FB3A71">
      <w:pPr>
        <w:pStyle w:val="BodyText"/>
      </w:pPr>
      <w:r>
        <w:t>High-scoring responses to this question tended to:</w:t>
      </w:r>
    </w:p>
    <w:p w14:paraId="5CF884B8" w14:textId="3A1FE84C" w:rsidR="00AE4F2C" w:rsidRDefault="00AE4F2C" w:rsidP="00E710C9">
      <w:pPr>
        <w:pStyle w:val="Bullet"/>
      </w:pPr>
      <w:r>
        <w:t>form and justify a judg</w:t>
      </w:r>
      <w:r w:rsidR="0012383A">
        <w:t>e</w:t>
      </w:r>
      <w:r>
        <w:t>ment of what specific role Kerensky played</w:t>
      </w:r>
    </w:p>
    <w:p w14:paraId="450874EA" w14:textId="666CC54A" w:rsidR="00AE4F2C" w:rsidRDefault="00AE4F2C" w:rsidP="00E710C9">
      <w:pPr>
        <w:pStyle w:val="Bullet"/>
      </w:pPr>
      <w:r w:rsidRPr="54EA4563">
        <w:t xml:space="preserve">use smoothly integrated direct quotes from Source 10 as a ‘springboard’ for a line of argument </w:t>
      </w:r>
      <w:r w:rsidR="00470204">
        <w:t>and</w:t>
      </w:r>
      <w:r w:rsidR="00470204" w:rsidRPr="54EA4563">
        <w:t xml:space="preserve"> </w:t>
      </w:r>
      <w:r w:rsidRPr="54EA4563">
        <w:t>then move beyond the source to explore a range of evidence from the student’s own knowledge</w:t>
      </w:r>
    </w:p>
    <w:p w14:paraId="707A0853" w14:textId="75D996B3" w:rsidR="00AE4F2C" w:rsidRDefault="00AE4F2C" w:rsidP="00E710C9">
      <w:pPr>
        <w:pStyle w:val="Bullet"/>
      </w:pPr>
      <w:r>
        <w:t xml:space="preserve">analyse a range of decisions made by Kerensky and how these enabled the rise of the Bolsheviks, such as launching the failed June Offensive, mishandling the Kornilov Affair and mishandling the events of October 1917 </w:t>
      </w:r>
    </w:p>
    <w:p w14:paraId="149E57C2" w14:textId="0CA518F8" w:rsidR="00AE4F2C" w:rsidRDefault="00AE4F2C" w:rsidP="00E710C9">
      <w:pPr>
        <w:pStyle w:val="Bullet"/>
      </w:pPr>
      <w:r>
        <w:t xml:space="preserve">support </w:t>
      </w:r>
      <w:r w:rsidR="0012383A">
        <w:t xml:space="preserve">their arguments </w:t>
      </w:r>
      <w:r>
        <w:t>with a diverse range of evidence, such as casualty statistics from the June Offensive, details of how Kerensky appealed to the Petrograd Soviet for assistance during the Kornilov Affair or quotes from contemporary figures and historians</w:t>
      </w:r>
    </w:p>
    <w:p w14:paraId="19996DD8" w14:textId="34BB94E5" w:rsidR="00AE4F2C" w:rsidRDefault="00AE4F2C" w:rsidP="00E710C9">
      <w:pPr>
        <w:pStyle w:val="Bullet"/>
      </w:pPr>
      <w:r>
        <w:t xml:space="preserve">weigh up the relative importance of Kerensky’s actions against other possible causes, such as the breakdown of authority and discipline in the army after the February Revolution, the popularity of Bolshevik ideas in Petrograd and the roles of </w:t>
      </w:r>
      <w:r w:rsidR="0012383A">
        <w:t xml:space="preserve">Vladimir </w:t>
      </w:r>
      <w:r>
        <w:t xml:space="preserve">Lenin and </w:t>
      </w:r>
      <w:r w:rsidR="0012383A">
        <w:t xml:space="preserve">Leon </w:t>
      </w:r>
      <w:r>
        <w:t>Trotsky</w:t>
      </w:r>
    </w:p>
    <w:p w14:paraId="2E17AC12" w14:textId="77777777" w:rsidR="00AE4F2C" w:rsidRDefault="00AE4F2C" w:rsidP="00E710C9">
      <w:pPr>
        <w:pStyle w:val="Bullet"/>
      </w:pPr>
      <w:r>
        <w:t>link all points to the Bolshevik seizure of power in October 1917, explaining how Kerensky’s actions should or should not be considered highly significant causes of the Bolsheviks’ success.</w:t>
      </w:r>
    </w:p>
    <w:p w14:paraId="5D30F5A5" w14:textId="741CCD6A" w:rsidR="00AE4F2C" w:rsidRDefault="0043575F" w:rsidP="00FB3A71">
      <w:pPr>
        <w:pStyle w:val="BodyText"/>
      </w:pPr>
      <w:r>
        <w:t xml:space="preserve">Limitations that prevented </w:t>
      </w:r>
      <w:r w:rsidR="00AE4F2C">
        <w:t>responses</w:t>
      </w:r>
      <w:r>
        <w:t xml:space="preserve"> from achieving the highest marks</w:t>
      </w:r>
      <w:r w:rsidR="00AE4F2C">
        <w:t xml:space="preserve"> included:</w:t>
      </w:r>
    </w:p>
    <w:p w14:paraId="3A4CA33E" w14:textId="756BCDA9" w:rsidR="00AE4F2C" w:rsidRPr="00E710C9" w:rsidRDefault="00AE4F2C" w:rsidP="00E710C9">
      <w:pPr>
        <w:pStyle w:val="Bullet"/>
      </w:pPr>
      <w:r w:rsidRPr="00E710C9">
        <w:t>rel</w:t>
      </w:r>
      <w:r w:rsidR="009E391D">
        <w:t>ying too much</w:t>
      </w:r>
      <w:r w:rsidRPr="00E710C9">
        <w:t xml:space="preserve"> on evidence from Source 10</w:t>
      </w:r>
    </w:p>
    <w:p w14:paraId="291F555F" w14:textId="43BDC4BB" w:rsidR="00AE4F2C" w:rsidRPr="00E710C9" w:rsidRDefault="00AE4F2C" w:rsidP="00E710C9">
      <w:pPr>
        <w:pStyle w:val="Bullet"/>
      </w:pPr>
      <w:r w:rsidRPr="00E710C9">
        <w:t>focus</w:t>
      </w:r>
      <w:r w:rsidR="009E391D">
        <w:t>ing</w:t>
      </w:r>
      <w:r w:rsidRPr="00E710C9">
        <w:t xml:space="preserve"> </w:t>
      </w:r>
      <w:r w:rsidR="009E391D" w:rsidRPr="00E710C9">
        <w:t>excessive</w:t>
      </w:r>
      <w:r w:rsidR="009E391D">
        <w:t>ly</w:t>
      </w:r>
      <w:r w:rsidR="009E391D" w:rsidRPr="00E710C9">
        <w:t xml:space="preserve"> </w:t>
      </w:r>
      <w:r w:rsidRPr="00E710C9">
        <w:t xml:space="preserve">on the events of October 1917, with no consideration given to earlier developments </w:t>
      </w:r>
    </w:p>
    <w:p w14:paraId="321ADACE" w14:textId="20804B2A" w:rsidR="00AE4F2C" w:rsidRPr="00E710C9" w:rsidRDefault="0012383A" w:rsidP="00E710C9">
      <w:pPr>
        <w:pStyle w:val="Bullet"/>
      </w:pPr>
      <w:r w:rsidRPr="00E710C9">
        <w:t>narrati</w:t>
      </w:r>
      <w:r>
        <w:t>ng</w:t>
      </w:r>
      <w:r w:rsidR="00AE4F2C" w:rsidRPr="00E710C9">
        <w:t xml:space="preserve"> the events of 1917, with</w:t>
      </w:r>
      <w:r w:rsidR="00474D7B">
        <w:t>out</w:t>
      </w:r>
      <w:r w:rsidR="00AE4F2C" w:rsidRPr="00E710C9">
        <w:t xml:space="preserve"> attempt</w:t>
      </w:r>
      <w:r w:rsidR="00474D7B">
        <w:t>ing</w:t>
      </w:r>
      <w:r w:rsidR="00AE4F2C" w:rsidRPr="00E710C9">
        <w:t xml:space="preserve"> to offer a judg</w:t>
      </w:r>
      <w:r>
        <w:t>e</w:t>
      </w:r>
      <w:r w:rsidR="00AE4F2C" w:rsidRPr="00E710C9">
        <w:t>ment of Kerensky’s importance and/or</w:t>
      </w:r>
      <w:r>
        <w:t xml:space="preserve"> making</w:t>
      </w:r>
      <w:r w:rsidR="00AE4F2C" w:rsidRPr="00E710C9">
        <w:t xml:space="preserve"> no attempt to establish causal links to the Bolshevik seizure of power.</w:t>
      </w:r>
    </w:p>
    <w:p w14:paraId="4B48DAA4" w14:textId="68C19840" w:rsidR="00AE4F2C" w:rsidRPr="00896AA7" w:rsidRDefault="00AE4F2C" w:rsidP="00FB3A71">
      <w:pPr>
        <w:pStyle w:val="BodyText"/>
      </w:pPr>
      <w:r w:rsidRPr="00896AA7">
        <w:t xml:space="preserve">The following is a high-scoring response to Question </w:t>
      </w:r>
      <w:r>
        <w:t>3b</w:t>
      </w:r>
      <w:r w:rsidR="00D81463">
        <w:t>.</w:t>
      </w:r>
      <w:r w:rsidRPr="00896AA7">
        <w:t>:</w:t>
      </w:r>
    </w:p>
    <w:p w14:paraId="44F89C32" w14:textId="77777777" w:rsidR="00AE4F2C" w:rsidRDefault="00AE4F2C" w:rsidP="00FB3A71">
      <w:pPr>
        <w:pStyle w:val="Studentresponse"/>
      </w:pPr>
      <w:r>
        <w:t xml:space="preserve">Alexander Kerensky played a crucial role in the Bolshevik seizure of power in October 1917, due to his incompetent leadership, causing the Russian populace and military to support the Bolsheviks rather than his Provisional Government. </w:t>
      </w:r>
    </w:p>
    <w:p w14:paraId="108D031B" w14:textId="4C5F08C8" w:rsidR="00AE4F2C" w:rsidRDefault="00AE4F2C" w:rsidP="00FB3A71">
      <w:pPr>
        <w:pStyle w:val="Studentresponse"/>
      </w:pPr>
      <w:r>
        <w:t xml:space="preserve">Firstly, Kerensky’s poor decision to launch the disastrous June Offensive (Jun 1917) against Germany (in a bid to revitalise the military’s patriotism) was crucial in providing the Bolsheviks the military support they required to seize power in October. The offensive against Germany was a total failure, with 400 000 soldiers killed, 400 000 deserting and 48 battalions mutinying. As Source 10 explains, </w:t>
      </w:r>
      <w:r w:rsidR="002D510D">
        <w:t>‘</w:t>
      </w:r>
      <w:r>
        <w:t>the army was incapable of fighting</w:t>
      </w:r>
      <w:r w:rsidR="0056798A">
        <w:t>’</w:t>
      </w:r>
      <w:r>
        <w:t>, due to lack of morale, and unwillingness to support the Provisional Government, which led to soldiers joining the Bolsheviks’ Military Revolutionary Committee, key to the party’s swift seizure of the Winter Palace in Oct 1917. Importantly, however, Lenin’s role as an opposing leader to Kerensky, and his promise of ‘peace’ to the war-weary soldiers of World War I (1914</w:t>
      </w:r>
      <w:r w:rsidR="00470204">
        <w:t>–</w:t>
      </w:r>
      <w:r>
        <w:t xml:space="preserve">1918) also contributed to the Bolsheviks securing the military support necessary for their seizure of power. </w:t>
      </w:r>
    </w:p>
    <w:p w14:paraId="0CBCED97" w14:textId="3668753F" w:rsidR="00AE4F2C" w:rsidRDefault="00AE4F2C" w:rsidP="00FB3A71">
      <w:pPr>
        <w:pStyle w:val="Studentresponse"/>
      </w:pPr>
      <w:r>
        <w:t xml:space="preserve">As well as military support, Kerensky’s inept leadership, demonstrated by his impotency during the Kornilov Affair (Aug 1918) was also important to the Bolsheviks securing the popular support and </w:t>
      </w:r>
      <w:r>
        <w:lastRenderedPageBreak/>
        <w:t xml:space="preserve">military capacity necessary to seizing power. Believing General Kornilov was advancing his 15 000 troops on Petrograd to overthrow the Provisional Government, Kerensky, who had </w:t>
      </w:r>
      <w:r w:rsidR="002D510D">
        <w:t>‘</w:t>
      </w:r>
      <w:r>
        <w:t>authority but no power</w:t>
      </w:r>
      <w:r w:rsidR="002D510D">
        <w:t>’</w:t>
      </w:r>
      <w:r>
        <w:t xml:space="preserve"> (Kerensky) released Bolsheviks from prison and armed them with 40 000 guns. This reliance on the Bolsheviks to defend the capital humiliated his </w:t>
      </w:r>
      <w:proofErr w:type="gramStart"/>
      <w:r>
        <w:t>government, and</w:t>
      </w:r>
      <w:proofErr w:type="gramEnd"/>
      <w:r>
        <w:t xml:space="preserve"> tarnished his reputation in the eyes of the Russian people. Thus, his poor handling of the Kornilov Affair provided the Bolsheviks with the popular support and arms necessary to seize power in Oct 1917. </w:t>
      </w:r>
    </w:p>
    <w:p w14:paraId="46F377F9" w14:textId="73291D20" w:rsidR="00AE4F2C" w:rsidRDefault="00AE4F2C" w:rsidP="00FB3A71">
      <w:pPr>
        <w:pStyle w:val="Studentresponse"/>
      </w:pPr>
      <w:r>
        <w:t xml:space="preserve">Finally, Kerensky’s pre-emptive attack of Bolshevik headquarters (23 Oct 1917) was ultimately the trigger which the Bolsheviks used to justify their seizure of power in Oct 1917. Kerensky promised that </w:t>
      </w:r>
      <w:r w:rsidR="002D510D">
        <w:t>‘</w:t>
      </w:r>
      <w:r>
        <w:t>he would put them down</w:t>
      </w:r>
      <w:r w:rsidR="002D510D">
        <w:t>’</w:t>
      </w:r>
      <w:r>
        <w:t xml:space="preserve"> if the Bolsheviks threatened revolution. So, when the Bolsheviks released a notice of an imminent overthrow of the Provisional Government, Kerensky launched a pre-emptive offensive, shutting down Bolshevik newspapers. This gave Lenin and the Bolsheviks the excuse to defend the socialist </w:t>
      </w:r>
      <w:proofErr w:type="gramStart"/>
      <w:r>
        <w:t>revolution, and</w:t>
      </w:r>
      <w:proofErr w:type="gramEnd"/>
      <w:r>
        <w:t xml:space="preserve"> ultimately triggered their seizure of power in late October 1917.</w:t>
      </w:r>
    </w:p>
    <w:p w14:paraId="054E5531" w14:textId="77777777" w:rsidR="00AE4F2C" w:rsidRDefault="00AE4F2C" w:rsidP="00AE4F2C">
      <w:pPr>
        <w:pStyle w:val="Heading4"/>
      </w:pPr>
      <w:r>
        <w:t>Question 3</w:t>
      </w:r>
      <w:r w:rsidRPr="00896AA7">
        <w:t>c</w:t>
      </w:r>
      <w: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AE4F2C" w:rsidRPr="00FB32B9" w14:paraId="00F23AB1"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left w:val="single" w:sz="4" w:space="0" w:color="000000"/>
              <w:bottom w:val="single" w:sz="4" w:space="0" w:color="000000"/>
            </w:tcBorders>
            <w:hideMark/>
          </w:tcPr>
          <w:p w14:paraId="2926E217" w14:textId="77777777" w:rsidR="00AE4F2C" w:rsidRPr="00FB32B9" w:rsidRDefault="00AE4F2C" w:rsidP="00FB3A71">
            <w:pPr>
              <w:pStyle w:val="Tablecondensedheading"/>
            </w:pPr>
            <w:r w:rsidRPr="00FB32B9">
              <w:t xml:space="preserve">Marks </w:t>
            </w:r>
          </w:p>
        </w:tc>
        <w:tc>
          <w:tcPr>
            <w:tcW w:w="578" w:type="dxa"/>
            <w:tcBorders>
              <w:top w:val="single" w:sz="4" w:space="0" w:color="000000"/>
              <w:bottom w:val="single" w:sz="4" w:space="0" w:color="000000"/>
            </w:tcBorders>
            <w:hideMark/>
          </w:tcPr>
          <w:p w14:paraId="53BC430D" w14:textId="77777777" w:rsidR="00AE4F2C" w:rsidRPr="00FB32B9" w:rsidRDefault="00AE4F2C" w:rsidP="00FB3A71">
            <w:pPr>
              <w:pStyle w:val="Tablecondensedheading"/>
            </w:pPr>
            <w:r w:rsidRPr="00FB32B9">
              <w:t>0</w:t>
            </w:r>
          </w:p>
        </w:tc>
        <w:tc>
          <w:tcPr>
            <w:tcW w:w="578" w:type="dxa"/>
            <w:tcBorders>
              <w:top w:val="single" w:sz="4" w:space="0" w:color="000000"/>
              <w:bottom w:val="single" w:sz="4" w:space="0" w:color="000000"/>
            </w:tcBorders>
            <w:hideMark/>
          </w:tcPr>
          <w:p w14:paraId="78653A7D" w14:textId="77777777" w:rsidR="00AE4F2C" w:rsidRPr="00FB32B9" w:rsidRDefault="00AE4F2C" w:rsidP="00FB3A71">
            <w:pPr>
              <w:pStyle w:val="Tablecondensedheading"/>
            </w:pPr>
            <w:r w:rsidRPr="00FB32B9">
              <w:t>1</w:t>
            </w:r>
          </w:p>
        </w:tc>
        <w:tc>
          <w:tcPr>
            <w:tcW w:w="578" w:type="dxa"/>
            <w:tcBorders>
              <w:top w:val="single" w:sz="4" w:space="0" w:color="000000"/>
              <w:bottom w:val="single" w:sz="4" w:space="0" w:color="000000"/>
            </w:tcBorders>
            <w:hideMark/>
          </w:tcPr>
          <w:p w14:paraId="5E81B569" w14:textId="77777777" w:rsidR="00AE4F2C" w:rsidRPr="00FB32B9" w:rsidRDefault="00AE4F2C" w:rsidP="00FB3A71">
            <w:pPr>
              <w:pStyle w:val="Tablecondensedheading"/>
            </w:pPr>
            <w:r w:rsidRPr="00FB32B9">
              <w:t>2</w:t>
            </w:r>
          </w:p>
        </w:tc>
        <w:tc>
          <w:tcPr>
            <w:tcW w:w="578" w:type="dxa"/>
            <w:tcBorders>
              <w:top w:val="single" w:sz="4" w:space="0" w:color="000000"/>
              <w:bottom w:val="single" w:sz="4" w:space="0" w:color="000000"/>
            </w:tcBorders>
            <w:hideMark/>
          </w:tcPr>
          <w:p w14:paraId="31195B7B" w14:textId="77777777" w:rsidR="00AE4F2C" w:rsidRPr="00FB32B9" w:rsidRDefault="00AE4F2C" w:rsidP="00FB3A71">
            <w:pPr>
              <w:pStyle w:val="Tablecondensedheading"/>
            </w:pPr>
            <w:r w:rsidRPr="00FB32B9">
              <w:t>3</w:t>
            </w:r>
          </w:p>
        </w:tc>
        <w:tc>
          <w:tcPr>
            <w:tcW w:w="578" w:type="dxa"/>
            <w:tcBorders>
              <w:top w:val="single" w:sz="4" w:space="0" w:color="000000"/>
              <w:bottom w:val="single" w:sz="4" w:space="0" w:color="000000"/>
            </w:tcBorders>
          </w:tcPr>
          <w:p w14:paraId="34D74B76" w14:textId="77777777" w:rsidR="00AE4F2C" w:rsidRPr="00FB32B9" w:rsidRDefault="00AE4F2C" w:rsidP="00FB3A71">
            <w:pPr>
              <w:pStyle w:val="Tablecondensedheading"/>
            </w:pPr>
            <w:r w:rsidRPr="00FB32B9">
              <w:t>4</w:t>
            </w:r>
          </w:p>
        </w:tc>
        <w:tc>
          <w:tcPr>
            <w:tcW w:w="578" w:type="dxa"/>
            <w:tcBorders>
              <w:top w:val="single" w:sz="4" w:space="0" w:color="000000"/>
              <w:bottom w:val="single" w:sz="4" w:space="0" w:color="000000"/>
            </w:tcBorders>
          </w:tcPr>
          <w:p w14:paraId="4276B62C" w14:textId="77777777" w:rsidR="00AE4F2C" w:rsidRPr="00FB32B9" w:rsidRDefault="00AE4F2C" w:rsidP="00FB3A71">
            <w:pPr>
              <w:pStyle w:val="Tablecondensedheading"/>
            </w:pPr>
            <w:r w:rsidRPr="00FB32B9">
              <w:t>5</w:t>
            </w:r>
          </w:p>
        </w:tc>
        <w:tc>
          <w:tcPr>
            <w:tcW w:w="578" w:type="dxa"/>
            <w:tcBorders>
              <w:top w:val="single" w:sz="4" w:space="0" w:color="000000"/>
              <w:bottom w:val="single" w:sz="4" w:space="0" w:color="000000"/>
            </w:tcBorders>
          </w:tcPr>
          <w:p w14:paraId="5F379AB0" w14:textId="77777777" w:rsidR="00AE4F2C" w:rsidRPr="00FB32B9" w:rsidRDefault="00AE4F2C" w:rsidP="00FB3A71">
            <w:pPr>
              <w:pStyle w:val="Tablecondensedheading"/>
            </w:pPr>
            <w:r w:rsidRPr="00FB32B9">
              <w:t>6</w:t>
            </w:r>
          </w:p>
        </w:tc>
        <w:tc>
          <w:tcPr>
            <w:tcW w:w="1287" w:type="dxa"/>
            <w:tcBorders>
              <w:top w:val="single" w:sz="4" w:space="0" w:color="000000"/>
              <w:bottom w:val="single" w:sz="4" w:space="0" w:color="000000"/>
              <w:right w:val="single" w:sz="4" w:space="0" w:color="000000"/>
            </w:tcBorders>
            <w:hideMark/>
          </w:tcPr>
          <w:p w14:paraId="73363092" w14:textId="77777777" w:rsidR="00AE4F2C" w:rsidRPr="00FB32B9" w:rsidRDefault="00AE4F2C" w:rsidP="00FB3A71">
            <w:pPr>
              <w:pStyle w:val="Tablecondensedheading"/>
            </w:pPr>
            <w:r w:rsidRPr="00FB32B9">
              <w:t>Average</w:t>
            </w:r>
          </w:p>
        </w:tc>
      </w:tr>
      <w:tr w:rsidR="00AE4F2C" w:rsidRPr="00FB32B9" w14:paraId="61FCD29F" w14:textId="77777777" w:rsidTr="00DF0280">
        <w:trPr>
          <w:trHeight w:val="392"/>
        </w:trPr>
        <w:tc>
          <w:tcPr>
            <w:tcW w:w="691" w:type="dxa"/>
            <w:tcBorders>
              <w:top w:val="single" w:sz="4" w:space="0" w:color="000000"/>
              <w:left w:val="single" w:sz="4" w:space="0" w:color="000000"/>
              <w:bottom w:val="single" w:sz="4" w:space="0" w:color="000000"/>
              <w:right w:val="single" w:sz="4" w:space="0" w:color="000000"/>
            </w:tcBorders>
            <w:hideMark/>
          </w:tcPr>
          <w:p w14:paraId="67C25045" w14:textId="77777777" w:rsidR="00AE4F2C" w:rsidRPr="00FB32B9" w:rsidRDefault="00AE4F2C" w:rsidP="00FB3A71">
            <w:pPr>
              <w:pStyle w:val="Tablecondensed"/>
            </w:pPr>
            <w:r w:rsidRPr="00FB32B9">
              <w:t>%</w:t>
            </w:r>
          </w:p>
        </w:tc>
        <w:tc>
          <w:tcPr>
            <w:tcW w:w="578" w:type="dxa"/>
            <w:tcBorders>
              <w:top w:val="single" w:sz="4" w:space="0" w:color="000000"/>
              <w:left w:val="single" w:sz="4" w:space="0" w:color="000000"/>
              <w:bottom w:val="single" w:sz="4" w:space="0" w:color="000000"/>
              <w:right w:val="single" w:sz="4" w:space="0" w:color="000000"/>
            </w:tcBorders>
          </w:tcPr>
          <w:p w14:paraId="248E5B35" w14:textId="77777777" w:rsidR="00AE4F2C" w:rsidRPr="00FB32B9" w:rsidRDefault="00AE4F2C" w:rsidP="00FB3A71">
            <w:pPr>
              <w:pStyle w:val="Tablecondensed"/>
            </w:pPr>
            <w:r>
              <w:t>3</w:t>
            </w:r>
          </w:p>
        </w:tc>
        <w:tc>
          <w:tcPr>
            <w:tcW w:w="578" w:type="dxa"/>
            <w:tcBorders>
              <w:top w:val="single" w:sz="4" w:space="0" w:color="000000"/>
              <w:left w:val="single" w:sz="4" w:space="0" w:color="000000"/>
              <w:bottom w:val="single" w:sz="4" w:space="0" w:color="000000"/>
              <w:right w:val="single" w:sz="4" w:space="0" w:color="000000"/>
            </w:tcBorders>
          </w:tcPr>
          <w:p w14:paraId="044DD407" w14:textId="77777777" w:rsidR="00AE4F2C" w:rsidRPr="00FB32B9" w:rsidRDefault="00AE4F2C" w:rsidP="00FB3A71">
            <w:pPr>
              <w:pStyle w:val="Tablecondensed"/>
            </w:pPr>
            <w:r>
              <w:t>4</w:t>
            </w:r>
          </w:p>
        </w:tc>
        <w:tc>
          <w:tcPr>
            <w:tcW w:w="578" w:type="dxa"/>
            <w:tcBorders>
              <w:top w:val="single" w:sz="4" w:space="0" w:color="000000"/>
              <w:left w:val="single" w:sz="4" w:space="0" w:color="000000"/>
              <w:bottom w:val="single" w:sz="4" w:space="0" w:color="000000"/>
              <w:right w:val="single" w:sz="4" w:space="0" w:color="000000"/>
            </w:tcBorders>
          </w:tcPr>
          <w:p w14:paraId="38CBC6DE" w14:textId="77777777" w:rsidR="00AE4F2C" w:rsidRPr="00FB32B9" w:rsidRDefault="00AE4F2C" w:rsidP="00FB3A71">
            <w:pPr>
              <w:pStyle w:val="Tablecondensed"/>
            </w:pPr>
            <w:r>
              <w:t>25</w:t>
            </w:r>
          </w:p>
        </w:tc>
        <w:tc>
          <w:tcPr>
            <w:tcW w:w="578" w:type="dxa"/>
            <w:tcBorders>
              <w:top w:val="single" w:sz="4" w:space="0" w:color="000000"/>
              <w:left w:val="single" w:sz="4" w:space="0" w:color="000000"/>
              <w:bottom w:val="single" w:sz="4" w:space="0" w:color="000000"/>
              <w:right w:val="single" w:sz="4" w:space="0" w:color="000000"/>
            </w:tcBorders>
          </w:tcPr>
          <w:p w14:paraId="7C990092" w14:textId="77777777" w:rsidR="00AE4F2C" w:rsidRPr="00FB32B9" w:rsidRDefault="00AE4F2C" w:rsidP="00FB3A71">
            <w:pPr>
              <w:pStyle w:val="Tablecondensed"/>
            </w:pPr>
            <w:r>
              <w:t>37</w:t>
            </w:r>
          </w:p>
        </w:tc>
        <w:tc>
          <w:tcPr>
            <w:tcW w:w="578" w:type="dxa"/>
            <w:tcBorders>
              <w:top w:val="single" w:sz="4" w:space="0" w:color="000000"/>
              <w:left w:val="single" w:sz="4" w:space="0" w:color="000000"/>
              <w:bottom w:val="single" w:sz="4" w:space="0" w:color="000000"/>
              <w:right w:val="single" w:sz="4" w:space="0" w:color="000000"/>
            </w:tcBorders>
          </w:tcPr>
          <w:p w14:paraId="14B7DDA6" w14:textId="77777777" w:rsidR="00AE4F2C" w:rsidRPr="00FB32B9" w:rsidRDefault="00AE4F2C" w:rsidP="00FB3A71">
            <w:pPr>
              <w:pStyle w:val="Tablecondensed"/>
            </w:pPr>
            <w:r>
              <w:t>21</w:t>
            </w:r>
          </w:p>
        </w:tc>
        <w:tc>
          <w:tcPr>
            <w:tcW w:w="578" w:type="dxa"/>
            <w:tcBorders>
              <w:top w:val="single" w:sz="4" w:space="0" w:color="000000"/>
              <w:left w:val="single" w:sz="4" w:space="0" w:color="000000"/>
              <w:bottom w:val="single" w:sz="4" w:space="0" w:color="000000"/>
              <w:right w:val="single" w:sz="4" w:space="0" w:color="000000"/>
            </w:tcBorders>
          </w:tcPr>
          <w:p w14:paraId="6CBEDF7A" w14:textId="77777777" w:rsidR="00AE4F2C" w:rsidRPr="00FB32B9" w:rsidRDefault="00AE4F2C" w:rsidP="00FB3A71">
            <w:pPr>
              <w:pStyle w:val="Tablecondensed"/>
            </w:pPr>
            <w:r>
              <w:t>9</w:t>
            </w:r>
          </w:p>
        </w:tc>
        <w:tc>
          <w:tcPr>
            <w:tcW w:w="578" w:type="dxa"/>
            <w:tcBorders>
              <w:top w:val="single" w:sz="4" w:space="0" w:color="000000"/>
              <w:left w:val="single" w:sz="4" w:space="0" w:color="000000"/>
              <w:bottom w:val="single" w:sz="4" w:space="0" w:color="000000"/>
              <w:right w:val="single" w:sz="4" w:space="0" w:color="000000"/>
            </w:tcBorders>
          </w:tcPr>
          <w:p w14:paraId="719031AB" w14:textId="77777777" w:rsidR="00AE4F2C" w:rsidRPr="00FB32B9" w:rsidRDefault="00AE4F2C" w:rsidP="00FB3A71">
            <w:pPr>
              <w:pStyle w:val="Tablecondensed"/>
            </w:pPr>
            <w:r>
              <w:t>2</w:t>
            </w:r>
          </w:p>
        </w:tc>
        <w:tc>
          <w:tcPr>
            <w:tcW w:w="1287" w:type="dxa"/>
            <w:tcBorders>
              <w:top w:val="single" w:sz="4" w:space="0" w:color="000000"/>
              <w:left w:val="single" w:sz="4" w:space="0" w:color="000000"/>
              <w:bottom w:val="single" w:sz="4" w:space="0" w:color="000000"/>
              <w:right w:val="single" w:sz="4" w:space="0" w:color="000000"/>
            </w:tcBorders>
          </w:tcPr>
          <w:p w14:paraId="43CE721E" w14:textId="747B3FDA" w:rsidR="00AE4F2C" w:rsidRPr="00FB32B9" w:rsidRDefault="00604C6E" w:rsidP="00FB3A71">
            <w:pPr>
              <w:pStyle w:val="Tablecondensed"/>
            </w:pPr>
            <w:r>
              <w:t>3.1</w:t>
            </w:r>
          </w:p>
        </w:tc>
      </w:tr>
    </w:tbl>
    <w:p w14:paraId="3B2902EA" w14:textId="77777777" w:rsidR="00AE4F2C" w:rsidRDefault="00AE4F2C" w:rsidP="00FB3A71">
      <w:pPr>
        <w:pStyle w:val="BodyText"/>
      </w:pPr>
      <w:r>
        <w:t xml:space="preserve">This question required students to analyse why the policy of War Communism was introduced. </w:t>
      </w:r>
    </w:p>
    <w:p w14:paraId="2F61AD17" w14:textId="5784E83D" w:rsidR="00AE4F2C" w:rsidRDefault="00AE4F2C" w:rsidP="00FB3A71">
      <w:pPr>
        <w:pStyle w:val="BodyText"/>
      </w:pPr>
      <w:r>
        <w:t xml:space="preserve">Most students were able to use evidence from Source 11 to argue that War Communism can be seen as both a pragmatic attempt to address economic challenges during the </w:t>
      </w:r>
      <w:r w:rsidR="00A52488">
        <w:t>C</w:t>
      </w:r>
      <w:r>
        <w:t xml:space="preserve">ivil </w:t>
      </w:r>
      <w:r w:rsidR="00A52488">
        <w:t>W</w:t>
      </w:r>
      <w:r>
        <w:t xml:space="preserve">ar and an ideological attempt to reshape Russia into a </w:t>
      </w:r>
      <w:r w:rsidR="00F81FD9">
        <w:t>c</w:t>
      </w:r>
      <w:r>
        <w:t xml:space="preserve">ommunist society. </w:t>
      </w:r>
    </w:p>
    <w:p w14:paraId="513A1C47" w14:textId="77777777" w:rsidR="00AE4F2C" w:rsidRDefault="00AE4F2C" w:rsidP="00FB3A71">
      <w:pPr>
        <w:pStyle w:val="BodyText"/>
      </w:pPr>
      <w:r>
        <w:t>High-scoring responses to this question tended to:</w:t>
      </w:r>
    </w:p>
    <w:p w14:paraId="3D5BB03A" w14:textId="6D3FA1B8" w:rsidR="00AE4F2C" w:rsidRPr="00E710C9" w:rsidRDefault="00AE4F2C" w:rsidP="00E710C9">
      <w:pPr>
        <w:pStyle w:val="Bullet"/>
      </w:pPr>
      <w:r w:rsidRPr="00E710C9">
        <w:t>incorporate a range of short direct quotes from Source 11</w:t>
      </w:r>
    </w:p>
    <w:p w14:paraId="01847226" w14:textId="20CE4600" w:rsidR="00AE4F2C" w:rsidRPr="00E710C9" w:rsidRDefault="00AE4F2C" w:rsidP="00E710C9">
      <w:pPr>
        <w:pStyle w:val="Bullet"/>
      </w:pPr>
      <w:r w:rsidRPr="00E710C9">
        <w:t xml:space="preserve">understand and respond to the historical interpretation presented in the source, where </w:t>
      </w:r>
      <w:r w:rsidR="00165B21">
        <w:t>Conquest</w:t>
      </w:r>
      <w:r w:rsidR="00165B21" w:rsidRPr="00E710C9">
        <w:t xml:space="preserve"> </w:t>
      </w:r>
      <w:r w:rsidRPr="00E710C9">
        <w:t>contends that War Communism was not a pragmatic response to economic problems and should be viewed as exclusively motivated by ideology</w:t>
      </w:r>
    </w:p>
    <w:p w14:paraId="511BBD72" w14:textId="414AE740" w:rsidR="00AE4F2C" w:rsidRPr="00E710C9" w:rsidRDefault="00AE4F2C" w:rsidP="00E710C9">
      <w:pPr>
        <w:pStyle w:val="Bullet"/>
      </w:pPr>
      <w:r w:rsidRPr="00E710C9">
        <w:t>provide context about the economic challenges facing the Bolsheviks in mid-1918, such as the loss of Ukrainian grain and coal production in the Treaty of Brest-Litovsk</w:t>
      </w:r>
    </w:p>
    <w:p w14:paraId="303FAD9C" w14:textId="24603FAD" w:rsidR="00AE4F2C" w:rsidRPr="00E710C9" w:rsidRDefault="00AE4F2C" w:rsidP="00E710C9">
      <w:pPr>
        <w:pStyle w:val="Bullet"/>
      </w:pPr>
      <w:r w:rsidRPr="00E710C9">
        <w:t xml:space="preserve">provide justifications for claims of ideological motives, such as quotes from Bolshevik leaders or historians, or inferences based on specific features of </w:t>
      </w:r>
      <w:r w:rsidR="00211892">
        <w:t xml:space="preserve">the </w:t>
      </w:r>
      <w:r w:rsidRPr="00E710C9">
        <w:t>polic</w:t>
      </w:r>
      <w:r w:rsidR="00211892">
        <w:t>y</w:t>
      </w:r>
      <w:r w:rsidRPr="00E710C9">
        <w:t xml:space="preserve"> of War Communism.</w:t>
      </w:r>
    </w:p>
    <w:p w14:paraId="15F40DE5" w14:textId="3D2C0110" w:rsidR="00AE4F2C" w:rsidRDefault="00AE4F2C" w:rsidP="00FB3A71">
      <w:pPr>
        <w:pStyle w:val="BodyText"/>
      </w:pPr>
      <w:r>
        <w:t xml:space="preserve">Limitations </w:t>
      </w:r>
      <w:r w:rsidR="00D430A7">
        <w:t xml:space="preserve">that </w:t>
      </w:r>
      <w:r>
        <w:t xml:space="preserve">prevented responses from achieving the highest marks included: </w:t>
      </w:r>
    </w:p>
    <w:p w14:paraId="4EC5C3F6" w14:textId="733A2808" w:rsidR="00AE4F2C" w:rsidRDefault="00AE4F2C" w:rsidP="00E710C9">
      <w:pPr>
        <w:pStyle w:val="Bullet"/>
      </w:pPr>
      <w:r>
        <w:t>rel</w:t>
      </w:r>
      <w:r w:rsidR="00D430A7">
        <w:t>ying too much</w:t>
      </w:r>
      <w:r>
        <w:t xml:space="preserve"> on evidence from Source 11</w:t>
      </w:r>
    </w:p>
    <w:p w14:paraId="13FB8FEF" w14:textId="77777777" w:rsidR="00AE4F2C" w:rsidRPr="00DE5A21" w:rsidRDefault="00AE4F2C" w:rsidP="00E710C9">
      <w:pPr>
        <w:pStyle w:val="Bullet"/>
      </w:pPr>
      <w:r w:rsidRPr="54EA4563">
        <w:t>going off topic by discussing the consequences and failures of War Communism.</w:t>
      </w:r>
    </w:p>
    <w:p w14:paraId="34CD75F4" w14:textId="65FAC902" w:rsidR="00AE4F2C" w:rsidRPr="00896AA7" w:rsidRDefault="00AE4F2C" w:rsidP="00FB3A71">
      <w:pPr>
        <w:pStyle w:val="BodyText"/>
      </w:pPr>
      <w:r w:rsidRPr="00896AA7">
        <w:t xml:space="preserve">The following is a high-scoring response to Question </w:t>
      </w:r>
      <w:r>
        <w:t>3c</w:t>
      </w:r>
      <w:r w:rsidR="00D81463">
        <w:t>.</w:t>
      </w:r>
      <w:r w:rsidRPr="00896AA7">
        <w:t>:</w:t>
      </w:r>
    </w:p>
    <w:p w14:paraId="4932D8F9" w14:textId="0B4F4D57" w:rsidR="00AE4F2C" w:rsidRDefault="00AE4F2C" w:rsidP="00FB3A71">
      <w:pPr>
        <w:pStyle w:val="Studentresponse"/>
      </w:pPr>
      <w:r>
        <w:t xml:space="preserve">The policies of War Communism were introduced to alleviate food shortages during the Russian Civil </w:t>
      </w:r>
      <w:r w:rsidR="0043575F">
        <w:t>W</w:t>
      </w:r>
      <w:r>
        <w:t xml:space="preserve">ar and progress Marxist-Leninist ideals. </w:t>
      </w:r>
    </w:p>
    <w:p w14:paraId="3EBA9F4D" w14:textId="222C2C1B" w:rsidR="00AE4F2C" w:rsidRDefault="00AE4F2C" w:rsidP="00FB3A71">
      <w:pPr>
        <w:pStyle w:val="Studentresponse"/>
      </w:pPr>
      <w:r>
        <w:t xml:space="preserve">Firstly, War Communism entailed </w:t>
      </w:r>
      <w:r w:rsidR="002D510D">
        <w:t>‘</w:t>
      </w:r>
      <w:r>
        <w:t>food requisitioning detachments</w:t>
      </w:r>
      <w:r w:rsidR="002D510D">
        <w:t>’</w:t>
      </w:r>
      <w:r>
        <w:t xml:space="preserve"> (Source 11) after the Treaty of Brest-Litovsk (3 March 1918) decreased Russia’s grain production by </w:t>
      </w:r>
      <w:proofErr w:type="gramStart"/>
      <w:r>
        <w:t>40%, and</w:t>
      </w:r>
      <w:proofErr w:type="gramEnd"/>
      <w:r>
        <w:t xml:space="preserve"> ceded the arable lands of the Ukraine region. This forced the Decree on Food Procurement (13 May 1918) of prodrazverstka grain battalions that redistributed peasants’ food to Red Army soldiers and workers </w:t>
      </w:r>
      <w:proofErr w:type="gramStart"/>
      <w:r>
        <w:t>as a result of</w:t>
      </w:r>
      <w:proofErr w:type="gramEnd"/>
      <w:r>
        <w:t xml:space="preserve"> the Russian Civil War. </w:t>
      </w:r>
      <w:proofErr w:type="gramStart"/>
      <w:r>
        <w:t>Thus</w:t>
      </w:r>
      <w:proofErr w:type="gramEnd"/>
      <w:r>
        <w:t xml:space="preserve"> the Bolsheviks </w:t>
      </w:r>
      <w:r w:rsidR="0043575F">
        <w:t>‘</w:t>
      </w:r>
      <w:r>
        <w:t>had no choice but to take from the hungry to give to the hungrier</w:t>
      </w:r>
      <w:r w:rsidR="002D510D">
        <w:t>’</w:t>
      </w:r>
      <w:r>
        <w:t xml:space="preserve"> (Smith). </w:t>
      </w:r>
    </w:p>
    <w:p w14:paraId="187E1475" w14:textId="77777777" w:rsidR="00AE4F2C" w:rsidRPr="00D14E17" w:rsidRDefault="00AE4F2C" w:rsidP="00FB3A71">
      <w:pPr>
        <w:pStyle w:val="Studentresponse"/>
      </w:pPr>
      <w:r>
        <w:t xml:space="preserve">Furthermore, War Communism was a conscious attempt to create a new social order under socialist ideals. This is evident by the Decrees on Nationalisation of Industry (28 June 1918) and Abolition of Private Trade (29 October 1918) which were enacted, despite increasing illegal </w:t>
      </w:r>
      <w:proofErr w:type="gramStart"/>
      <w:r>
        <w:t>black market</w:t>
      </w:r>
      <w:proofErr w:type="gramEnd"/>
      <w:r>
        <w:t xml:space="preserve"> trading </w:t>
      </w:r>
      <w:r>
        <w:lastRenderedPageBreak/>
        <w:t xml:space="preserve">by 30%, </w:t>
      </w:r>
      <w:proofErr w:type="gramStart"/>
      <w:r>
        <w:t>in order to</w:t>
      </w:r>
      <w:proofErr w:type="gramEnd"/>
      <w:r>
        <w:t xml:space="preserve"> further Marxist-Leninist principles of historical materialism and seizing the means of production.</w:t>
      </w:r>
    </w:p>
    <w:p w14:paraId="37E38AEC" w14:textId="77777777" w:rsidR="00AE4F2C" w:rsidRDefault="00AE4F2C" w:rsidP="00AE4F2C">
      <w:pPr>
        <w:pStyle w:val="Heading4"/>
      </w:pPr>
      <w:r>
        <w:t>Question 3</w:t>
      </w:r>
      <w:r w:rsidRPr="00896AA7">
        <w:t>d</w:t>
      </w:r>
      <w: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AE4F2C" w:rsidRPr="00FB32B9" w14:paraId="6F60FD74"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2F553EFA" w14:textId="77777777" w:rsidR="00AE4F2C" w:rsidRPr="00FB32B9" w:rsidRDefault="00AE4F2C" w:rsidP="00FB3A71">
            <w:pPr>
              <w:pStyle w:val="Tablecondensedheading"/>
            </w:pPr>
            <w:r w:rsidRPr="00FB32B9">
              <w:t xml:space="preserve">Marks </w:t>
            </w:r>
          </w:p>
        </w:tc>
        <w:tc>
          <w:tcPr>
            <w:tcW w:w="576" w:type="dxa"/>
          </w:tcPr>
          <w:p w14:paraId="745DBBFB" w14:textId="77777777" w:rsidR="00AE4F2C" w:rsidRPr="00FB32B9" w:rsidRDefault="00AE4F2C" w:rsidP="00FB3A71">
            <w:pPr>
              <w:pStyle w:val="Tablecondensedheading"/>
            </w:pPr>
            <w:r w:rsidRPr="00FB32B9">
              <w:t>0</w:t>
            </w:r>
          </w:p>
        </w:tc>
        <w:tc>
          <w:tcPr>
            <w:tcW w:w="576" w:type="dxa"/>
          </w:tcPr>
          <w:p w14:paraId="4B01911B" w14:textId="77777777" w:rsidR="00AE4F2C" w:rsidRPr="00FB32B9" w:rsidRDefault="00AE4F2C" w:rsidP="00FB3A71">
            <w:pPr>
              <w:pStyle w:val="Tablecondensedheading"/>
            </w:pPr>
            <w:r w:rsidRPr="00FB32B9">
              <w:t>1</w:t>
            </w:r>
          </w:p>
        </w:tc>
        <w:tc>
          <w:tcPr>
            <w:tcW w:w="576" w:type="dxa"/>
          </w:tcPr>
          <w:p w14:paraId="16289BA4" w14:textId="77777777" w:rsidR="00AE4F2C" w:rsidRPr="00FB32B9" w:rsidRDefault="00AE4F2C" w:rsidP="00FB3A71">
            <w:pPr>
              <w:pStyle w:val="Tablecondensedheading"/>
            </w:pPr>
            <w:r w:rsidRPr="00FB32B9">
              <w:t>2</w:t>
            </w:r>
          </w:p>
        </w:tc>
        <w:tc>
          <w:tcPr>
            <w:tcW w:w="576" w:type="dxa"/>
          </w:tcPr>
          <w:p w14:paraId="2EE7AC75" w14:textId="77777777" w:rsidR="00AE4F2C" w:rsidRPr="00FB32B9" w:rsidRDefault="00AE4F2C" w:rsidP="00FB3A71">
            <w:pPr>
              <w:pStyle w:val="Tablecondensedheading"/>
            </w:pPr>
            <w:r w:rsidRPr="00FB32B9">
              <w:t>3</w:t>
            </w:r>
          </w:p>
        </w:tc>
        <w:tc>
          <w:tcPr>
            <w:tcW w:w="576" w:type="dxa"/>
          </w:tcPr>
          <w:p w14:paraId="08CFE218" w14:textId="77777777" w:rsidR="00AE4F2C" w:rsidRPr="00FB32B9" w:rsidRDefault="00AE4F2C" w:rsidP="00FB3A71">
            <w:pPr>
              <w:pStyle w:val="Tablecondensedheading"/>
            </w:pPr>
            <w:r w:rsidRPr="00FB32B9">
              <w:t>4</w:t>
            </w:r>
          </w:p>
        </w:tc>
        <w:tc>
          <w:tcPr>
            <w:tcW w:w="576" w:type="dxa"/>
          </w:tcPr>
          <w:p w14:paraId="2A21612D" w14:textId="77777777" w:rsidR="00AE4F2C" w:rsidRPr="00FB32B9" w:rsidRDefault="00AE4F2C" w:rsidP="00FB3A71">
            <w:pPr>
              <w:pStyle w:val="Tablecondensedheading"/>
            </w:pPr>
            <w:r w:rsidRPr="00FB32B9">
              <w:t>5</w:t>
            </w:r>
          </w:p>
        </w:tc>
        <w:tc>
          <w:tcPr>
            <w:tcW w:w="1287" w:type="dxa"/>
          </w:tcPr>
          <w:p w14:paraId="5D99C680" w14:textId="77777777" w:rsidR="00AE4F2C" w:rsidRPr="00FB32B9" w:rsidRDefault="00AE4F2C" w:rsidP="00FB3A71">
            <w:pPr>
              <w:pStyle w:val="Tablecondensedheading"/>
            </w:pPr>
            <w:r w:rsidRPr="00FB32B9">
              <w:t>Average</w:t>
            </w:r>
          </w:p>
        </w:tc>
      </w:tr>
      <w:tr w:rsidR="00AE4F2C" w:rsidRPr="00FB32B9" w14:paraId="6D6C9365" w14:textId="77777777" w:rsidTr="00DF0280">
        <w:trPr>
          <w:trHeight w:val="392"/>
        </w:trPr>
        <w:tc>
          <w:tcPr>
            <w:tcW w:w="1030" w:type="dxa"/>
          </w:tcPr>
          <w:p w14:paraId="76E84CFD" w14:textId="77777777" w:rsidR="00AE4F2C" w:rsidRPr="00FB32B9" w:rsidRDefault="00AE4F2C" w:rsidP="00FB3A71">
            <w:pPr>
              <w:pStyle w:val="Tablecondensed"/>
            </w:pPr>
            <w:r w:rsidRPr="00FB32B9">
              <w:t>%</w:t>
            </w:r>
          </w:p>
        </w:tc>
        <w:tc>
          <w:tcPr>
            <w:tcW w:w="576" w:type="dxa"/>
          </w:tcPr>
          <w:p w14:paraId="48DE7DDF" w14:textId="77777777" w:rsidR="00AE4F2C" w:rsidRPr="00FB32B9" w:rsidRDefault="00AE4F2C" w:rsidP="00FB3A71">
            <w:pPr>
              <w:pStyle w:val="Tablecondensed"/>
            </w:pPr>
            <w:r>
              <w:t>5</w:t>
            </w:r>
          </w:p>
        </w:tc>
        <w:tc>
          <w:tcPr>
            <w:tcW w:w="576" w:type="dxa"/>
          </w:tcPr>
          <w:p w14:paraId="1A8FA683" w14:textId="77777777" w:rsidR="00AE4F2C" w:rsidRPr="00FB32B9" w:rsidRDefault="00AE4F2C" w:rsidP="00FB3A71">
            <w:pPr>
              <w:pStyle w:val="Tablecondensed"/>
            </w:pPr>
            <w:r>
              <w:t>8</w:t>
            </w:r>
          </w:p>
        </w:tc>
        <w:tc>
          <w:tcPr>
            <w:tcW w:w="576" w:type="dxa"/>
          </w:tcPr>
          <w:p w14:paraId="13F3A28B" w14:textId="77777777" w:rsidR="00AE4F2C" w:rsidRPr="00FB32B9" w:rsidRDefault="00AE4F2C" w:rsidP="00FB3A71">
            <w:pPr>
              <w:pStyle w:val="Tablecondensed"/>
            </w:pPr>
            <w:r>
              <w:t>33</w:t>
            </w:r>
          </w:p>
        </w:tc>
        <w:tc>
          <w:tcPr>
            <w:tcW w:w="576" w:type="dxa"/>
          </w:tcPr>
          <w:p w14:paraId="04AF75C2" w14:textId="77777777" w:rsidR="00AE4F2C" w:rsidRPr="00FB32B9" w:rsidRDefault="00AE4F2C" w:rsidP="00FB3A71">
            <w:pPr>
              <w:pStyle w:val="Tablecondensed"/>
            </w:pPr>
            <w:r>
              <w:t>35</w:t>
            </w:r>
          </w:p>
        </w:tc>
        <w:tc>
          <w:tcPr>
            <w:tcW w:w="576" w:type="dxa"/>
          </w:tcPr>
          <w:p w14:paraId="5A453CFC" w14:textId="77777777" w:rsidR="00AE4F2C" w:rsidRPr="00FB32B9" w:rsidRDefault="00AE4F2C" w:rsidP="00FB3A71">
            <w:pPr>
              <w:pStyle w:val="Tablecondensed"/>
            </w:pPr>
            <w:r>
              <w:t>15</w:t>
            </w:r>
          </w:p>
        </w:tc>
        <w:tc>
          <w:tcPr>
            <w:tcW w:w="576" w:type="dxa"/>
          </w:tcPr>
          <w:p w14:paraId="2D418184" w14:textId="77777777" w:rsidR="00AE4F2C" w:rsidRPr="00FB32B9" w:rsidRDefault="00AE4F2C" w:rsidP="00FB3A71">
            <w:pPr>
              <w:pStyle w:val="Tablecondensed"/>
            </w:pPr>
            <w:r>
              <w:t>4</w:t>
            </w:r>
          </w:p>
        </w:tc>
        <w:tc>
          <w:tcPr>
            <w:tcW w:w="1287" w:type="dxa"/>
          </w:tcPr>
          <w:p w14:paraId="451262FE" w14:textId="77777777" w:rsidR="00AE4F2C" w:rsidRPr="00FB32B9" w:rsidRDefault="00AE4F2C" w:rsidP="00FB3A71">
            <w:pPr>
              <w:pStyle w:val="Tablecondensed"/>
            </w:pPr>
            <w:r>
              <w:t>2.6</w:t>
            </w:r>
          </w:p>
        </w:tc>
      </w:tr>
    </w:tbl>
    <w:p w14:paraId="795F83D2" w14:textId="77777777" w:rsidR="00AE4F2C" w:rsidRDefault="00AE4F2C" w:rsidP="00FB3A71">
      <w:pPr>
        <w:pStyle w:val="BodyText"/>
      </w:pPr>
      <w:r>
        <w:t xml:space="preserve">This question required students to explain how changes in education made by the Bolsheviks altered Russian society. </w:t>
      </w:r>
    </w:p>
    <w:p w14:paraId="6051127D" w14:textId="52E49999" w:rsidR="00AE4F2C" w:rsidRDefault="00AE4F2C" w:rsidP="00FB3A71">
      <w:pPr>
        <w:pStyle w:val="BodyText"/>
      </w:pPr>
      <w:r w:rsidRPr="54EA4563">
        <w:t xml:space="preserve">Most students were able to argue that the Bolsheviks promoted education as a means of </w:t>
      </w:r>
      <w:r w:rsidR="00195BAF">
        <w:t>advancing</w:t>
      </w:r>
      <w:r w:rsidR="00195BAF" w:rsidRPr="54EA4563">
        <w:t xml:space="preserve"> </w:t>
      </w:r>
      <w:r w:rsidRPr="54EA4563">
        <w:t>equality and opportunity for peasants, workers and women and</w:t>
      </w:r>
      <w:r w:rsidR="00AA7092">
        <w:t xml:space="preserve"> to</w:t>
      </w:r>
      <w:r w:rsidRPr="54EA4563">
        <w:t xml:space="preserve"> support this with reference to symbolic features in Source 12</w:t>
      </w:r>
      <w:r>
        <w:t>,</w:t>
      </w:r>
      <w:r w:rsidRPr="54EA4563">
        <w:t xml:space="preserve"> such as the worker encouraging the peasant in the foreground to attend university.</w:t>
      </w:r>
    </w:p>
    <w:p w14:paraId="213F2159" w14:textId="77777777" w:rsidR="00AE4F2C" w:rsidRDefault="00AE4F2C" w:rsidP="00FB3A71">
      <w:pPr>
        <w:pStyle w:val="BodyText"/>
      </w:pPr>
      <w:r>
        <w:t>High-scoring responses to this question tended to:</w:t>
      </w:r>
    </w:p>
    <w:p w14:paraId="0DEF284E" w14:textId="2F29DD9C" w:rsidR="00AE4F2C" w:rsidRDefault="00AE4F2C" w:rsidP="00E710C9">
      <w:pPr>
        <w:pStyle w:val="Bullet"/>
      </w:pPr>
      <w:r>
        <w:t>contextualise, describe and elaborate upon what specific written and visual features of Source 12 revealed about Bolshevik efforts to transform society</w:t>
      </w:r>
    </w:p>
    <w:p w14:paraId="2AE9EB10" w14:textId="45D71211" w:rsidR="00AE4F2C" w:rsidRDefault="00AE4F2C" w:rsidP="00E710C9">
      <w:pPr>
        <w:pStyle w:val="Bullet"/>
      </w:pPr>
      <w:r>
        <w:t xml:space="preserve">identify </w:t>
      </w:r>
      <w:r w:rsidRPr="009700E5">
        <w:t>specific</w:t>
      </w:r>
      <w:r>
        <w:rPr>
          <w:i/>
          <w:iCs/>
        </w:rPr>
        <w:t xml:space="preserve"> </w:t>
      </w:r>
      <w:r>
        <w:t xml:space="preserve">educational initiatives, such as the establishment of the People’s Commissariat for Enlightenment, the </w:t>
      </w:r>
      <w:r>
        <w:rPr>
          <w:i/>
          <w:iCs/>
        </w:rPr>
        <w:t>l</w:t>
      </w:r>
      <w:r w:rsidRPr="00851F50">
        <w:rPr>
          <w:i/>
          <w:iCs/>
        </w:rPr>
        <w:t>ikbez</w:t>
      </w:r>
      <w:r>
        <w:t xml:space="preserve"> campaign, literacy classes in the Red Army and </w:t>
      </w:r>
      <w:r w:rsidR="003E10C4">
        <w:t xml:space="preserve">the </w:t>
      </w:r>
      <w:r>
        <w:t>establishment of reading rooms</w:t>
      </w:r>
    </w:p>
    <w:p w14:paraId="6AEB9D86" w14:textId="43A32A20" w:rsidR="00AE4F2C" w:rsidRDefault="00AE4F2C" w:rsidP="00E710C9">
      <w:pPr>
        <w:pStyle w:val="Bullet"/>
      </w:pPr>
      <w:r>
        <w:t>provide specific evidence of improvements in education, such as estimates that literacy rose from approximately 24</w:t>
      </w:r>
      <w:r w:rsidR="00AE3F13">
        <w:t xml:space="preserve"> per cent</w:t>
      </w:r>
      <w:r>
        <w:t xml:space="preserve"> in 1897 to 50</w:t>
      </w:r>
      <w:r w:rsidR="00AE3F13">
        <w:t xml:space="preserve"> per cent</w:t>
      </w:r>
      <w:r>
        <w:t xml:space="preserve"> in 1927</w:t>
      </w:r>
    </w:p>
    <w:p w14:paraId="6C072047" w14:textId="236C2E22" w:rsidR="00AE4F2C" w:rsidRPr="009700E5" w:rsidRDefault="00AE4F2C" w:rsidP="00E710C9">
      <w:pPr>
        <w:pStyle w:val="Bullet"/>
      </w:pPr>
      <w:r>
        <w:t>a</w:t>
      </w:r>
      <w:r w:rsidRPr="009700E5">
        <w:t>ssess how society was altered, focusing on one or more of</w:t>
      </w:r>
      <w:r>
        <w:t xml:space="preserve"> </w:t>
      </w:r>
      <w:r w:rsidR="003E10C4">
        <w:t xml:space="preserve">the following: the </w:t>
      </w:r>
      <w:r w:rsidR="0043575F">
        <w:t>attacks on</w:t>
      </w:r>
      <w:r>
        <w:t xml:space="preserve"> </w:t>
      </w:r>
      <w:r w:rsidRPr="009700E5">
        <w:t xml:space="preserve">class privilege, </w:t>
      </w:r>
      <w:r>
        <w:t xml:space="preserve">greater </w:t>
      </w:r>
      <w:r w:rsidRPr="009700E5">
        <w:t xml:space="preserve">gender equality, </w:t>
      </w:r>
      <w:r>
        <w:t xml:space="preserve">greater political consciousness and promotion of </w:t>
      </w:r>
      <w:r w:rsidRPr="009700E5">
        <w:t>Bolshevik ideology</w:t>
      </w:r>
      <w:r>
        <w:t>.</w:t>
      </w:r>
    </w:p>
    <w:p w14:paraId="686E34B5" w14:textId="6593F8B2" w:rsidR="00AE4F2C" w:rsidRDefault="00AE4F2C" w:rsidP="00FB3A71">
      <w:pPr>
        <w:pStyle w:val="BodyText"/>
      </w:pPr>
      <w:r>
        <w:t xml:space="preserve">Limitations </w:t>
      </w:r>
      <w:r w:rsidR="00D430A7">
        <w:t xml:space="preserve">that </w:t>
      </w:r>
      <w:r>
        <w:t xml:space="preserve">prevented responses from achieving the highest marks included: </w:t>
      </w:r>
    </w:p>
    <w:p w14:paraId="66E8F9C4" w14:textId="60E44729" w:rsidR="00AE4F2C" w:rsidRDefault="00AE4F2C" w:rsidP="00E710C9">
      <w:pPr>
        <w:pStyle w:val="Bullet"/>
      </w:pPr>
      <w:r>
        <w:t>rel</w:t>
      </w:r>
      <w:r w:rsidR="00D430A7">
        <w:t>ying too much</w:t>
      </w:r>
      <w:r>
        <w:t xml:space="preserve"> on describing features of Source 12</w:t>
      </w:r>
    </w:p>
    <w:p w14:paraId="12C2B144" w14:textId="77777777" w:rsidR="00AE4F2C" w:rsidRPr="00AB7998" w:rsidRDefault="00AE4F2C" w:rsidP="00E710C9">
      <w:pPr>
        <w:pStyle w:val="Bullet"/>
      </w:pPr>
      <w:r>
        <w:t>going off topic by discussing initiatives in women’s rights or artistic experimentation instead of education.</w:t>
      </w:r>
    </w:p>
    <w:p w14:paraId="5217481B" w14:textId="60FE31EF" w:rsidR="00AE4F2C" w:rsidRPr="00896AA7" w:rsidRDefault="00AE4F2C" w:rsidP="00FB3A71">
      <w:pPr>
        <w:pStyle w:val="BodyText"/>
      </w:pPr>
      <w:r w:rsidRPr="00896AA7">
        <w:t xml:space="preserve">The following is a high-scoring response to Question </w:t>
      </w:r>
      <w:r>
        <w:t>3d</w:t>
      </w:r>
      <w:r w:rsidR="00D81463">
        <w:t>.</w:t>
      </w:r>
      <w:r w:rsidRPr="00896AA7">
        <w:t>:</w:t>
      </w:r>
    </w:p>
    <w:p w14:paraId="62361BCF" w14:textId="71C92731" w:rsidR="00AE4F2C" w:rsidRPr="00D14E17" w:rsidRDefault="00AE4F2C" w:rsidP="00FB3A71">
      <w:pPr>
        <w:pStyle w:val="Studentresponse"/>
      </w:pPr>
      <w:r w:rsidRPr="00085AEA">
        <w:t xml:space="preserve">Between 1900 and 1926, the literacy rate in Russia rose from 23% to 51% </w:t>
      </w:r>
      <w:proofErr w:type="gramStart"/>
      <w:r w:rsidRPr="00085AEA">
        <w:t>as a result of</w:t>
      </w:r>
      <w:proofErr w:type="gramEnd"/>
      <w:r w:rsidRPr="00085AEA">
        <w:t xml:space="preserve"> Bolshevik initiatives in education. Throughout the 1920s, over 16</w:t>
      </w:r>
      <w:r w:rsidR="00AE3F13">
        <w:t xml:space="preserve"> </w:t>
      </w:r>
      <w:r w:rsidRPr="00085AEA">
        <w:t xml:space="preserve">000 reading rooms were established across Russia, giving </w:t>
      </w:r>
      <w:r w:rsidR="002D510D">
        <w:t>‘</w:t>
      </w:r>
      <w:r w:rsidRPr="00085AEA">
        <w:t>Light and knowledge to the people</w:t>
      </w:r>
      <w:r w:rsidR="002D510D">
        <w:t>’</w:t>
      </w:r>
      <w:r w:rsidRPr="00085AEA">
        <w:t xml:space="preserve"> (S12). In the Red Army, 2 days per week were allocated to education, resulting in a society that was almost entirely literate by the 1930s. Education had the effect of promoting social cohesion, as workers, peasants, women and soldiers (S12) were treated equally in the education initiatives. Education also allowed for the inculcation of Communist ideologies, as workers, peasants etc. were encouraged to recognise Lenin and his legacy, as well as the actions of the Bolsheviks. Schools were also integrated smoothly into society, as seen by the factory next to the university in S12.</w:t>
      </w:r>
    </w:p>
    <w:p w14:paraId="50D5B289" w14:textId="77777777" w:rsidR="00AE4F2C" w:rsidRDefault="00AE4F2C" w:rsidP="00AE4F2C">
      <w:pPr>
        <w:rPr>
          <w:rFonts w:ascii="Arial" w:hAnsi="Arial" w:cs="Arial"/>
          <w:color w:val="0F7EB4"/>
          <w:sz w:val="32"/>
          <w:szCs w:val="24"/>
          <w:lang w:val="en-AU"/>
        </w:rPr>
      </w:pPr>
      <w:r>
        <w:rPr>
          <w:lang w:val="en-AU"/>
        </w:rPr>
        <w:br w:type="page"/>
      </w:r>
    </w:p>
    <w:p w14:paraId="312EFF8C" w14:textId="77777777" w:rsidR="00AE4F2C" w:rsidRPr="00896AA7" w:rsidRDefault="00AE4F2C" w:rsidP="00AE4F2C">
      <w:pPr>
        <w:pStyle w:val="Heading3"/>
      </w:pPr>
      <w:r>
        <w:lastRenderedPageBreak/>
        <w:t xml:space="preserve">Question 4 </w:t>
      </w:r>
      <w:r>
        <w:rPr>
          <w:rFonts w:ascii="Courier New" w:hAnsi="Courier New" w:cs="Courier New"/>
        </w:rPr>
        <w:t>–</w:t>
      </w:r>
      <w:r>
        <w:t xml:space="preserve"> The </w:t>
      </w:r>
      <w:r w:rsidRPr="00896AA7">
        <w:t>C</w:t>
      </w:r>
      <w:r>
        <w:t>hinese Revolution</w:t>
      </w:r>
    </w:p>
    <w:p w14:paraId="730E662A" w14:textId="77777777" w:rsidR="00AE4F2C" w:rsidRPr="00896AA7" w:rsidRDefault="00AE4F2C" w:rsidP="00AE4F2C">
      <w:pPr>
        <w:pStyle w:val="Heading4"/>
      </w:pPr>
      <w:r>
        <w:t>Question 4</w:t>
      </w:r>
      <w:r w:rsidRPr="00896AA7">
        <w:t>a</w:t>
      </w:r>
      <w:r>
        <w:t>.</w:t>
      </w:r>
    </w:p>
    <w:tbl>
      <w:tblPr>
        <w:tblStyle w:val="VCAATableClosed1"/>
        <w:tblW w:w="5197" w:type="dxa"/>
        <w:tblInd w:w="-5" w:type="dxa"/>
        <w:tblLook w:val="04A0" w:firstRow="1" w:lastRow="0" w:firstColumn="1" w:lastColumn="0" w:noHBand="0" w:noVBand="1"/>
      </w:tblPr>
      <w:tblGrid>
        <w:gridCol w:w="1030"/>
        <w:gridCol w:w="576"/>
        <w:gridCol w:w="576"/>
        <w:gridCol w:w="576"/>
        <w:gridCol w:w="576"/>
        <w:gridCol w:w="576"/>
        <w:gridCol w:w="1287"/>
      </w:tblGrid>
      <w:tr w:rsidR="00AE4F2C" w:rsidRPr="00FB32B9" w14:paraId="07C05797"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0A723DF7" w14:textId="77777777" w:rsidR="00AE4F2C" w:rsidRPr="00FB32B9" w:rsidRDefault="00AE4F2C" w:rsidP="00FB3A71">
            <w:pPr>
              <w:pStyle w:val="Tablecondensedheading"/>
            </w:pPr>
            <w:r w:rsidRPr="00FB32B9">
              <w:t xml:space="preserve">Marks </w:t>
            </w:r>
          </w:p>
        </w:tc>
        <w:tc>
          <w:tcPr>
            <w:tcW w:w="576" w:type="dxa"/>
          </w:tcPr>
          <w:p w14:paraId="5BBFE500" w14:textId="77777777" w:rsidR="00AE4F2C" w:rsidRPr="00FB32B9" w:rsidRDefault="00AE4F2C" w:rsidP="00FB3A71">
            <w:pPr>
              <w:pStyle w:val="Tablecondensedheading"/>
            </w:pPr>
            <w:r w:rsidRPr="00FB32B9">
              <w:t>0</w:t>
            </w:r>
          </w:p>
        </w:tc>
        <w:tc>
          <w:tcPr>
            <w:tcW w:w="576" w:type="dxa"/>
          </w:tcPr>
          <w:p w14:paraId="6BC11AA6" w14:textId="77777777" w:rsidR="00AE4F2C" w:rsidRPr="00FB32B9" w:rsidRDefault="00AE4F2C" w:rsidP="00FB3A71">
            <w:pPr>
              <w:pStyle w:val="Tablecondensedheading"/>
            </w:pPr>
            <w:r w:rsidRPr="00FB32B9">
              <w:t>1</w:t>
            </w:r>
          </w:p>
        </w:tc>
        <w:tc>
          <w:tcPr>
            <w:tcW w:w="576" w:type="dxa"/>
          </w:tcPr>
          <w:p w14:paraId="6A28307D" w14:textId="77777777" w:rsidR="00AE4F2C" w:rsidRPr="00FB32B9" w:rsidRDefault="00AE4F2C" w:rsidP="00FB3A71">
            <w:pPr>
              <w:pStyle w:val="Tablecondensedheading"/>
            </w:pPr>
            <w:r w:rsidRPr="00FB32B9">
              <w:t>2</w:t>
            </w:r>
          </w:p>
        </w:tc>
        <w:tc>
          <w:tcPr>
            <w:tcW w:w="576" w:type="dxa"/>
          </w:tcPr>
          <w:p w14:paraId="22D911B0" w14:textId="77777777" w:rsidR="00AE4F2C" w:rsidRPr="00FB32B9" w:rsidRDefault="00AE4F2C" w:rsidP="00FB3A71">
            <w:pPr>
              <w:pStyle w:val="Tablecondensedheading"/>
            </w:pPr>
            <w:r w:rsidRPr="00FB32B9">
              <w:t>3</w:t>
            </w:r>
          </w:p>
        </w:tc>
        <w:tc>
          <w:tcPr>
            <w:tcW w:w="576" w:type="dxa"/>
          </w:tcPr>
          <w:p w14:paraId="7C886473" w14:textId="77777777" w:rsidR="00AE4F2C" w:rsidRPr="00FB32B9" w:rsidRDefault="00AE4F2C" w:rsidP="00FB3A71">
            <w:pPr>
              <w:pStyle w:val="Tablecondensedheading"/>
            </w:pPr>
            <w:r w:rsidRPr="00FB32B9">
              <w:t>4</w:t>
            </w:r>
          </w:p>
        </w:tc>
        <w:tc>
          <w:tcPr>
            <w:tcW w:w="1287" w:type="dxa"/>
          </w:tcPr>
          <w:p w14:paraId="178295FA" w14:textId="77777777" w:rsidR="00AE4F2C" w:rsidRPr="00FB32B9" w:rsidRDefault="00AE4F2C" w:rsidP="00FB3A71">
            <w:pPr>
              <w:pStyle w:val="Tablecondensedheading"/>
            </w:pPr>
            <w:r w:rsidRPr="00FB32B9">
              <w:t>Average</w:t>
            </w:r>
          </w:p>
        </w:tc>
      </w:tr>
      <w:tr w:rsidR="00AE4F2C" w:rsidRPr="00FB32B9" w14:paraId="52D7B8F8" w14:textId="77777777" w:rsidTr="00DF0280">
        <w:trPr>
          <w:trHeight w:val="392"/>
        </w:trPr>
        <w:tc>
          <w:tcPr>
            <w:tcW w:w="1030" w:type="dxa"/>
          </w:tcPr>
          <w:p w14:paraId="78ECDF12" w14:textId="77777777" w:rsidR="00AE4F2C" w:rsidRPr="00FB32B9" w:rsidRDefault="00AE4F2C" w:rsidP="00FB3A71">
            <w:pPr>
              <w:pStyle w:val="Tablecondensed"/>
            </w:pPr>
            <w:r w:rsidRPr="00FB32B9">
              <w:t>%</w:t>
            </w:r>
          </w:p>
        </w:tc>
        <w:tc>
          <w:tcPr>
            <w:tcW w:w="576" w:type="dxa"/>
          </w:tcPr>
          <w:p w14:paraId="32369D9E" w14:textId="77777777" w:rsidR="00AE4F2C" w:rsidRPr="00FB32B9" w:rsidRDefault="00AE4F2C" w:rsidP="00FB3A71">
            <w:pPr>
              <w:pStyle w:val="Tablecondensed"/>
            </w:pPr>
            <w:r>
              <w:t>10</w:t>
            </w:r>
          </w:p>
        </w:tc>
        <w:tc>
          <w:tcPr>
            <w:tcW w:w="576" w:type="dxa"/>
          </w:tcPr>
          <w:p w14:paraId="74497569" w14:textId="77777777" w:rsidR="00AE4F2C" w:rsidRPr="00FB32B9" w:rsidRDefault="00AE4F2C" w:rsidP="00FB3A71">
            <w:pPr>
              <w:pStyle w:val="Tablecondensed"/>
            </w:pPr>
            <w:r>
              <w:t>3</w:t>
            </w:r>
          </w:p>
        </w:tc>
        <w:tc>
          <w:tcPr>
            <w:tcW w:w="576" w:type="dxa"/>
          </w:tcPr>
          <w:p w14:paraId="412A3422" w14:textId="77777777" w:rsidR="00AE4F2C" w:rsidRPr="00FB32B9" w:rsidRDefault="00AE4F2C" w:rsidP="00FB3A71">
            <w:pPr>
              <w:pStyle w:val="Tablecondensed"/>
            </w:pPr>
            <w:r>
              <w:t>14</w:t>
            </w:r>
          </w:p>
        </w:tc>
        <w:tc>
          <w:tcPr>
            <w:tcW w:w="576" w:type="dxa"/>
          </w:tcPr>
          <w:p w14:paraId="0B1EC0EA" w14:textId="77777777" w:rsidR="00AE4F2C" w:rsidRPr="00FB32B9" w:rsidRDefault="00AE4F2C" w:rsidP="00FB3A71">
            <w:pPr>
              <w:pStyle w:val="Tablecondensed"/>
            </w:pPr>
            <w:r>
              <w:t>37</w:t>
            </w:r>
          </w:p>
        </w:tc>
        <w:tc>
          <w:tcPr>
            <w:tcW w:w="576" w:type="dxa"/>
          </w:tcPr>
          <w:p w14:paraId="35DB8C34" w14:textId="77777777" w:rsidR="00AE4F2C" w:rsidRPr="00FB32B9" w:rsidRDefault="00AE4F2C" w:rsidP="00FB3A71">
            <w:pPr>
              <w:pStyle w:val="Tablecondensed"/>
            </w:pPr>
            <w:r>
              <w:t>38</w:t>
            </w:r>
          </w:p>
        </w:tc>
        <w:tc>
          <w:tcPr>
            <w:tcW w:w="1287" w:type="dxa"/>
          </w:tcPr>
          <w:p w14:paraId="429E6D66" w14:textId="77777777" w:rsidR="00AE4F2C" w:rsidRPr="00FB32B9" w:rsidRDefault="00AE4F2C" w:rsidP="00FB3A71">
            <w:pPr>
              <w:pStyle w:val="Tablecondensed"/>
            </w:pPr>
            <w:r>
              <w:t>2.9</w:t>
            </w:r>
          </w:p>
        </w:tc>
      </w:tr>
    </w:tbl>
    <w:p w14:paraId="38DFF6E8" w14:textId="77777777" w:rsidR="00AE4F2C" w:rsidRDefault="00AE4F2C" w:rsidP="00FB3A71">
      <w:pPr>
        <w:pStyle w:val="BodyText"/>
      </w:pPr>
      <w:r>
        <w:t xml:space="preserve">This question required students to outline the reasons given in Source 13 for the limited success of the New Life Movement. </w:t>
      </w:r>
    </w:p>
    <w:p w14:paraId="031002F1" w14:textId="08329982" w:rsidR="00AE4F2C" w:rsidRDefault="00AE4F2C" w:rsidP="00FB3A71">
      <w:pPr>
        <w:pStyle w:val="BodyText"/>
      </w:pPr>
      <w:r>
        <w:t xml:space="preserve">The best responses provided an overview written in full sentences with short, smoothly integrated direct quotes that illustrated the main reasons given in the source. Providing an effective overview generally required students to briefly mention </w:t>
      </w:r>
      <w:r w:rsidR="0034559F">
        <w:t>a range of</w:t>
      </w:r>
      <w:r>
        <w:t xml:space="preserve"> ideas, such as:</w:t>
      </w:r>
    </w:p>
    <w:p w14:paraId="184D972B" w14:textId="312CF953" w:rsidR="00AE4F2C" w:rsidRPr="00E710C9" w:rsidRDefault="00AE4F2C" w:rsidP="00E710C9">
      <w:pPr>
        <w:pStyle w:val="Bullet"/>
      </w:pPr>
      <w:r w:rsidRPr="00E710C9">
        <w:t xml:space="preserve">the population </w:t>
      </w:r>
      <w:r w:rsidR="002D510D">
        <w:t>‘</w:t>
      </w:r>
      <w:r w:rsidRPr="00E710C9">
        <w:t>desperately needed large-scale political reform</w:t>
      </w:r>
      <w:r w:rsidR="002D510D">
        <w:t>’</w:t>
      </w:r>
      <w:r w:rsidRPr="00E710C9">
        <w:t xml:space="preserve"> rather than </w:t>
      </w:r>
      <w:r w:rsidR="002D510D">
        <w:t>‘</w:t>
      </w:r>
      <w:r w:rsidRPr="00E710C9">
        <w:t>individual moral regeneration</w:t>
      </w:r>
      <w:r w:rsidR="002D510D">
        <w:t>’</w:t>
      </w:r>
    </w:p>
    <w:p w14:paraId="73AD0843" w14:textId="2565BDA5" w:rsidR="00AE4F2C" w:rsidRPr="00E710C9" w:rsidRDefault="00AE4F2C" w:rsidP="00E710C9">
      <w:pPr>
        <w:pStyle w:val="Bullet"/>
      </w:pPr>
      <w:r w:rsidRPr="00E710C9">
        <w:t xml:space="preserve">most Chinese were either </w:t>
      </w:r>
      <w:r w:rsidR="002D510D">
        <w:t>‘</w:t>
      </w:r>
      <w:r w:rsidRPr="00E710C9">
        <w:t>too poor to pay attention or too rich to want change</w:t>
      </w:r>
      <w:r w:rsidR="002D510D">
        <w:t>’</w:t>
      </w:r>
    </w:p>
    <w:p w14:paraId="5022F9A9" w14:textId="4B292A46" w:rsidR="00AE4F2C" w:rsidRPr="00E710C9" w:rsidRDefault="00AE4F2C" w:rsidP="00E710C9">
      <w:pPr>
        <w:pStyle w:val="Bullet"/>
      </w:pPr>
      <w:r w:rsidRPr="00E710C9">
        <w:t xml:space="preserve">most leaders of the movement were not </w:t>
      </w:r>
      <w:r w:rsidR="002D510D">
        <w:t>‘</w:t>
      </w:r>
      <w:r w:rsidRPr="00E710C9">
        <w:t>sufficiently pure</w:t>
      </w:r>
      <w:r w:rsidR="002D510D">
        <w:t>’</w:t>
      </w:r>
      <w:r w:rsidRPr="00E710C9">
        <w:t xml:space="preserve"> and thus could not give it any prestige</w:t>
      </w:r>
    </w:p>
    <w:p w14:paraId="68D0A408" w14:textId="6A774335" w:rsidR="00AE4F2C" w:rsidRPr="00E710C9" w:rsidRDefault="00AE4F2C" w:rsidP="00E710C9">
      <w:pPr>
        <w:pStyle w:val="Bullet"/>
      </w:pPr>
      <w:r w:rsidRPr="00E710C9">
        <w:t xml:space="preserve">even though the movement was launched in 1934, </w:t>
      </w:r>
      <w:r w:rsidR="002D510D">
        <w:t>‘</w:t>
      </w:r>
      <w:r w:rsidRPr="00E710C9">
        <w:t>it was not until the Second World War</w:t>
      </w:r>
      <w:r w:rsidR="00B41C2F">
        <w:t xml:space="preserve"> </w:t>
      </w:r>
      <w:r w:rsidRPr="00E710C9">
        <w:t>… that it began to make any significant contribution</w:t>
      </w:r>
      <w:r w:rsidR="002D510D">
        <w:t>’.</w:t>
      </w:r>
    </w:p>
    <w:p w14:paraId="2731A65E" w14:textId="308AC7A3" w:rsidR="00AE4F2C" w:rsidRDefault="00AE4F2C" w:rsidP="00FB3A71">
      <w:pPr>
        <w:pStyle w:val="BodyText"/>
      </w:pPr>
      <w:r>
        <w:t xml:space="preserve">Limitations </w:t>
      </w:r>
      <w:r w:rsidR="00D430A7">
        <w:t xml:space="preserve">that </w:t>
      </w:r>
      <w:r>
        <w:t xml:space="preserve">prevented responses from achieving the highest marks included: </w:t>
      </w:r>
    </w:p>
    <w:p w14:paraId="36C8275C" w14:textId="094D288C" w:rsidR="00AE4F2C" w:rsidRDefault="00AE4F2C" w:rsidP="00E710C9">
      <w:pPr>
        <w:pStyle w:val="Bullet"/>
      </w:pPr>
      <w:r>
        <w:t>providing a dot</w:t>
      </w:r>
      <w:r w:rsidR="00B41C2F">
        <w:t>-</w:t>
      </w:r>
      <w:r>
        <w:t>point list of quotes, with</w:t>
      </w:r>
      <w:r w:rsidR="00474D7B">
        <w:t>out</w:t>
      </w:r>
      <w:r>
        <w:t xml:space="preserve"> attempt</w:t>
      </w:r>
      <w:r w:rsidR="00474D7B">
        <w:t>ing</w:t>
      </w:r>
      <w:r>
        <w:t xml:space="preserve"> to provide a cohesive overview of what these revealed about the limitations of the New Life Movement</w:t>
      </w:r>
    </w:p>
    <w:p w14:paraId="379ACBA4" w14:textId="4BBAC301" w:rsidR="00AE4F2C" w:rsidRDefault="00AE4F2C" w:rsidP="00E710C9">
      <w:pPr>
        <w:pStyle w:val="Bullet"/>
      </w:pPr>
      <w:r>
        <w:t xml:space="preserve">providing detailed evidence from </w:t>
      </w:r>
      <w:r w:rsidR="00B41C2F">
        <w:t xml:space="preserve">one’s </w:t>
      </w:r>
      <w:r>
        <w:t>own knowledge</w:t>
      </w:r>
      <w:r w:rsidR="00B41C2F">
        <w:t>,</w:t>
      </w:r>
      <w:r>
        <w:t xml:space="preserve"> which the question did not require, </w:t>
      </w:r>
      <w:r w:rsidR="0075729A">
        <w:t xml:space="preserve">leaving </w:t>
      </w:r>
      <w:r>
        <w:t>students with insufficient time and space to give an overview of several ideas from the source</w:t>
      </w:r>
    </w:p>
    <w:p w14:paraId="4883168A" w14:textId="2F58CEB5" w:rsidR="00AE4F2C" w:rsidRPr="00AB7998" w:rsidRDefault="00D430A7" w:rsidP="00E710C9">
      <w:pPr>
        <w:pStyle w:val="Bullet"/>
      </w:pPr>
      <w:r>
        <w:t xml:space="preserve">using </w:t>
      </w:r>
      <w:r w:rsidR="00AE4F2C" w:rsidRPr="00AB7998">
        <w:t>vague</w:t>
      </w:r>
      <w:r w:rsidR="00AE4F2C">
        <w:t xml:space="preserve">, </w:t>
      </w:r>
      <w:r w:rsidR="00AE4F2C" w:rsidRPr="00AB7998">
        <w:t xml:space="preserve">unclear paraphrasing of the ideas from </w:t>
      </w:r>
      <w:r w:rsidR="00AE4F2C">
        <w:t>the source</w:t>
      </w:r>
    </w:p>
    <w:p w14:paraId="68047C4E" w14:textId="7C62697D" w:rsidR="00AE4F2C" w:rsidRPr="00AB7998" w:rsidRDefault="00D430A7" w:rsidP="00E710C9">
      <w:pPr>
        <w:pStyle w:val="Bullet"/>
      </w:pPr>
      <w:r>
        <w:t xml:space="preserve">providing </w:t>
      </w:r>
      <w:r w:rsidR="00AE4F2C" w:rsidRPr="00AB7998">
        <w:t>insufficient detail</w:t>
      </w:r>
      <w:r w:rsidR="00AE4F2C">
        <w:t>.</w:t>
      </w:r>
    </w:p>
    <w:p w14:paraId="0F21A3D1" w14:textId="12CE805C" w:rsidR="00AE4F2C" w:rsidRPr="00896AA7" w:rsidRDefault="00AE4F2C" w:rsidP="00FB3A71">
      <w:pPr>
        <w:pStyle w:val="BodyText"/>
      </w:pPr>
      <w:r w:rsidRPr="00896AA7">
        <w:t xml:space="preserve">The following is a high-scoring response to Question </w:t>
      </w:r>
      <w:r>
        <w:t>4a</w:t>
      </w:r>
      <w:r w:rsidR="00D81463">
        <w:t>.</w:t>
      </w:r>
      <w:r w:rsidRPr="00896AA7">
        <w:t>:</w:t>
      </w:r>
    </w:p>
    <w:p w14:paraId="1896367C" w14:textId="70194698" w:rsidR="00AE4F2C" w:rsidRPr="00D14E17" w:rsidRDefault="00AE4F2C" w:rsidP="00FB3A71">
      <w:pPr>
        <w:pStyle w:val="Studentresponse"/>
      </w:pPr>
      <w:r>
        <w:t xml:space="preserve">Firstly, the New Life Movement launched in February 1934 was unaligned with the country </w:t>
      </w:r>
      <w:r w:rsidR="002D510D">
        <w:t>‘</w:t>
      </w:r>
      <w:r>
        <w:t>that desperately needed political reform</w:t>
      </w:r>
      <w:r w:rsidR="002D510D">
        <w:t>’</w:t>
      </w:r>
      <w:r>
        <w:t xml:space="preserve"> and not </w:t>
      </w:r>
      <w:r w:rsidR="002D510D">
        <w:t>‘</w:t>
      </w:r>
      <w:r>
        <w:t>moral regeneration</w:t>
      </w:r>
      <w:r w:rsidR="002D510D">
        <w:t>’</w:t>
      </w:r>
      <w:r>
        <w:t xml:space="preserve"> which made people sceptical to embrace the campaign. Secondly, the stratification of society, </w:t>
      </w:r>
      <w:r w:rsidR="002D510D">
        <w:t>‘</w:t>
      </w:r>
      <w:r>
        <w:t>either too poor to pay attention or too rich to want to change</w:t>
      </w:r>
      <w:r w:rsidR="006D76C1">
        <w:t>’</w:t>
      </w:r>
      <w:r>
        <w:t xml:space="preserve">, undermined efforts at encouraging participation in New Life. Finally, the hypocrisy of </w:t>
      </w:r>
      <w:r w:rsidR="002D510D">
        <w:t>‘</w:t>
      </w:r>
      <w:r>
        <w:t>personalities interested in the movement</w:t>
      </w:r>
      <w:r w:rsidR="002D510D">
        <w:t>’</w:t>
      </w:r>
      <w:r>
        <w:t xml:space="preserve"> undermined the </w:t>
      </w:r>
      <w:r w:rsidR="002D510D">
        <w:t>‘</w:t>
      </w:r>
      <w:r>
        <w:t>pure</w:t>
      </w:r>
      <w:r w:rsidR="002D510D">
        <w:t>’</w:t>
      </w:r>
      <w:r>
        <w:t xml:space="preserve"> principles it sought to indoctrinate, challenging its success.</w:t>
      </w:r>
    </w:p>
    <w:p w14:paraId="55B4F74E" w14:textId="77777777" w:rsidR="00AE4F2C" w:rsidRDefault="00AE4F2C" w:rsidP="00AE4F2C">
      <w:pPr>
        <w:pStyle w:val="Heading4"/>
      </w:pPr>
      <w:r>
        <w:t>Question 4</w:t>
      </w:r>
      <w:r w:rsidRPr="00896AA7">
        <w:t>b</w:t>
      </w:r>
      <w:r>
        <w:t>.</w:t>
      </w:r>
    </w:p>
    <w:tbl>
      <w:tblPr>
        <w:tblStyle w:val="VCAATableClosed1"/>
        <w:tblW w:w="9021" w:type="dxa"/>
        <w:tblInd w:w="-5" w:type="dxa"/>
        <w:tblLayout w:type="fixed"/>
        <w:tblLook w:val="04A0" w:firstRow="1" w:lastRow="0" w:firstColumn="1" w:lastColumn="0" w:noHBand="0" w:noVBand="1"/>
      </w:tblPr>
      <w:tblGrid>
        <w:gridCol w:w="893"/>
        <w:gridCol w:w="640"/>
        <w:gridCol w:w="640"/>
        <w:gridCol w:w="641"/>
        <w:gridCol w:w="640"/>
        <w:gridCol w:w="641"/>
        <w:gridCol w:w="640"/>
        <w:gridCol w:w="641"/>
        <w:gridCol w:w="640"/>
        <w:gridCol w:w="641"/>
        <w:gridCol w:w="640"/>
        <w:gridCol w:w="641"/>
        <w:gridCol w:w="1083"/>
      </w:tblGrid>
      <w:tr w:rsidR="00AE4F2C" w:rsidRPr="00FB32B9" w14:paraId="0F0EEEBD"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893" w:type="dxa"/>
          </w:tcPr>
          <w:p w14:paraId="1A805763" w14:textId="77777777" w:rsidR="00AE4F2C" w:rsidRPr="00FB32B9" w:rsidRDefault="00AE4F2C" w:rsidP="00FB3A71">
            <w:pPr>
              <w:pStyle w:val="Tablecondensedheading"/>
            </w:pPr>
            <w:r w:rsidRPr="00FB32B9">
              <w:t xml:space="preserve">Marks </w:t>
            </w:r>
          </w:p>
        </w:tc>
        <w:tc>
          <w:tcPr>
            <w:tcW w:w="640" w:type="dxa"/>
          </w:tcPr>
          <w:p w14:paraId="48A52198" w14:textId="77777777" w:rsidR="00AE4F2C" w:rsidRPr="00FB32B9" w:rsidRDefault="00AE4F2C" w:rsidP="00FB3A71">
            <w:pPr>
              <w:pStyle w:val="Tablecondensedheading"/>
            </w:pPr>
            <w:r w:rsidRPr="00FB32B9">
              <w:t>0</w:t>
            </w:r>
          </w:p>
        </w:tc>
        <w:tc>
          <w:tcPr>
            <w:tcW w:w="640" w:type="dxa"/>
          </w:tcPr>
          <w:p w14:paraId="020699A4" w14:textId="77777777" w:rsidR="00AE4F2C" w:rsidRPr="00FB32B9" w:rsidRDefault="00AE4F2C" w:rsidP="00FB3A71">
            <w:pPr>
              <w:pStyle w:val="Tablecondensedheading"/>
            </w:pPr>
            <w:r w:rsidRPr="00FB32B9">
              <w:t>1</w:t>
            </w:r>
          </w:p>
        </w:tc>
        <w:tc>
          <w:tcPr>
            <w:tcW w:w="641" w:type="dxa"/>
          </w:tcPr>
          <w:p w14:paraId="5240DEC0" w14:textId="77777777" w:rsidR="00AE4F2C" w:rsidRPr="00FB32B9" w:rsidRDefault="00AE4F2C" w:rsidP="00FB3A71">
            <w:pPr>
              <w:pStyle w:val="Tablecondensedheading"/>
            </w:pPr>
            <w:r w:rsidRPr="00FB32B9">
              <w:t>2</w:t>
            </w:r>
          </w:p>
        </w:tc>
        <w:tc>
          <w:tcPr>
            <w:tcW w:w="640" w:type="dxa"/>
          </w:tcPr>
          <w:p w14:paraId="1DAE521B" w14:textId="77777777" w:rsidR="00AE4F2C" w:rsidRPr="00FB32B9" w:rsidRDefault="00AE4F2C" w:rsidP="00FB3A71">
            <w:pPr>
              <w:pStyle w:val="Tablecondensedheading"/>
            </w:pPr>
            <w:r w:rsidRPr="00FB32B9">
              <w:t>3</w:t>
            </w:r>
          </w:p>
        </w:tc>
        <w:tc>
          <w:tcPr>
            <w:tcW w:w="641" w:type="dxa"/>
          </w:tcPr>
          <w:p w14:paraId="4390A4EF" w14:textId="77777777" w:rsidR="00AE4F2C" w:rsidRPr="00FB32B9" w:rsidRDefault="00AE4F2C" w:rsidP="00FB3A71">
            <w:pPr>
              <w:pStyle w:val="Tablecondensedheading"/>
            </w:pPr>
            <w:r w:rsidRPr="00FB32B9">
              <w:t>4</w:t>
            </w:r>
          </w:p>
        </w:tc>
        <w:tc>
          <w:tcPr>
            <w:tcW w:w="640" w:type="dxa"/>
          </w:tcPr>
          <w:p w14:paraId="1F143779" w14:textId="77777777" w:rsidR="00AE4F2C" w:rsidRPr="00FB32B9" w:rsidRDefault="00AE4F2C" w:rsidP="00FB3A71">
            <w:pPr>
              <w:pStyle w:val="Tablecondensedheading"/>
            </w:pPr>
            <w:r w:rsidRPr="00FB32B9">
              <w:t>5</w:t>
            </w:r>
          </w:p>
        </w:tc>
        <w:tc>
          <w:tcPr>
            <w:tcW w:w="641" w:type="dxa"/>
          </w:tcPr>
          <w:p w14:paraId="65A0DDD8" w14:textId="77777777" w:rsidR="00AE4F2C" w:rsidRPr="00FB32B9" w:rsidRDefault="00AE4F2C" w:rsidP="00FB3A71">
            <w:pPr>
              <w:pStyle w:val="Tablecondensedheading"/>
            </w:pPr>
            <w:r w:rsidRPr="00FB32B9">
              <w:t>6</w:t>
            </w:r>
          </w:p>
        </w:tc>
        <w:tc>
          <w:tcPr>
            <w:tcW w:w="640" w:type="dxa"/>
          </w:tcPr>
          <w:p w14:paraId="676B8CD8" w14:textId="77777777" w:rsidR="00AE4F2C" w:rsidRPr="00FB32B9" w:rsidRDefault="00AE4F2C" w:rsidP="00FB3A71">
            <w:pPr>
              <w:pStyle w:val="Tablecondensedheading"/>
            </w:pPr>
            <w:r w:rsidRPr="00FB32B9">
              <w:t>7</w:t>
            </w:r>
          </w:p>
        </w:tc>
        <w:tc>
          <w:tcPr>
            <w:tcW w:w="641" w:type="dxa"/>
          </w:tcPr>
          <w:p w14:paraId="24073175" w14:textId="77777777" w:rsidR="00AE4F2C" w:rsidRPr="00FB32B9" w:rsidRDefault="00AE4F2C" w:rsidP="00FB3A71">
            <w:pPr>
              <w:pStyle w:val="Tablecondensedheading"/>
            </w:pPr>
            <w:r w:rsidRPr="00FB32B9">
              <w:t>8</w:t>
            </w:r>
          </w:p>
        </w:tc>
        <w:tc>
          <w:tcPr>
            <w:tcW w:w="640" w:type="dxa"/>
          </w:tcPr>
          <w:p w14:paraId="43011A10" w14:textId="77777777" w:rsidR="00AE4F2C" w:rsidRPr="00FB32B9" w:rsidRDefault="00AE4F2C" w:rsidP="00FB3A71">
            <w:pPr>
              <w:pStyle w:val="Tablecondensedheading"/>
            </w:pPr>
            <w:r w:rsidRPr="00FB32B9">
              <w:t>9</w:t>
            </w:r>
          </w:p>
        </w:tc>
        <w:tc>
          <w:tcPr>
            <w:tcW w:w="641" w:type="dxa"/>
          </w:tcPr>
          <w:p w14:paraId="1C51B95F" w14:textId="77777777" w:rsidR="00AE4F2C" w:rsidRPr="00FB32B9" w:rsidRDefault="00AE4F2C" w:rsidP="00FB3A71">
            <w:pPr>
              <w:pStyle w:val="Tablecondensedheading"/>
            </w:pPr>
            <w:r w:rsidRPr="00FB32B9">
              <w:t>10</w:t>
            </w:r>
          </w:p>
        </w:tc>
        <w:tc>
          <w:tcPr>
            <w:tcW w:w="1083" w:type="dxa"/>
          </w:tcPr>
          <w:p w14:paraId="06413806" w14:textId="77777777" w:rsidR="00AE4F2C" w:rsidRPr="00FB32B9" w:rsidRDefault="00AE4F2C" w:rsidP="00FB3A71">
            <w:pPr>
              <w:pStyle w:val="Tablecondensedheading"/>
            </w:pPr>
            <w:r w:rsidRPr="00FB32B9">
              <w:t>Average</w:t>
            </w:r>
          </w:p>
        </w:tc>
      </w:tr>
      <w:tr w:rsidR="00AE4F2C" w:rsidRPr="00FB32B9" w14:paraId="604693F7" w14:textId="77777777" w:rsidTr="00DF0280">
        <w:trPr>
          <w:trHeight w:val="392"/>
        </w:trPr>
        <w:tc>
          <w:tcPr>
            <w:tcW w:w="893" w:type="dxa"/>
          </w:tcPr>
          <w:p w14:paraId="4AE970BF" w14:textId="77777777" w:rsidR="00AE4F2C" w:rsidRPr="00FB32B9" w:rsidRDefault="00AE4F2C" w:rsidP="00FB3A71">
            <w:pPr>
              <w:pStyle w:val="Tablecondensed"/>
            </w:pPr>
            <w:r w:rsidRPr="00FB32B9">
              <w:t>%</w:t>
            </w:r>
          </w:p>
        </w:tc>
        <w:tc>
          <w:tcPr>
            <w:tcW w:w="640" w:type="dxa"/>
          </w:tcPr>
          <w:p w14:paraId="7897300B" w14:textId="77777777" w:rsidR="00AE4F2C" w:rsidRPr="00FB32B9" w:rsidRDefault="00AE4F2C" w:rsidP="00FB3A71">
            <w:pPr>
              <w:pStyle w:val="Tablecondensed"/>
            </w:pPr>
            <w:r>
              <w:t>11</w:t>
            </w:r>
          </w:p>
        </w:tc>
        <w:tc>
          <w:tcPr>
            <w:tcW w:w="640" w:type="dxa"/>
          </w:tcPr>
          <w:p w14:paraId="5B1AFBF9" w14:textId="77777777" w:rsidR="00AE4F2C" w:rsidRPr="00FB32B9" w:rsidRDefault="00AE4F2C" w:rsidP="00FB3A71">
            <w:pPr>
              <w:pStyle w:val="Tablecondensed"/>
            </w:pPr>
            <w:r>
              <w:t>2</w:t>
            </w:r>
          </w:p>
        </w:tc>
        <w:tc>
          <w:tcPr>
            <w:tcW w:w="641" w:type="dxa"/>
          </w:tcPr>
          <w:p w14:paraId="3541618A" w14:textId="77777777" w:rsidR="00AE4F2C" w:rsidRPr="00FB32B9" w:rsidRDefault="00AE4F2C" w:rsidP="00FB3A71">
            <w:pPr>
              <w:pStyle w:val="Tablecondensed"/>
            </w:pPr>
            <w:r>
              <w:t>5</w:t>
            </w:r>
          </w:p>
        </w:tc>
        <w:tc>
          <w:tcPr>
            <w:tcW w:w="640" w:type="dxa"/>
          </w:tcPr>
          <w:p w14:paraId="2847BC0F" w14:textId="77777777" w:rsidR="00AE4F2C" w:rsidRPr="00FB32B9" w:rsidRDefault="00AE4F2C" w:rsidP="00FB3A71">
            <w:pPr>
              <w:pStyle w:val="Tablecondensed"/>
            </w:pPr>
            <w:r>
              <w:t>16</w:t>
            </w:r>
          </w:p>
        </w:tc>
        <w:tc>
          <w:tcPr>
            <w:tcW w:w="641" w:type="dxa"/>
          </w:tcPr>
          <w:p w14:paraId="63064584" w14:textId="77777777" w:rsidR="00AE4F2C" w:rsidRPr="00FB32B9" w:rsidRDefault="00AE4F2C" w:rsidP="00FB3A71">
            <w:pPr>
              <w:pStyle w:val="Tablecondensed"/>
            </w:pPr>
            <w:r>
              <w:t>22</w:t>
            </w:r>
          </w:p>
        </w:tc>
        <w:tc>
          <w:tcPr>
            <w:tcW w:w="640" w:type="dxa"/>
          </w:tcPr>
          <w:p w14:paraId="02A5D065" w14:textId="77777777" w:rsidR="00AE4F2C" w:rsidRPr="00FB32B9" w:rsidRDefault="00AE4F2C" w:rsidP="00FB3A71">
            <w:pPr>
              <w:pStyle w:val="Tablecondensed"/>
            </w:pPr>
            <w:r>
              <w:t>18</w:t>
            </w:r>
          </w:p>
        </w:tc>
        <w:tc>
          <w:tcPr>
            <w:tcW w:w="641" w:type="dxa"/>
          </w:tcPr>
          <w:p w14:paraId="2E385456" w14:textId="77777777" w:rsidR="00AE4F2C" w:rsidRPr="00FB32B9" w:rsidRDefault="00AE4F2C" w:rsidP="00FB3A71">
            <w:pPr>
              <w:pStyle w:val="Tablecondensed"/>
            </w:pPr>
            <w:r>
              <w:t>12</w:t>
            </w:r>
          </w:p>
        </w:tc>
        <w:tc>
          <w:tcPr>
            <w:tcW w:w="640" w:type="dxa"/>
          </w:tcPr>
          <w:p w14:paraId="42083013" w14:textId="77777777" w:rsidR="00AE4F2C" w:rsidRPr="00FB32B9" w:rsidRDefault="00AE4F2C" w:rsidP="00FB3A71">
            <w:pPr>
              <w:pStyle w:val="Tablecondensed"/>
            </w:pPr>
            <w:r>
              <w:t>8</w:t>
            </w:r>
          </w:p>
        </w:tc>
        <w:tc>
          <w:tcPr>
            <w:tcW w:w="641" w:type="dxa"/>
          </w:tcPr>
          <w:p w14:paraId="4F2928A9" w14:textId="77777777" w:rsidR="00AE4F2C" w:rsidRPr="00FB32B9" w:rsidRDefault="00AE4F2C" w:rsidP="00FB3A71">
            <w:pPr>
              <w:pStyle w:val="Tablecondensed"/>
            </w:pPr>
            <w:r>
              <w:t>5</w:t>
            </w:r>
          </w:p>
        </w:tc>
        <w:tc>
          <w:tcPr>
            <w:tcW w:w="640" w:type="dxa"/>
          </w:tcPr>
          <w:p w14:paraId="7909BA7A" w14:textId="77777777" w:rsidR="00AE4F2C" w:rsidRPr="00FB32B9" w:rsidRDefault="00AE4F2C" w:rsidP="00FB3A71">
            <w:pPr>
              <w:pStyle w:val="Tablecondensed"/>
            </w:pPr>
            <w:r>
              <w:t>1.5</w:t>
            </w:r>
          </w:p>
        </w:tc>
        <w:tc>
          <w:tcPr>
            <w:tcW w:w="641" w:type="dxa"/>
          </w:tcPr>
          <w:p w14:paraId="0543C76B" w14:textId="77777777" w:rsidR="00AE4F2C" w:rsidRPr="00FB32B9" w:rsidRDefault="00AE4F2C" w:rsidP="00FB3A71">
            <w:pPr>
              <w:pStyle w:val="Tablecondensed"/>
            </w:pPr>
            <w:r>
              <w:t>0.5</w:t>
            </w:r>
          </w:p>
        </w:tc>
        <w:tc>
          <w:tcPr>
            <w:tcW w:w="1083" w:type="dxa"/>
          </w:tcPr>
          <w:p w14:paraId="14461955" w14:textId="77777777" w:rsidR="00AE4F2C" w:rsidRPr="00FB32B9" w:rsidRDefault="00AE4F2C" w:rsidP="00FB3A71">
            <w:pPr>
              <w:pStyle w:val="Tablecondensed"/>
            </w:pPr>
            <w:r>
              <w:t>4.2</w:t>
            </w:r>
          </w:p>
        </w:tc>
      </w:tr>
    </w:tbl>
    <w:p w14:paraId="0EA74C84" w14:textId="77777777" w:rsidR="00AE4F2C" w:rsidRDefault="00AE4F2C" w:rsidP="00FB3A71">
      <w:pPr>
        <w:pStyle w:val="BodyText"/>
      </w:pPr>
      <w:r>
        <w:t>This question required students to write an extended response evaluating how the Communists used the war with Japan to strengthen their position against the Guomindang.</w:t>
      </w:r>
    </w:p>
    <w:p w14:paraId="432F1901" w14:textId="3275EB68" w:rsidR="00AE4F2C" w:rsidRDefault="00AE4F2C" w:rsidP="00FB3A71">
      <w:pPr>
        <w:pStyle w:val="BodyText"/>
      </w:pPr>
      <w:r w:rsidRPr="4D02ACA0">
        <w:t xml:space="preserve">Most students </w:t>
      </w:r>
      <w:r w:rsidR="0075729A">
        <w:t>made well-</w:t>
      </w:r>
      <w:r w:rsidRPr="4D02ACA0">
        <w:t>constructed arguments that contrasted the Guomindang’s failures during the war with the Communists’ successes and supported this with evidence drawn from Source 14.</w:t>
      </w:r>
    </w:p>
    <w:p w14:paraId="00DF05EC" w14:textId="77777777" w:rsidR="00AE4F2C" w:rsidRDefault="00AE4F2C" w:rsidP="00FB3A71">
      <w:pPr>
        <w:pStyle w:val="BodyText"/>
      </w:pPr>
      <w:r>
        <w:t>High-scoring responses to this question tended to:</w:t>
      </w:r>
    </w:p>
    <w:p w14:paraId="06F2D7F3" w14:textId="14B616DA" w:rsidR="00AE4F2C" w:rsidRDefault="00AE4F2C" w:rsidP="00E710C9">
      <w:pPr>
        <w:pStyle w:val="Bullet"/>
      </w:pPr>
      <w:r>
        <w:t>form and justify an evaluation of how the Communists exploited the circumstances of the war to rebuild, expand and criticise the Guomindang</w:t>
      </w:r>
    </w:p>
    <w:p w14:paraId="2D533502" w14:textId="55B35726" w:rsidR="00AE4F2C" w:rsidRDefault="00AE4F2C" w:rsidP="00E710C9">
      <w:pPr>
        <w:pStyle w:val="Bullet"/>
      </w:pPr>
      <w:r>
        <w:lastRenderedPageBreak/>
        <w:t xml:space="preserve">use smoothly integrated direct quotes from Source 14 as a ‘springboard’ for a line of argument </w:t>
      </w:r>
      <w:r w:rsidR="00AE4207">
        <w:t xml:space="preserve">and </w:t>
      </w:r>
      <w:r>
        <w:t>then move beyond the source to explore a range of evidence from the student’s own knowledge</w:t>
      </w:r>
    </w:p>
    <w:p w14:paraId="6C2567C0" w14:textId="4F097186" w:rsidR="00AE4F2C" w:rsidRDefault="00AE4F2C" w:rsidP="00E710C9">
      <w:pPr>
        <w:pStyle w:val="Bullet"/>
      </w:pPr>
      <w:r>
        <w:t xml:space="preserve">recognise that Source 14 was a primary source offering a Communist perspective and use evidence to contextualise how Mao was able to exaggerate Guomindang failures and Communist successes </w:t>
      </w:r>
    </w:p>
    <w:p w14:paraId="720A2706" w14:textId="7925B667" w:rsidR="00AE4F2C" w:rsidRDefault="00AE4F2C" w:rsidP="00E710C9">
      <w:pPr>
        <w:pStyle w:val="Bullet"/>
      </w:pPr>
      <w:r>
        <w:t>explore the idea of ‘strengthen</w:t>
      </w:r>
      <w:r w:rsidR="0075729A">
        <w:t>[</w:t>
      </w:r>
      <w:r>
        <w:t>ing</w:t>
      </w:r>
      <w:r w:rsidR="0075729A">
        <w:t>]</w:t>
      </w:r>
      <w:r>
        <w:t xml:space="preserve"> their position’ by commenting on how the Communists expanded the Red Army and their support base at the Yan’an Soviet in preparation for the outbreak of the Chinese Civil War against the Guomindang in 1946</w:t>
      </w:r>
      <w:r w:rsidR="00AE4207">
        <w:t>.</w:t>
      </w:r>
    </w:p>
    <w:p w14:paraId="0A87F390" w14:textId="1837CAD3" w:rsidR="00AE4F2C" w:rsidRDefault="00AE4F2C" w:rsidP="00FB3A71">
      <w:pPr>
        <w:pStyle w:val="BodyText"/>
      </w:pPr>
      <w:r>
        <w:t xml:space="preserve">Common </w:t>
      </w:r>
      <w:r w:rsidR="0034559F">
        <w:t xml:space="preserve">limitations </w:t>
      </w:r>
      <w:r w:rsidR="00D430A7">
        <w:t xml:space="preserve">that </w:t>
      </w:r>
      <w:r>
        <w:t>prevented responses from reaching high marks included:</w:t>
      </w:r>
    </w:p>
    <w:p w14:paraId="1C97A1D3" w14:textId="4F42ECC1" w:rsidR="00AE4F2C" w:rsidRDefault="00AE4F2C" w:rsidP="00E710C9">
      <w:pPr>
        <w:pStyle w:val="Bullet"/>
      </w:pPr>
      <w:r>
        <w:t>rel</w:t>
      </w:r>
      <w:r w:rsidR="00D430A7">
        <w:t>ying too much</w:t>
      </w:r>
      <w:r>
        <w:t xml:space="preserve"> on evidence from Source 14 </w:t>
      </w:r>
    </w:p>
    <w:p w14:paraId="0027CC36" w14:textId="70D4CA6C" w:rsidR="00AE4F2C" w:rsidRDefault="00D430A7" w:rsidP="00E710C9">
      <w:pPr>
        <w:pStyle w:val="Bullet"/>
      </w:pPr>
      <w:r>
        <w:t xml:space="preserve">going </w:t>
      </w:r>
      <w:r w:rsidR="00AE4F2C">
        <w:t xml:space="preserve">off topic </w:t>
      </w:r>
      <w:r>
        <w:t xml:space="preserve">by </w:t>
      </w:r>
      <w:r w:rsidR="00AE4F2C">
        <w:t>discussin</w:t>
      </w:r>
      <w:r>
        <w:t>g</w:t>
      </w:r>
      <w:r w:rsidR="00AE4F2C">
        <w:t xml:space="preserve"> the Long March and other developments </w:t>
      </w:r>
      <w:r>
        <w:t xml:space="preserve">that </w:t>
      </w:r>
      <w:r w:rsidR="00AE4F2C">
        <w:t xml:space="preserve">preceded the outbreak of the </w:t>
      </w:r>
      <w:r w:rsidR="0075729A">
        <w:t>Sino-Japanese W</w:t>
      </w:r>
      <w:r w:rsidR="00AE4F2C">
        <w:t>ar in 1937</w:t>
      </w:r>
    </w:p>
    <w:p w14:paraId="11D1DBB5" w14:textId="77777777" w:rsidR="00AE4F2C" w:rsidRDefault="00AE4F2C" w:rsidP="00E710C9">
      <w:pPr>
        <w:pStyle w:val="Bullet"/>
      </w:pPr>
      <w:r>
        <w:t>discussing Guomindang failures during the war without establishing how these helped the Communists strengthen their position.</w:t>
      </w:r>
    </w:p>
    <w:p w14:paraId="3AE6690D" w14:textId="171EF76E" w:rsidR="00AE4F2C" w:rsidRPr="00896AA7" w:rsidRDefault="00AE4F2C" w:rsidP="00FB3A71">
      <w:pPr>
        <w:pStyle w:val="BodyText"/>
      </w:pPr>
      <w:r w:rsidRPr="00896AA7">
        <w:t xml:space="preserve">The following is a high-scoring response to Question </w:t>
      </w:r>
      <w:r>
        <w:t>4b</w:t>
      </w:r>
      <w:r w:rsidR="00D81463">
        <w:t>.</w:t>
      </w:r>
      <w:r w:rsidRPr="00896AA7">
        <w:t>:</w:t>
      </w:r>
    </w:p>
    <w:p w14:paraId="3458E5B5" w14:textId="6CAB183B" w:rsidR="00AE4F2C" w:rsidRDefault="00AE4F2C" w:rsidP="00FB3A71">
      <w:pPr>
        <w:pStyle w:val="Studentresponse"/>
      </w:pPr>
      <w:r>
        <w:t xml:space="preserve">The Chinese Communist </w:t>
      </w:r>
      <w:r w:rsidR="0034559F">
        <w:t xml:space="preserve">Party </w:t>
      </w:r>
      <w:r>
        <w:t>(CCP) used the Second Sino-Japanese War (1937</w:t>
      </w:r>
      <w:r w:rsidR="00AE4207">
        <w:t>–</w:t>
      </w:r>
      <w:r>
        <w:t>1945) to strengthen their position against the Guomindang (GMD) by appearing more efficient at fulfilling the principles of Nationalism and People’s Livelihood.</w:t>
      </w:r>
    </w:p>
    <w:p w14:paraId="51710F78" w14:textId="2DB000FD" w:rsidR="00AE4F2C" w:rsidRDefault="00AE4F2C" w:rsidP="00FB3A71">
      <w:pPr>
        <w:pStyle w:val="Studentresponse"/>
      </w:pPr>
      <w:r>
        <w:t xml:space="preserve">The CCP exhibited increased acts of nationalism during the Second Sino-Japanese War that strengthened their position… The GMD’s consistent </w:t>
      </w:r>
      <w:r w:rsidR="002D510D">
        <w:t>‘</w:t>
      </w:r>
      <w:r>
        <w:t>military defeats</w:t>
      </w:r>
      <w:r w:rsidR="002D510D">
        <w:t>’</w:t>
      </w:r>
      <w:r>
        <w:t xml:space="preserve"> (S14), including Shanghai (12th August – November 1937) where they lost 250</w:t>
      </w:r>
      <w:r w:rsidR="00AE4207">
        <w:t xml:space="preserve"> </w:t>
      </w:r>
      <w:r>
        <w:t xml:space="preserve">000 of their best troops, depicted them as weak and unable to sufficiently defend their people. The subsequent adoption of the strategy to </w:t>
      </w:r>
      <w:r w:rsidR="002D510D">
        <w:t>‘</w:t>
      </w:r>
      <w:r>
        <w:t>trade space for time</w:t>
      </w:r>
      <w:r w:rsidR="002D510D">
        <w:t>’</w:t>
      </w:r>
      <w:r>
        <w:t xml:space="preserve"> (Chiang) resulted in the loss of 400 miles of Chinese territory, including Nanjing (13th December 1937). The GMD’s abandonment of the city essentially betrayed its people, allowing 300</w:t>
      </w:r>
      <w:r w:rsidR="00373AA6">
        <w:t> </w:t>
      </w:r>
      <w:r>
        <w:t>000 to be killed</w:t>
      </w:r>
      <w:r w:rsidR="00AE4207">
        <w:t xml:space="preserve"> </w:t>
      </w:r>
      <w:r>
        <w:t xml:space="preserve">… by the Japanese who treated them as </w:t>
      </w:r>
      <w:r w:rsidR="002D510D">
        <w:t>‘</w:t>
      </w:r>
      <w:r>
        <w:t>ants crawling on the ground</w:t>
      </w:r>
      <w:r w:rsidR="002D510D">
        <w:t>’</w:t>
      </w:r>
      <w:r>
        <w:t xml:space="preserve"> (Japanese officer)</w:t>
      </w:r>
      <w:r w:rsidR="000B64A4">
        <w:t xml:space="preserve"> </w:t>
      </w:r>
      <w:r>
        <w:t xml:space="preserve">… demonstrating an inability to protect the people and displayed Chiang as a </w:t>
      </w:r>
      <w:r w:rsidR="002D510D">
        <w:t>‘</w:t>
      </w:r>
      <w:r>
        <w:t>cruel, incompetent dictator</w:t>
      </w:r>
      <w:r w:rsidR="002D510D">
        <w:t>’</w:t>
      </w:r>
      <w:r>
        <w:t xml:space="preserve"> (Fenby). However, the CCP capitalised on such failures … with the dismantling of 970</w:t>
      </w:r>
      <w:r w:rsidR="00AE4207">
        <w:t xml:space="preserve"> </w:t>
      </w:r>
      <w:r>
        <w:t>km of railway track and killing of 55 ranking Japanese officers. In addition, the launching of the Hundred Regiments Offensive (August 1940) where 22</w:t>
      </w:r>
      <w:r w:rsidR="00AE4207">
        <w:t xml:space="preserve"> </w:t>
      </w:r>
      <w:r>
        <w:t xml:space="preserve">000 Red Army soldiers patriotically sacrificed their lives for the country reinforced a series of heroic acts </w:t>
      </w:r>
      <w:proofErr w:type="gramStart"/>
      <w:r>
        <w:t>in order to</w:t>
      </w:r>
      <w:proofErr w:type="gramEnd"/>
      <w:r>
        <w:t xml:space="preserve"> protect the people. Thus, the CCP’s enthusiastic fulfilment of nationalism in comparison to the GMD’s failures assured that the GMD’s </w:t>
      </w:r>
      <w:r w:rsidR="002D510D">
        <w:t>‘</w:t>
      </w:r>
      <w:r>
        <w:t>supporters found it difficult to maintain their loyalty</w:t>
      </w:r>
      <w:r w:rsidR="002D510D">
        <w:t>’</w:t>
      </w:r>
      <w:r>
        <w:t xml:space="preserve"> (Lynch), exemplified by the 800</w:t>
      </w:r>
      <w:r w:rsidR="00AE4207">
        <w:t xml:space="preserve"> </w:t>
      </w:r>
      <w:r>
        <w:t>000 who joined the Red Army by 1945.</w:t>
      </w:r>
    </w:p>
    <w:p w14:paraId="796B49B4" w14:textId="5422B117" w:rsidR="00AE4F2C" w:rsidRPr="00936927" w:rsidRDefault="00AE4F2C" w:rsidP="00FB3A71">
      <w:pPr>
        <w:pStyle w:val="Studentresponse"/>
      </w:pPr>
      <w:r>
        <w:t xml:space="preserve">Furthermore, the CCP strengthened their position over the GMD by fulfilling People’s Livelihood… The GMD largely allowed </w:t>
      </w:r>
      <w:r w:rsidR="002D510D">
        <w:t>‘</w:t>
      </w:r>
      <w:r>
        <w:t>the oppression of the people</w:t>
      </w:r>
      <w:r w:rsidR="002D510D">
        <w:t>’</w:t>
      </w:r>
      <w:r>
        <w:t xml:space="preserve"> (S14) as the war led to dire conditions… This led taxes to rise 70</w:t>
      </w:r>
      <w:r w:rsidR="00AE4207">
        <w:t>–</w:t>
      </w:r>
      <w:r>
        <w:t>90% in some GMD controlled areas, resulting in a famine in Henan (</w:t>
      </w:r>
      <w:proofErr w:type="gramStart"/>
      <w:r>
        <w:t>1942)…</w:t>
      </w:r>
      <w:proofErr w:type="gramEnd"/>
      <w:r>
        <w:t xml:space="preserve"> Conversely, the CCP used the war and strengthened their position by capitali</w:t>
      </w:r>
      <w:r w:rsidR="00AE4207">
        <w:t>s</w:t>
      </w:r>
      <w:r>
        <w:t xml:space="preserve">ing on such failures. The conditions at the Yan’an Soviet were quite the opposite for </w:t>
      </w:r>
      <w:r w:rsidR="002D510D">
        <w:t>‘</w:t>
      </w:r>
      <w:r>
        <w:t>peasant, youth, women’s cultural and other organisations</w:t>
      </w:r>
      <w:r w:rsidR="002D510D">
        <w:t>’</w:t>
      </w:r>
      <w:r>
        <w:t xml:space="preserve"> (S14) with tax rates of 20</w:t>
      </w:r>
      <w:r w:rsidR="00AE4207">
        <w:t>–</w:t>
      </w:r>
      <w:r>
        <w:t>25%</w:t>
      </w:r>
      <w:r w:rsidR="00771182">
        <w:t>…</w:t>
      </w:r>
      <w:r>
        <w:t xml:space="preserve"> The additional campaigns against foot binding and for education demonstrated the utmost willingness to satisfy the needs of the people</w:t>
      </w:r>
      <w:r w:rsidR="00AE4207">
        <w:t xml:space="preserve"> </w:t>
      </w:r>
      <w:r>
        <w:t>… that would bolster the CCP’s image and position, evident in the 100 million who … reside</w:t>
      </w:r>
      <w:r w:rsidR="00211892">
        <w:t>d</w:t>
      </w:r>
      <w:r>
        <w:t xml:space="preserve"> under CCP rule near Yan’</w:t>
      </w:r>
      <w:proofErr w:type="spellStart"/>
      <w:r>
        <w:t>an</w:t>
      </w:r>
      <w:proofErr w:type="spellEnd"/>
      <w:r>
        <w:t xml:space="preserve"> by 1945.</w:t>
      </w:r>
    </w:p>
    <w:p w14:paraId="23F779CD" w14:textId="77777777" w:rsidR="00AE4F2C" w:rsidRDefault="00AE4F2C" w:rsidP="00AE4F2C">
      <w:pPr>
        <w:rPr>
          <w:rFonts w:ascii="Arial" w:hAnsi="Arial" w:cs="Arial"/>
          <w:color w:val="0F7EB4"/>
          <w:sz w:val="28"/>
          <w:lang w:val="en-AU" w:eastAsia="en-AU"/>
        </w:rPr>
      </w:pPr>
      <w:r>
        <w:rPr>
          <w:lang w:val="en-AU"/>
        </w:rPr>
        <w:br w:type="page"/>
      </w:r>
    </w:p>
    <w:p w14:paraId="6808673E" w14:textId="77777777" w:rsidR="00AE4F2C" w:rsidRDefault="00AE4F2C" w:rsidP="00AE4F2C">
      <w:pPr>
        <w:pStyle w:val="Heading4"/>
      </w:pPr>
      <w:r>
        <w:lastRenderedPageBreak/>
        <w:t>Question 4</w:t>
      </w:r>
      <w:r w:rsidRPr="00896AA7">
        <w:t>c</w:t>
      </w:r>
      <w:r>
        <w:t>.</w:t>
      </w:r>
    </w:p>
    <w:tbl>
      <w:tblPr>
        <w:tblStyle w:val="VCAATableClosed1"/>
        <w:tblW w:w="0" w:type="auto"/>
        <w:tblInd w:w="-5" w:type="dxa"/>
        <w:tblLayout w:type="fixed"/>
        <w:tblLook w:val="04A0" w:firstRow="1" w:lastRow="0" w:firstColumn="1" w:lastColumn="0" w:noHBand="0" w:noVBand="1"/>
      </w:tblPr>
      <w:tblGrid>
        <w:gridCol w:w="691"/>
        <w:gridCol w:w="578"/>
        <w:gridCol w:w="578"/>
        <w:gridCol w:w="578"/>
        <w:gridCol w:w="578"/>
        <w:gridCol w:w="578"/>
        <w:gridCol w:w="578"/>
        <w:gridCol w:w="578"/>
        <w:gridCol w:w="1287"/>
      </w:tblGrid>
      <w:tr w:rsidR="00AE4F2C" w:rsidRPr="00FB32B9" w14:paraId="2B7F7AA1"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691" w:type="dxa"/>
            <w:tcBorders>
              <w:top w:val="single" w:sz="4" w:space="0" w:color="000000"/>
              <w:left w:val="single" w:sz="4" w:space="0" w:color="000000"/>
              <w:bottom w:val="single" w:sz="4" w:space="0" w:color="000000"/>
            </w:tcBorders>
            <w:hideMark/>
          </w:tcPr>
          <w:p w14:paraId="256D9116" w14:textId="77777777" w:rsidR="00AE4F2C" w:rsidRPr="00FB32B9" w:rsidRDefault="00AE4F2C" w:rsidP="00FB3A71">
            <w:pPr>
              <w:pStyle w:val="Tablecondensedheading"/>
            </w:pPr>
            <w:r w:rsidRPr="00FB32B9">
              <w:t xml:space="preserve">Marks </w:t>
            </w:r>
          </w:p>
        </w:tc>
        <w:tc>
          <w:tcPr>
            <w:tcW w:w="578" w:type="dxa"/>
            <w:tcBorders>
              <w:top w:val="single" w:sz="4" w:space="0" w:color="000000"/>
              <w:bottom w:val="single" w:sz="4" w:space="0" w:color="000000"/>
            </w:tcBorders>
            <w:hideMark/>
          </w:tcPr>
          <w:p w14:paraId="7763D17B" w14:textId="77777777" w:rsidR="00AE4F2C" w:rsidRPr="00FB32B9" w:rsidRDefault="00AE4F2C" w:rsidP="00FB3A71">
            <w:pPr>
              <w:pStyle w:val="Tablecondensedheading"/>
            </w:pPr>
            <w:r w:rsidRPr="00FB32B9">
              <w:t>0</w:t>
            </w:r>
          </w:p>
        </w:tc>
        <w:tc>
          <w:tcPr>
            <w:tcW w:w="578" w:type="dxa"/>
            <w:tcBorders>
              <w:top w:val="single" w:sz="4" w:space="0" w:color="000000"/>
              <w:bottom w:val="single" w:sz="4" w:space="0" w:color="000000"/>
            </w:tcBorders>
            <w:hideMark/>
          </w:tcPr>
          <w:p w14:paraId="4B684961" w14:textId="77777777" w:rsidR="00AE4F2C" w:rsidRPr="00FB32B9" w:rsidRDefault="00AE4F2C" w:rsidP="00FB3A71">
            <w:pPr>
              <w:pStyle w:val="Tablecondensedheading"/>
            </w:pPr>
            <w:r w:rsidRPr="00FB32B9">
              <w:t>1</w:t>
            </w:r>
          </w:p>
        </w:tc>
        <w:tc>
          <w:tcPr>
            <w:tcW w:w="578" w:type="dxa"/>
            <w:tcBorders>
              <w:top w:val="single" w:sz="4" w:space="0" w:color="000000"/>
              <w:bottom w:val="single" w:sz="4" w:space="0" w:color="000000"/>
            </w:tcBorders>
            <w:hideMark/>
          </w:tcPr>
          <w:p w14:paraId="7AD3E514" w14:textId="77777777" w:rsidR="00AE4F2C" w:rsidRPr="00FB32B9" w:rsidRDefault="00AE4F2C" w:rsidP="00FB3A71">
            <w:pPr>
              <w:pStyle w:val="Tablecondensedheading"/>
            </w:pPr>
            <w:r w:rsidRPr="00FB32B9">
              <w:t>2</w:t>
            </w:r>
          </w:p>
        </w:tc>
        <w:tc>
          <w:tcPr>
            <w:tcW w:w="578" w:type="dxa"/>
            <w:tcBorders>
              <w:top w:val="single" w:sz="4" w:space="0" w:color="000000"/>
              <w:bottom w:val="single" w:sz="4" w:space="0" w:color="000000"/>
            </w:tcBorders>
            <w:hideMark/>
          </w:tcPr>
          <w:p w14:paraId="2E081E1D" w14:textId="77777777" w:rsidR="00AE4F2C" w:rsidRPr="00FB32B9" w:rsidRDefault="00AE4F2C" w:rsidP="00FB3A71">
            <w:pPr>
              <w:pStyle w:val="Tablecondensedheading"/>
            </w:pPr>
            <w:r w:rsidRPr="00FB32B9">
              <w:t>3</w:t>
            </w:r>
          </w:p>
        </w:tc>
        <w:tc>
          <w:tcPr>
            <w:tcW w:w="578" w:type="dxa"/>
            <w:tcBorders>
              <w:top w:val="single" w:sz="4" w:space="0" w:color="000000"/>
              <w:bottom w:val="single" w:sz="4" w:space="0" w:color="000000"/>
            </w:tcBorders>
          </w:tcPr>
          <w:p w14:paraId="0877FD1B" w14:textId="77777777" w:rsidR="00AE4F2C" w:rsidRPr="00FB32B9" w:rsidRDefault="00AE4F2C" w:rsidP="00FB3A71">
            <w:pPr>
              <w:pStyle w:val="Tablecondensedheading"/>
            </w:pPr>
            <w:r w:rsidRPr="00FB32B9">
              <w:t>4</w:t>
            </w:r>
          </w:p>
        </w:tc>
        <w:tc>
          <w:tcPr>
            <w:tcW w:w="578" w:type="dxa"/>
            <w:tcBorders>
              <w:top w:val="single" w:sz="4" w:space="0" w:color="000000"/>
              <w:bottom w:val="single" w:sz="4" w:space="0" w:color="000000"/>
            </w:tcBorders>
          </w:tcPr>
          <w:p w14:paraId="7E359B9E" w14:textId="77777777" w:rsidR="00AE4F2C" w:rsidRPr="00FB32B9" w:rsidRDefault="00AE4F2C" w:rsidP="00FB3A71">
            <w:pPr>
              <w:pStyle w:val="Tablecondensedheading"/>
            </w:pPr>
            <w:r w:rsidRPr="00FB32B9">
              <w:t>5</w:t>
            </w:r>
          </w:p>
        </w:tc>
        <w:tc>
          <w:tcPr>
            <w:tcW w:w="578" w:type="dxa"/>
            <w:tcBorders>
              <w:top w:val="single" w:sz="4" w:space="0" w:color="000000"/>
              <w:bottom w:val="single" w:sz="4" w:space="0" w:color="000000"/>
            </w:tcBorders>
          </w:tcPr>
          <w:p w14:paraId="69A0000C" w14:textId="77777777" w:rsidR="00AE4F2C" w:rsidRPr="00FB32B9" w:rsidRDefault="00AE4F2C" w:rsidP="00FB3A71">
            <w:pPr>
              <w:pStyle w:val="Tablecondensedheading"/>
            </w:pPr>
            <w:r w:rsidRPr="00FB32B9">
              <w:t>6</w:t>
            </w:r>
          </w:p>
        </w:tc>
        <w:tc>
          <w:tcPr>
            <w:tcW w:w="1287" w:type="dxa"/>
            <w:tcBorders>
              <w:top w:val="single" w:sz="4" w:space="0" w:color="000000"/>
              <w:bottom w:val="single" w:sz="4" w:space="0" w:color="000000"/>
              <w:right w:val="single" w:sz="4" w:space="0" w:color="000000"/>
            </w:tcBorders>
            <w:hideMark/>
          </w:tcPr>
          <w:p w14:paraId="3A2EABBE" w14:textId="77777777" w:rsidR="00AE4F2C" w:rsidRPr="00FB32B9" w:rsidRDefault="00AE4F2C" w:rsidP="00FB3A71">
            <w:pPr>
              <w:pStyle w:val="Tablecondensedheading"/>
            </w:pPr>
            <w:r w:rsidRPr="00FB32B9">
              <w:t>Average</w:t>
            </w:r>
          </w:p>
        </w:tc>
      </w:tr>
      <w:tr w:rsidR="00AE4F2C" w:rsidRPr="00FB32B9" w14:paraId="1BF3DD18" w14:textId="77777777" w:rsidTr="00DF0280">
        <w:trPr>
          <w:trHeight w:val="392"/>
        </w:trPr>
        <w:tc>
          <w:tcPr>
            <w:tcW w:w="691" w:type="dxa"/>
            <w:tcBorders>
              <w:top w:val="single" w:sz="4" w:space="0" w:color="000000"/>
              <w:left w:val="single" w:sz="4" w:space="0" w:color="000000"/>
              <w:bottom w:val="single" w:sz="4" w:space="0" w:color="000000"/>
              <w:right w:val="single" w:sz="4" w:space="0" w:color="000000"/>
            </w:tcBorders>
            <w:hideMark/>
          </w:tcPr>
          <w:p w14:paraId="54904DD3" w14:textId="77777777" w:rsidR="00AE4F2C" w:rsidRPr="00FB32B9" w:rsidRDefault="00AE4F2C" w:rsidP="00FB3A71">
            <w:pPr>
              <w:pStyle w:val="Tablecondensed"/>
            </w:pPr>
            <w:r w:rsidRPr="00FB32B9">
              <w:t>%</w:t>
            </w:r>
          </w:p>
        </w:tc>
        <w:tc>
          <w:tcPr>
            <w:tcW w:w="578" w:type="dxa"/>
            <w:tcBorders>
              <w:top w:val="single" w:sz="4" w:space="0" w:color="000000"/>
              <w:left w:val="single" w:sz="4" w:space="0" w:color="000000"/>
              <w:bottom w:val="single" w:sz="4" w:space="0" w:color="000000"/>
              <w:right w:val="single" w:sz="4" w:space="0" w:color="000000"/>
            </w:tcBorders>
          </w:tcPr>
          <w:p w14:paraId="3F06819A" w14:textId="77777777" w:rsidR="00AE4F2C" w:rsidRPr="00FB32B9" w:rsidRDefault="00AE4F2C" w:rsidP="00FB3A71">
            <w:pPr>
              <w:pStyle w:val="Tablecondensed"/>
            </w:pPr>
            <w:r>
              <w:t>10</w:t>
            </w:r>
          </w:p>
        </w:tc>
        <w:tc>
          <w:tcPr>
            <w:tcW w:w="578" w:type="dxa"/>
            <w:tcBorders>
              <w:top w:val="single" w:sz="4" w:space="0" w:color="000000"/>
              <w:left w:val="single" w:sz="4" w:space="0" w:color="000000"/>
              <w:bottom w:val="single" w:sz="4" w:space="0" w:color="000000"/>
              <w:right w:val="single" w:sz="4" w:space="0" w:color="000000"/>
            </w:tcBorders>
          </w:tcPr>
          <w:p w14:paraId="77A6C4A3" w14:textId="77777777" w:rsidR="00AE4F2C" w:rsidRPr="00FB32B9" w:rsidRDefault="00AE4F2C" w:rsidP="00FB3A71">
            <w:pPr>
              <w:pStyle w:val="Tablecondensed"/>
            </w:pPr>
            <w:r>
              <w:t>3</w:t>
            </w:r>
          </w:p>
        </w:tc>
        <w:tc>
          <w:tcPr>
            <w:tcW w:w="578" w:type="dxa"/>
            <w:tcBorders>
              <w:top w:val="single" w:sz="4" w:space="0" w:color="000000"/>
              <w:left w:val="single" w:sz="4" w:space="0" w:color="000000"/>
              <w:bottom w:val="single" w:sz="4" w:space="0" w:color="000000"/>
              <w:right w:val="single" w:sz="4" w:space="0" w:color="000000"/>
            </w:tcBorders>
          </w:tcPr>
          <w:p w14:paraId="53D29D4C" w14:textId="77777777" w:rsidR="00AE4F2C" w:rsidRPr="00FB32B9" w:rsidRDefault="00AE4F2C" w:rsidP="00FB3A71">
            <w:pPr>
              <w:pStyle w:val="Tablecondensed"/>
            </w:pPr>
            <w:r>
              <w:t>23</w:t>
            </w:r>
          </w:p>
        </w:tc>
        <w:tc>
          <w:tcPr>
            <w:tcW w:w="578" w:type="dxa"/>
            <w:tcBorders>
              <w:top w:val="single" w:sz="4" w:space="0" w:color="000000"/>
              <w:left w:val="single" w:sz="4" w:space="0" w:color="000000"/>
              <w:bottom w:val="single" w:sz="4" w:space="0" w:color="000000"/>
              <w:right w:val="single" w:sz="4" w:space="0" w:color="000000"/>
            </w:tcBorders>
          </w:tcPr>
          <w:p w14:paraId="51E93EA8" w14:textId="77777777" w:rsidR="00AE4F2C" w:rsidRPr="00FB32B9" w:rsidRDefault="00AE4F2C" w:rsidP="00FB3A71">
            <w:pPr>
              <w:pStyle w:val="Tablecondensed"/>
            </w:pPr>
            <w:r>
              <w:t>37</w:t>
            </w:r>
          </w:p>
        </w:tc>
        <w:tc>
          <w:tcPr>
            <w:tcW w:w="578" w:type="dxa"/>
            <w:tcBorders>
              <w:top w:val="single" w:sz="4" w:space="0" w:color="000000"/>
              <w:left w:val="single" w:sz="4" w:space="0" w:color="000000"/>
              <w:bottom w:val="single" w:sz="4" w:space="0" w:color="000000"/>
              <w:right w:val="single" w:sz="4" w:space="0" w:color="000000"/>
            </w:tcBorders>
          </w:tcPr>
          <w:p w14:paraId="7C1588E5" w14:textId="77777777" w:rsidR="00AE4F2C" w:rsidRPr="00FB32B9" w:rsidRDefault="00AE4F2C" w:rsidP="00FB3A71">
            <w:pPr>
              <w:pStyle w:val="Tablecondensed"/>
            </w:pPr>
            <w:r>
              <w:t>18</w:t>
            </w:r>
          </w:p>
        </w:tc>
        <w:tc>
          <w:tcPr>
            <w:tcW w:w="578" w:type="dxa"/>
            <w:tcBorders>
              <w:top w:val="single" w:sz="4" w:space="0" w:color="000000"/>
              <w:left w:val="single" w:sz="4" w:space="0" w:color="000000"/>
              <w:bottom w:val="single" w:sz="4" w:space="0" w:color="000000"/>
              <w:right w:val="single" w:sz="4" w:space="0" w:color="000000"/>
            </w:tcBorders>
          </w:tcPr>
          <w:p w14:paraId="6131BF89" w14:textId="77777777" w:rsidR="00AE4F2C" w:rsidRPr="00FB32B9" w:rsidRDefault="00AE4F2C" w:rsidP="00FB3A71">
            <w:pPr>
              <w:pStyle w:val="Tablecondensed"/>
            </w:pPr>
            <w:r>
              <w:t>7</w:t>
            </w:r>
          </w:p>
        </w:tc>
        <w:tc>
          <w:tcPr>
            <w:tcW w:w="578" w:type="dxa"/>
            <w:tcBorders>
              <w:top w:val="single" w:sz="4" w:space="0" w:color="000000"/>
              <w:left w:val="single" w:sz="4" w:space="0" w:color="000000"/>
              <w:bottom w:val="single" w:sz="4" w:space="0" w:color="000000"/>
              <w:right w:val="single" w:sz="4" w:space="0" w:color="000000"/>
            </w:tcBorders>
          </w:tcPr>
          <w:p w14:paraId="4C8DDED5" w14:textId="77777777" w:rsidR="00AE4F2C" w:rsidRPr="00FB32B9" w:rsidRDefault="00AE4F2C" w:rsidP="00FB3A71">
            <w:pPr>
              <w:pStyle w:val="Tablecondensed"/>
            </w:pPr>
            <w:r>
              <w:t>2</w:t>
            </w:r>
          </w:p>
        </w:tc>
        <w:tc>
          <w:tcPr>
            <w:tcW w:w="1287" w:type="dxa"/>
            <w:tcBorders>
              <w:top w:val="single" w:sz="4" w:space="0" w:color="000000"/>
              <w:left w:val="single" w:sz="4" w:space="0" w:color="000000"/>
              <w:bottom w:val="single" w:sz="4" w:space="0" w:color="000000"/>
              <w:right w:val="single" w:sz="4" w:space="0" w:color="000000"/>
            </w:tcBorders>
          </w:tcPr>
          <w:p w14:paraId="79AA7914" w14:textId="77777777" w:rsidR="00AE4F2C" w:rsidRPr="00FB32B9" w:rsidRDefault="00AE4F2C" w:rsidP="00FB3A71">
            <w:pPr>
              <w:pStyle w:val="Tablecondensed"/>
            </w:pPr>
            <w:r>
              <w:t>2.8</w:t>
            </w:r>
          </w:p>
        </w:tc>
      </w:tr>
    </w:tbl>
    <w:p w14:paraId="757599B0" w14:textId="77777777" w:rsidR="00AE4F2C" w:rsidRDefault="00AE4F2C" w:rsidP="00FB3A71">
      <w:pPr>
        <w:pStyle w:val="BodyText"/>
      </w:pPr>
      <w:r>
        <w:t xml:space="preserve">This question required students to analyse why a new approach was taken with the Great Leap Forward in 1958. </w:t>
      </w:r>
    </w:p>
    <w:p w14:paraId="3B95E914" w14:textId="7278662D" w:rsidR="00AE4F2C" w:rsidRDefault="00AE4F2C" w:rsidP="00FB3A71">
      <w:pPr>
        <w:pStyle w:val="BodyText"/>
      </w:pPr>
      <w:r>
        <w:t xml:space="preserve">Most students were able to use evidence from Source 15 to argue that the Great Leap Forward aimed to transform and modernise the economy by mobilising China’s massive rural population. Many students also linked the campaign to Mao’s desire for China to rival or even overtake advanced economies like </w:t>
      </w:r>
      <w:r w:rsidR="00AE4207">
        <w:t xml:space="preserve">that of </w:t>
      </w:r>
      <w:r>
        <w:t>the U</w:t>
      </w:r>
      <w:r w:rsidR="00296DF8">
        <w:t xml:space="preserve">nited </w:t>
      </w:r>
      <w:r>
        <w:t>K</w:t>
      </w:r>
      <w:r w:rsidR="00296DF8">
        <w:t>ingdom</w:t>
      </w:r>
      <w:r>
        <w:t>.</w:t>
      </w:r>
    </w:p>
    <w:p w14:paraId="011B6CBA" w14:textId="77777777" w:rsidR="00AE4F2C" w:rsidRDefault="00AE4F2C" w:rsidP="00FB3A71">
      <w:pPr>
        <w:pStyle w:val="BodyText"/>
      </w:pPr>
      <w:r>
        <w:t>High-scoring responses to this question tended to:</w:t>
      </w:r>
    </w:p>
    <w:p w14:paraId="1426C17D" w14:textId="644CFC25" w:rsidR="00AE4F2C" w:rsidRDefault="00AE4F2C" w:rsidP="00E710C9">
      <w:pPr>
        <w:pStyle w:val="Bullet"/>
      </w:pPr>
      <w:r>
        <w:t>incorporate a range of short direct quotes from Source 15</w:t>
      </w:r>
    </w:p>
    <w:p w14:paraId="2DD98871" w14:textId="51F0AEA0" w:rsidR="00AE4F2C" w:rsidRDefault="00AE4F2C" w:rsidP="00E710C9">
      <w:pPr>
        <w:pStyle w:val="Bullet"/>
      </w:pPr>
      <w:r>
        <w:t xml:space="preserve">provide context about </w:t>
      </w:r>
      <w:r w:rsidR="00AE4207">
        <w:t xml:space="preserve">the </w:t>
      </w:r>
      <w:r>
        <w:t>perceived limitations of the Soviet economic model used in the First Five-Year Plan and/or the desire to build on the perceived success of the ‘high tide of socialism’ collectivisation drive in 1955</w:t>
      </w:r>
      <w:r w:rsidR="00AE4207">
        <w:t>–</w:t>
      </w:r>
      <w:r w:rsidR="00062151">
        <w:t>19</w:t>
      </w:r>
      <w:r>
        <w:t>56</w:t>
      </w:r>
    </w:p>
    <w:p w14:paraId="0D542697" w14:textId="77777777" w:rsidR="00AE4F2C" w:rsidRDefault="00AE4F2C" w:rsidP="00E710C9">
      <w:pPr>
        <w:pStyle w:val="Bullet"/>
      </w:pPr>
      <w:r>
        <w:t>provide specific evidence that illustrated Mao Zedong’s motives for launching the Great Leap Forward, such as direct quotes from Mao or from historians, or inferences based on the specific goals of mass campaigns launched in 1958.</w:t>
      </w:r>
    </w:p>
    <w:p w14:paraId="70592E48" w14:textId="4ACB7495" w:rsidR="00AE4F2C" w:rsidRDefault="00AE4F2C" w:rsidP="00FB3A71">
      <w:pPr>
        <w:pStyle w:val="BodyText"/>
      </w:pPr>
      <w:r>
        <w:t xml:space="preserve">Limitations </w:t>
      </w:r>
      <w:r w:rsidR="00D430A7">
        <w:t xml:space="preserve">that </w:t>
      </w:r>
      <w:r>
        <w:t xml:space="preserve">prevented responses from achieving the highest marks included: </w:t>
      </w:r>
    </w:p>
    <w:p w14:paraId="285163ED" w14:textId="27B383AB" w:rsidR="00AE4F2C" w:rsidRPr="00E710C9" w:rsidRDefault="00AE4F2C" w:rsidP="00E710C9">
      <w:pPr>
        <w:pStyle w:val="Bullet"/>
      </w:pPr>
      <w:r w:rsidRPr="00E710C9">
        <w:t>rel</w:t>
      </w:r>
      <w:r w:rsidR="00D430A7">
        <w:t>ying too much</w:t>
      </w:r>
      <w:r w:rsidRPr="00E710C9">
        <w:t xml:space="preserve"> on evidence from Source 15</w:t>
      </w:r>
    </w:p>
    <w:p w14:paraId="55733C36" w14:textId="6A54AB42" w:rsidR="00AE4F2C" w:rsidRPr="00E710C9" w:rsidRDefault="00AE4F2C" w:rsidP="00E710C9">
      <w:pPr>
        <w:pStyle w:val="Bullet"/>
      </w:pPr>
      <w:r w:rsidRPr="00E710C9">
        <w:t>going off topic by discussing the consequences and failure</w:t>
      </w:r>
      <w:r w:rsidR="00062151">
        <w:t>s</w:t>
      </w:r>
      <w:r w:rsidRPr="00E710C9">
        <w:t xml:space="preserve"> of the Great Leap Forward, such as giving details of the famine.</w:t>
      </w:r>
    </w:p>
    <w:p w14:paraId="40D9B78A" w14:textId="1A06FEAC" w:rsidR="00AE4F2C" w:rsidRPr="00896AA7" w:rsidRDefault="00AE4F2C" w:rsidP="00FB3A71">
      <w:pPr>
        <w:pStyle w:val="BodyText"/>
      </w:pPr>
      <w:r w:rsidRPr="00896AA7">
        <w:t xml:space="preserve">The following is a high-scoring response to Question </w:t>
      </w:r>
      <w:r>
        <w:t>4c</w:t>
      </w:r>
      <w:r w:rsidR="00D81463">
        <w:t>.</w:t>
      </w:r>
      <w:r w:rsidRPr="00896AA7">
        <w:t>:</w:t>
      </w:r>
    </w:p>
    <w:p w14:paraId="7B62ED64" w14:textId="2CCEF77C" w:rsidR="00AE4F2C" w:rsidRDefault="00AE4F2C" w:rsidP="00FB3A71">
      <w:pPr>
        <w:pStyle w:val="Studentresponse"/>
      </w:pPr>
      <w:r>
        <w:t>A new approach was taken with the GLF</w:t>
      </w:r>
      <w:r w:rsidR="00AE4207">
        <w:t xml:space="preserve"> [Great Leap Forward]</w:t>
      </w:r>
      <w:r>
        <w:t xml:space="preserve"> (1958</w:t>
      </w:r>
      <w:r w:rsidR="00AE4207">
        <w:t>–</w:t>
      </w:r>
      <w:r>
        <w:t>1962) to industrialise the countryside and increase production.</w:t>
      </w:r>
    </w:p>
    <w:p w14:paraId="1D3A0161" w14:textId="1CE03B77" w:rsidR="00AE4F2C" w:rsidRDefault="00AE4F2C" w:rsidP="00FB3A71">
      <w:pPr>
        <w:pStyle w:val="Studentresponse"/>
      </w:pPr>
      <w:r>
        <w:t xml:space="preserve">The GLF used a new approach to facilitate industrialisation of rural areas. This policy aimed to utilise </w:t>
      </w:r>
      <w:r w:rsidR="002D510D">
        <w:t>‘</w:t>
      </w:r>
      <w:r>
        <w:t>China’s abundant surplus rural workers</w:t>
      </w:r>
      <w:r w:rsidR="002D510D">
        <w:t>’</w:t>
      </w:r>
      <w:r>
        <w:t xml:space="preserve"> (S15), which led to the production of 600</w:t>
      </w:r>
      <w:r w:rsidR="00AE4207">
        <w:t xml:space="preserve"> </w:t>
      </w:r>
      <w:r>
        <w:t>000 steel furnaces in the countryside. This was due to the success of the First Five Year Plan (1953</w:t>
      </w:r>
      <w:r w:rsidR="00AA7092">
        <w:t>–</w:t>
      </w:r>
      <w:r>
        <w:t>1957) which increased industrial output by 10</w:t>
      </w:r>
      <w:r w:rsidR="00AA7092">
        <w:t>–</w:t>
      </w:r>
      <w:r>
        <w:t>16% and Mao wanted to achieve such success on a larger scale. Therefore, the ruralisation of industry led to a significant change in which 100 million people were taken from farms to work on steel furnaces…</w:t>
      </w:r>
    </w:p>
    <w:p w14:paraId="55539704" w14:textId="2A125BC1" w:rsidR="00AE4F2C" w:rsidRPr="00936927" w:rsidRDefault="00AE4F2C" w:rsidP="00FB3A71">
      <w:pPr>
        <w:pStyle w:val="Studentresponse"/>
        <w:rPr>
          <w:lang w:val="en-US"/>
        </w:rPr>
      </w:pPr>
      <w:r>
        <w:t>Furthermore, the GLF used a new approach to increase the scale of production. The First Five Year Plan had resulted in a mere 2</w:t>
      </w:r>
      <w:r w:rsidR="00AA7092">
        <w:t>–</w:t>
      </w:r>
      <w:r>
        <w:t xml:space="preserve">3% increase in agricultural production, and Mao wanted to </w:t>
      </w:r>
      <w:r w:rsidR="002D510D">
        <w:t>‘</w:t>
      </w:r>
      <w:r>
        <w:t>increase both agricultural and industrial output by manifolds</w:t>
      </w:r>
      <w:r w:rsidR="002D510D">
        <w:t>’</w:t>
      </w:r>
      <w:r>
        <w:t xml:space="preserve"> (S15). This led to the collectivisation of work and life, including the construction of 26</w:t>
      </w:r>
      <w:r w:rsidR="00AE4207">
        <w:t xml:space="preserve"> </w:t>
      </w:r>
      <w:r>
        <w:t>000 communes, and the formation of ‘work teams’ of 150</w:t>
      </w:r>
      <w:r w:rsidR="00AE4207">
        <w:t>–</w:t>
      </w:r>
      <w:r>
        <w:t xml:space="preserve">600 people. Hence, the aim to </w:t>
      </w:r>
      <w:r w:rsidR="002D510D">
        <w:t>‘</w:t>
      </w:r>
      <w:r>
        <w:t>get to heaven in a single leap</w:t>
      </w:r>
      <w:r w:rsidR="002D510D">
        <w:t>’</w:t>
      </w:r>
      <w:r>
        <w:t xml:space="preserve"> was acted on during the GLF, with </w:t>
      </w:r>
      <w:r w:rsidR="002D510D">
        <w:t>‘</w:t>
      </w:r>
      <w:r>
        <w:t>impossible grain quotas</w:t>
      </w:r>
      <w:r w:rsidR="002D510D">
        <w:t>’</w:t>
      </w:r>
      <w:r>
        <w:t xml:space="preserve"> (Ryan) of 270 million tons set in 1959.</w:t>
      </w:r>
    </w:p>
    <w:p w14:paraId="32C5C648" w14:textId="77777777" w:rsidR="00D81463" w:rsidRDefault="00D81463">
      <w:pPr>
        <w:spacing w:line="276" w:lineRule="auto"/>
        <w:rPr>
          <w:rFonts w:ascii="Arial" w:hAnsi="Arial" w:cs="Arial"/>
          <w:color w:val="0F7EB4"/>
          <w:sz w:val="28"/>
          <w:lang w:val="en-AU" w:eastAsia="en-AU"/>
        </w:rPr>
      </w:pPr>
      <w:r>
        <w:br w:type="page"/>
      </w:r>
    </w:p>
    <w:p w14:paraId="02D557D0" w14:textId="4A803032" w:rsidR="00AE4F2C" w:rsidRDefault="00AE4F2C" w:rsidP="00AE4F2C">
      <w:pPr>
        <w:pStyle w:val="Heading4"/>
      </w:pPr>
      <w:r>
        <w:t>Question 4</w:t>
      </w:r>
      <w:r w:rsidRPr="00896AA7">
        <w:t>d</w:t>
      </w:r>
      <w:r>
        <w:t>.</w:t>
      </w:r>
    </w:p>
    <w:tbl>
      <w:tblPr>
        <w:tblStyle w:val="VCAATableClosed1"/>
        <w:tblW w:w="5773" w:type="dxa"/>
        <w:tblInd w:w="-5" w:type="dxa"/>
        <w:tblLook w:val="04A0" w:firstRow="1" w:lastRow="0" w:firstColumn="1" w:lastColumn="0" w:noHBand="0" w:noVBand="1"/>
      </w:tblPr>
      <w:tblGrid>
        <w:gridCol w:w="1030"/>
        <w:gridCol w:w="576"/>
        <w:gridCol w:w="576"/>
        <w:gridCol w:w="576"/>
        <w:gridCol w:w="576"/>
        <w:gridCol w:w="576"/>
        <w:gridCol w:w="576"/>
        <w:gridCol w:w="1287"/>
      </w:tblGrid>
      <w:tr w:rsidR="00AE4F2C" w:rsidRPr="00FB32B9" w14:paraId="6327F717" w14:textId="77777777" w:rsidTr="00DF0280">
        <w:trPr>
          <w:cnfStyle w:val="100000000000" w:firstRow="1" w:lastRow="0" w:firstColumn="0" w:lastColumn="0" w:oddVBand="0" w:evenVBand="0" w:oddHBand="0" w:evenHBand="0" w:firstRowFirstColumn="0" w:firstRowLastColumn="0" w:lastRowFirstColumn="0" w:lastRowLastColumn="0"/>
          <w:trHeight w:val="410"/>
        </w:trPr>
        <w:tc>
          <w:tcPr>
            <w:tcW w:w="1030" w:type="dxa"/>
          </w:tcPr>
          <w:p w14:paraId="4D96747E" w14:textId="77777777" w:rsidR="00AE4F2C" w:rsidRPr="00FB32B9" w:rsidRDefault="00AE4F2C" w:rsidP="00FB3A71">
            <w:pPr>
              <w:pStyle w:val="Tablecondensedheading"/>
            </w:pPr>
            <w:r w:rsidRPr="00FB32B9">
              <w:t xml:space="preserve">Marks </w:t>
            </w:r>
          </w:p>
        </w:tc>
        <w:tc>
          <w:tcPr>
            <w:tcW w:w="576" w:type="dxa"/>
          </w:tcPr>
          <w:p w14:paraId="1FFFECE1" w14:textId="77777777" w:rsidR="00AE4F2C" w:rsidRPr="00FB32B9" w:rsidRDefault="00AE4F2C" w:rsidP="00FB3A71">
            <w:pPr>
              <w:pStyle w:val="Tablecondensedheading"/>
            </w:pPr>
            <w:r w:rsidRPr="00FB32B9">
              <w:t>0</w:t>
            </w:r>
          </w:p>
        </w:tc>
        <w:tc>
          <w:tcPr>
            <w:tcW w:w="576" w:type="dxa"/>
          </w:tcPr>
          <w:p w14:paraId="382F3BD2" w14:textId="77777777" w:rsidR="00AE4F2C" w:rsidRPr="00FB32B9" w:rsidRDefault="00AE4F2C" w:rsidP="00FB3A71">
            <w:pPr>
              <w:pStyle w:val="Tablecondensedheading"/>
            </w:pPr>
            <w:r w:rsidRPr="00FB32B9">
              <w:t>1</w:t>
            </w:r>
          </w:p>
        </w:tc>
        <w:tc>
          <w:tcPr>
            <w:tcW w:w="576" w:type="dxa"/>
          </w:tcPr>
          <w:p w14:paraId="0716B717" w14:textId="77777777" w:rsidR="00AE4F2C" w:rsidRPr="00FB32B9" w:rsidRDefault="00AE4F2C" w:rsidP="00FB3A71">
            <w:pPr>
              <w:pStyle w:val="Tablecondensedheading"/>
            </w:pPr>
            <w:r w:rsidRPr="00FB32B9">
              <w:t>2</w:t>
            </w:r>
          </w:p>
        </w:tc>
        <w:tc>
          <w:tcPr>
            <w:tcW w:w="576" w:type="dxa"/>
          </w:tcPr>
          <w:p w14:paraId="0D7AB1FE" w14:textId="77777777" w:rsidR="00AE4F2C" w:rsidRPr="00FB32B9" w:rsidRDefault="00AE4F2C" w:rsidP="00FB3A71">
            <w:pPr>
              <w:pStyle w:val="Tablecondensedheading"/>
            </w:pPr>
            <w:r w:rsidRPr="00FB32B9">
              <w:t>3</w:t>
            </w:r>
          </w:p>
        </w:tc>
        <w:tc>
          <w:tcPr>
            <w:tcW w:w="576" w:type="dxa"/>
          </w:tcPr>
          <w:p w14:paraId="370B1F70" w14:textId="77777777" w:rsidR="00AE4F2C" w:rsidRPr="00FB32B9" w:rsidRDefault="00AE4F2C" w:rsidP="00FB3A71">
            <w:pPr>
              <w:pStyle w:val="Tablecondensedheading"/>
            </w:pPr>
            <w:r w:rsidRPr="00FB32B9">
              <w:t>4</w:t>
            </w:r>
          </w:p>
        </w:tc>
        <w:tc>
          <w:tcPr>
            <w:tcW w:w="576" w:type="dxa"/>
          </w:tcPr>
          <w:p w14:paraId="40C1CE13" w14:textId="77777777" w:rsidR="00AE4F2C" w:rsidRPr="00FB32B9" w:rsidRDefault="00AE4F2C" w:rsidP="00FB3A71">
            <w:pPr>
              <w:pStyle w:val="Tablecondensedheading"/>
            </w:pPr>
            <w:r w:rsidRPr="00FB32B9">
              <w:t>5</w:t>
            </w:r>
          </w:p>
        </w:tc>
        <w:tc>
          <w:tcPr>
            <w:tcW w:w="1287" w:type="dxa"/>
          </w:tcPr>
          <w:p w14:paraId="660B8631" w14:textId="77777777" w:rsidR="00AE4F2C" w:rsidRPr="00FB32B9" w:rsidRDefault="00AE4F2C" w:rsidP="00FB3A71">
            <w:pPr>
              <w:pStyle w:val="Tablecondensedheading"/>
            </w:pPr>
            <w:r w:rsidRPr="00FB32B9">
              <w:t>Average</w:t>
            </w:r>
          </w:p>
        </w:tc>
      </w:tr>
      <w:tr w:rsidR="00AE4F2C" w:rsidRPr="00FB32B9" w14:paraId="7828E88E" w14:textId="77777777" w:rsidTr="00DF0280">
        <w:trPr>
          <w:trHeight w:val="392"/>
        </w:trPr>
        <w:tc>
          <w:tcPr>
            <w:tcW w:w="1030" w:type="dxa"/>
          </w:tcPr>
          <w:p w14:paraId="0F3F1FC6" w14:textId="77777777" w:rsidR="00AE4F2C" w:rsidRPr="00FB32B9" w:rsidRDefault="00AE4F2C" w:rsidP="00FB3A71">
            <w:pPr>
              <w:pStyle w:val="Tablecondensed"/>
            </w:pPr>
            <w:r w:rsidRPr="00FB32B9">
              <w:t>%</w:t>
            </w:r>
          </w:p>
        </w:tc>
        <w:tc>
          <w:tcPr>
            <w:tcW w:w="576" w:type="dxa"/>
          </w:tcPr>
          <w:p w14:paraId="03B2B06C" w14:textId="77777777" w:rsidR="00AE4F2C" w:rsidRPr="00FB32B9" w:rsidRDefault="00AE4F2C" w:rsidP="00FB3A71">
            <w:pPr>
              <w:pStyle w:val="Tablecondensed"/>
            </w:pPr>
            <w:r>
              <w:t>17</w:t>
            </w:r>
          </w:p>
        </w:tc>
        <w:tc>
          <w:tcPr>
            <w:tcW w:w="576" w:type="dxa"/>
          </w:tcPr>
          <w:p w14:paraId="7926C944" w14:textId="77777777" w:rsidR="00AE4F2C" w:rsidRPr="00FB32B9" w:rsidRDefault="00AE4F2C" w:rsidP="00FB3A71">
            <w:pPr>
              <w:pStyle w:val="Tablecondensed"/>
            </w:pPr>
            <w:r>
              <w:t>9</w:t>
            </w:r>
          </w:p>
        </w:tc>
        <w:tc>
          <w:tcPr>
            <w:tcW w:w="576" w:type="dxa"/>
          </w:tcPr>
          <w:p w14:paraId="60043215" w14:textId="77777777" w:rsidR="00AE4F2C" w:rsidRPr="00FB32B9" w:rsidRDefault="00AE4F2C" w:rsidP="00FB3A71">
            <w:pPr>
              <w:pStyle w:val="Tablecondensed"/>
            </w:pPr>
            <w:r>
              <w:t>26</w:t>
            </w:r>
          </w:p>
        </w:tc>
        <w:tc>
          <w:tcPr>
            <w:tcW w:w="576" w:type="dxa"/>
          </w:tcPr>
          <w:p w14:paraId="1C023D8D" w14:textId="77777777" w:rsidR="00AE4F2C" w:rsidRPr="00FB32B9" w:rsidRDefault="00AE4F2C" w:rsidP="00FB3A71">
            <w:pPr>
              <w:pStyle w:val="Tablecondensed"/>
            </w:pPr>
            <w:r>
              <w:t>27</w:t>
            </w:r>
          </w:p>
        </w:tc>
        <w:tc>
          <w:tcPr>
            <w:tcW w:w="576" w:type="dxa"/>
          </w:tcPr>
          <w:p w14:paraId="1D000F9C" w14:textId="77777777" w:rsidR="00AE4F2C" w:rsidRPr="00FB32B9" w:rsidRDefault="00AE4F2C" w:rsidP="00FB3A71">
            <w:pPr>
              <w:pStyle w:val="Tablecondensed"/>
            </w:pPr>
            <w:r>
              <w:t>16</w:t>
            </w:r>
          </w:p>
        </w:tc>
        <w:tc>
          <w:tcPr>
            <w:tcW w:w="576" w:type="dxa"/>
          </w:tcPr>
          <w:p w14:paraId="26638ECB" w14:textId="77777777" w:rsidR="00AE4F2C" w:rsidRPr="00FB32B9" w:rsidRDefault="00AE4F2C" w:rsidP="00FB3A71">
            <w:pPr>
              <w:pStyle w:val="Tablecondensed"/>
            </w:pPr>
            <w:r>
              <w:t>6</w:t>
            </w:r>
          </w:p>
        </w:tc>
        <w:tc>
          <w:tcPr>
            <w:tcW w:w="1287" w:type="dxa"/>
          </w:tcPr>
          <w:p w14:paraId="5469C149" w14:textId="45CF0BDC" w:rsidR="00AE4F2C" w:rsidRPr="00FB32B9" w:rsidRDefault="00AE4F2C" w:rsidP="00FB3A71">
            <w:pPr>
              <w:pStyle w:val="Tablecondensed"/>
            </w:pPr>
            <w:r>
              <w:t>2.</w:t>
            </w:r>
            <w:r w:rsidR="00604C6E">
              <w:t>4</w:t>
            </w:r>
          </w:p>
        </w:tc>
      </w:tr>
    </w:tbl>
    <w:p w14:paraId="546E8406" w14:textId="33C017CC" w:rsidR="00AE4F2C" w:rsidRDefault="00AE4F2C" w:rsidP="00FB3A71">
      <w:pPr>
        <w:pStyle w:val="BodyText"/>
      </w:pPr>
      <w:r>
        <w:t xml:space="preserve">This question required students to explain the role played by Jiang Qing in shaping the </w:t>
      </w:r>
      <w:r w:rsidR="00672DCE">
        <w:t xml:space="preserve">Great Proletarian </w:t>
      </w:r>
      <w:r>
        <w:t>Cultural Revolution.</w:t>
      </w:r>
    </w:p>
    <w:p w14:paraId="2ECBBE83" w14:textId="40596DEA" w:rsidR="00AE4F2C" w:rsidRDefault="00AE4F2C" w:rsidP="00FB3A71">
      <w:pPr>
        <w:pStyle w:val="BodyText"/>
      </w:pPr>
      <w:r>
        <w:lastRenderedPageBreak/>
        <w:t xml:space="preserve">Most students were able to infer from Source 16 that Jiang Qing played a role in shaping the performing arts and promoting Mao’s cult of personality, and </w:t>
      </w:r>
      <w:r w:rsidR="00AE4207">
        <w:t xml:space="preserve">to </w:t>
      </w:r>
      <w:r>
        <w:t>support this with visual and textual details of the source.</w:t>
      </w:r>
    </w:p>
    <w:p w14:paraId="59586362" w14:textId="77777777" w:rsidR="00AE4F2C" w:rsidRDefault="00AE4F2C" w:rsidP="00FB3A71">
      <w:pPr>
        <w:pStyle w:val="BodyText"/>
      </w:pPr>
      <w:r>
        <w:t>High-scoring responses to this question tended to:</w:t>
      </w:r>
    </w:p>
    <w:p w14:paraId="2EE97E7E" w14:textId="578BC6C3" w:rsidR="00AE4F2C" w:rsidRDefault="00AE4F2C" w:rsidP="00E710C9">
      <w:pPr>
        <w:pStyle w:val="Bullet"/>
      </w:pPr>
      <w:r>
        <w:t xml:space="preserve">contextualise, describe and elaborate upon what specific written and visual features of Source 16 revealed about Jiang Qing’s role in promoting the </w:t>
      </w:r>
      <w:r w:rsidR="00564D23">
        <w:t>e</w:t>
      </w:r>
      <w:r>
        <w:t xml:space="preserve">ight </w:t>
      </w:r>
      <w:r w:rsidR="00564D23">
        <w:t>r</w:t>
      </w:r>
      <w:r>
        <w:t xml:space="preserve">evolutionary </w:t>
      </w:r>
      <w:r w:rsidR="00564D23">
        <w:t>m</w:t>
      </w:r>
      <w:r>
        <w:t xml:space="preserve">odel </w:t>
      </w:r>
      <w:r w:rsidR="00564D23">
        <w:t>o</w:t>
      </w:r>
      <w:r>
        <w:t>peras and in promoting Mao Zedong Thought</w:t>
      </w:r>
    </w:p>
    <w:p w14:paraId="4EA68416" w14:textId="4983D63F" w:rsidR="00AE4F2C" w:rsidRDefault="00AE4F2C" w:rsidP="00E710C9">
      <w:pPr>
        <w:pStyle w:val="Bullet"/>
      </w:pPr>
      <w:r w:rsidRPr="5E0F147C">
        <w:t>provide specific evidence of Jiang Qing’s role in the Cultural Revolution, such as the fact that she was Mao’s wife and a trusted confidante, her role as one of the leaders of the Cultural Revolution Small Group and later</w:t>
      </w:r>
      <w:r w:rsidR="00890BFE">
        <w:t xml:space="preserve"> the</w:t>
      </w:r>
      <w:r w:rsidRPr="5E0F147C">
        <w:t xml:space="preserve"> ‘Gang of Four’, </w:t>
      </w:r>
      <w:r w:rsidR="00ED099E">
        <w:t>her</w:t>
      </w:r>
      <w:r w:rsidRPr="5E0F147C">
        <w:t xml:space="preserve"> role in inciting and directing Red Guard violence, and </w:t>
      </w:r>
      <w:r w:rsidR="00ED099E">
        <w:t>her</w:t>
      </w:r>
      <w:r w:rsidRPr="5E0F147C">
        <w:t xml:space="preserve"> later justifi</w:t>
      </w:r>
      <w:r w:rsidR="00ED099E">
        <w:t>cation of</w:t>
      </w:r>
      <w:r w:rsidRPr="5E0F147C">
        <w:t xml:space="preserve"> her role as Mao’s </w:t>
      </w:r>
      <w:r w:rsidR="002D510D">
        <w:t>‘</w:t>
      </w:r>
      <w:r w:rsidRPr="5E0F147C">
        <w:t>attack dog</w:t>
      </w:r>
      <w:r w:rsidR="00AE4207">
        <w:t>’</w:t>
      </w:r>
      <w:r w:rsidRPr="5E0F147C">
        <w:t>.</w:t>
      </w:r>
    </w:p>
    <w:p w14:paraId="65261170" w14:textId="53CD0DEB" w:rsidR="00AE4F2C" w:rsidRDefault="00AE4F2C" w:rsidP="00FB3A71">
      <w:pPr>
        <w:pStyle w:val="BodyText"/>
      </w:pPr>
      <w:r>
        <w:t xml:space="preserve">Limitations </w:t>
      </w:r>
      <w:r w:rsidR="00D430A7">
        <w:t xml:space="preserve">that </w:t>
      </w:r>
      <w:r>
        <w:t xml:space="preserve">prevented responses from achieving the highest marks included: </w:t>
      </w:r>
    </w:p>
    <w:p w14:paraId="0077E08A" w14:textId="0024E5BB" w:rsidR="00AE4F2C" w:rsidRPr="00E710C9" w:rsidRDefault="00AE4F2C" w:rsidP="00E710C9">
      <w:pPr>
        <w:pStyle w:val="Bullet"/>
      </w:pPr>
      <w:r w:rsidRPr="00E710C9">
        <w:t>rel</w:t>
      </w:r>
      <w:r w:rsidR="00D430A7">
        <w:t>ying too much</w:t>
      </w:r>
      <w:r w:rsidRPr="00E710C9">
        <w:t xml:space="preserve"> on describing features of Source 16 without showing any understanding of who Jiang Qing was or what her role was in the Cultural Revolution</w:t>
      </w:r>
    </w:p>
    <w:p w14:paraId="11EDC25C" w14:textId="4C272422" w:rsidR="00AE4F2C" w:rsidRPr="00E710C9" w:rsidRDefault="00AE4F2C" w:rsidP="00E710C9">
      <w:pPr>
        <w:pStyle w:val="Bullet"/>
      </w:pPr>
      <w:r w:rsidRPr="00E710C9">
        <w:t>confusing Jiang Qing with other leaders such as Lin Biao</w:t>
      </w:r>
    </w:p>
    <w:p w14:paraId="69460E0D" w14:textId="77777777" w:rsidR="00AE4F2C" w:rsidRPr="00E710C9" w:rsidRDefault="00AE4F2C" w:rsidP="00E710C9">
      <w:pPr>
        <w:pStyle w:val="Bullet"/>
      </w:pPr>
      <w:r w:rsidRPr="00E710C9">
        <w:t xml:space="preserve">incorrectly claiming that Jiang Qing was responsible for editing or publishing the </w:t>
      </w:r>
      <w:r w:rsidRPr="00AE46CA">
        <w:t>Little Red Book</w:t>
      </w:r>
      <w:r w:rsidRPr="00E710C9">
        <w:t>.</w:t>
      </w:r>
    </w:p>
    <w:p w14:paraId="3F95EAC4" w14:textId="1964B972" w:rsidR="00AE4F2C" w:rsidRPr="00896AA7" w:rsidRDefault="00AE4F2C" w:rsidP="00FB3A71">
      <w:pPr>
        <w:pStyle w:val="BodyText"/>
      </w:pPr>
      <w:r w:rsidRPr="00896AA7">
        <w:t xml:space="preserve">The following is a high-scoring response to Question </w:t>
      </w:r>
      <w:r>
        <w:t>4d</w:t>
      </w:r>
      <w:r w:rsidR="00D81463">
        <w:t>.</w:t>
      </w:r>
      <w:r w:rsidRPr="00896AA7">
        <w:t>:</w:t>
      </w:r>
    </w:p>
    <w:p w14:paraId="755C41DC" w14:textId="228DF8A6" w:rsidR="00AE4F2C" w:rsidRDefault="00AE4F2C" w:rsidP="00FB3A71">
      <w:pPr>
        <w:pStyle w:val="Studentresponse"/>
      </w:pPr>
      <w:r>
        <w:t>Jiang Qing helped to shape the GPCR (1966</w:t>
      </w:r>
      <w:r w:rsidR="00ED099E">
        <w:t>–</w:t>
      </w:r>
      <w:r>
        <w:t>1976) by influencing its escalation and immense cultural suppression.</w:t>
      </w:r>
    </w:p>
    <w:p w14:paraId="6F577AE6" w14:textId="22AD5B8A" w:rsidR="00AE4F2C" w:rsidRDefault="00AE4F2C" w:rsidP="00FB3A71">
      <w:pPr>
        <w:pStyle w:val="Studentresponse"/>
      </w:pPr>
      <w:r>
        <w:t xml:space="preserve">Jiang Qing played a crucial role in escalating the scale of the GPCR. In Source 16, she is depicted to be standing in front of a large mass of Red Guards with red flags… This demonstrates how she attended numerous Red Guard rallies, such as Tiananmen Square (18 August 1966) where she urged them to act by claiming </w:t>
      </w:r>
      <w:r w:rsidR="002D510D">
        <w:t>‘</w:t>
      </w:r>
      <w:r>
        <w:t>It is right to rebel</w:t>
      </w:r>
      <w:r w:rsidR="002D510D">
        <w:t>’</w:t>
      </w:r>
      <w:r>
        <w:t xml:space="preserve">. Thus, such encouragement caused great uproar and resulted in </w:t>
      </w:r>
      <w:r w:rsidR="002D510D">
        <w:t>‘</w:t>
      </w:r>
      <w:r>
        <w:t>violent mass chaos</w:t>
      </w:r>
      <w:r w:rsidR="002D510D">
        <w:t>’</w:t>
      </w:r>
      <w:r>
        <w:t xml:space="preserve"> (Walder) evident in the 1772 that were killed in Shanghai in 1966.</w:t>
      </w:r>
    </w:p>
    <w:p w14:paraId="0A12ABA4" w14:textId="1FEDFD2D" w:rsidR="00AE4F2C" w:rsidRPr="00280BCB" w:rsidRDefault="00AE4F2C" w:rsidP="00FB3A71">
      <w:pPr>
        <w:pStyle w:val="Studentresponse"/>
        <w:rPr>
          <w:lang w:val="en-US"/>
        </w:rPr>
      </w:pPr>
      <w:r>
        <w:t xml:space="preserve">Furthermore, Jiang Qing’s role in contributing to cultural suppression was instrumental during the GPCR. In Source 16, she is holding a Little Red Book amongst a backdrop of dancers… This represents Jiang Qing’s role as Vice Chairman of the Ministry of Culture, where she removed any performance deemed </w:t>
      </w:r>
      <w:proofErr w:type="gramStart"/>
      <w:r>
        <w:t>counter-revolutionary</w:t>
      </w:r>
      <w:proofErr w:type="gramEnd"/>
      <w:r>
        <w:t xml:space="preserve"> such as ‘Hai Rui Dismissed’, calling them </w:t>
      </w:r>
      <w:r w:rsidR="002D510D">
        <w:t>‘</w:t>
      </w:r>
      <w:r>
        <w:t>ghost dramas</w:t>
      </w:r>
      <w:r w:rsidR="002D510D">
        <w:t>’</w:t>
      </w:r>
      <w:r>
        <w:t>… This led to the use of the mere ‘8 Model Revolutionary Operas’ such as ‘The White-Haired Girl’ as templates for the theatre, with little forms of cultural expression remaining…</w:t>
      </w:r>
    </w:p>
    <w:p w14:paraId="094F5D37" w14:textId="77777777" w:rsidR="00AE4F2C" w:rsidRDefault="00AE4F2C" w:rsidP="00FB3A71">
      <w:pPr>
        <w:pStyle w:val="Studentresponse"/>
        <w:rPr>
          <w:color w:val="0F7EB4"/>
          <w:sz w:val="40"/>
          <w:szCs w:val="28"/>
        </w:rPr>
      </w:pPr>
    </w:p>
    <w:p w14:paraId="44B7C805" w14:textId="77777777" w:rsidR="00AE4F2C" w:rsidRDefault="00AE4F2C" w:rsidP="00AE4F2C">
      <w:pPr>
        <w:rPr>
          <w:rFonts w:ascii="Arial" w:hAnsi="Arial" w:cs="Arial"/>
          <w:color w:val="0F7EB4"/>
          <w:sz w:val="40"/>
          <w:szCs w:val="28"/>
          <w:lang w:val="en-AU"/>
        </w:rPr>
      </w:pPr>
      <w:r>
        <w:rPr>
          <w:lang w:val="en-AU"/>
        </w:rPr>
        <w:br w:type="page"/>
      </w:r>
    </w:p>
    <w:p w14:paraId="598134C4" w14:textId="77777777" w:rsidR="00AE4F2C" w:rsidRDefault="00AE4F2C" w:rsidP="00206660">
      <w:pPr>
        <w:pStyle w:val="Heading1"/>
      </w:pPr>
      <w:r w:rsidRPr="00896AA7">
        <w:lastRenderedPageBreak/>
        <w:t>Section B</w:t>
      </w:r>
    </w:p>
    <w:tbl>
      <w:tblPr>
        <w:tblStyle w:val="VCAATableClosed1"/>
        <w:tblW w:w="5000" w:type="pct"/>
        <w:tblInd w:w="-5" w:type="dxa"/>
        <w:tblLayout w:type="fixed"/>
        <w:tblCellMar>
          <w:left w:w="85" w:type="dxa"/>
          <w:right w:w="85" w:type="dxa"/>
        </w:tblCellMar>
        <w:tblLook w:val="04A0" w:firstRow="1" w:lastRow="0" w:firstColumn="1" w:lastColumn="0" w:noHBand="0" w:noVBand="1"/>
      </w:tblPr>
      <w:tblGrid>
        <w:gridCol w:w="658"/>
        <w:gridCol w:w="431"/>
        <w:gridCol w:w="380"/>
        <w:gridCol w:w="380"/>
        <w:gridCol w:w="380"/>
        <w:gridCol w:w="381"/>
        <w:gridCol w:w="380"/>
        <w:gridCol w:w="380"/>
        <w:gridCol w:w="380"/>
        <w:gridCol w:w="381"/>
        <w:gridCol w:w="380"/>
        <w:gridCol w:w="380"/>
        <w:gridCol w:w="380"/>
        <w:gridCol w:w="381"/>
        <w:gridCol w:w="380"/>
        <w:gridCol w:w="380"/>
        <w:gridCol w:w="380"/>
        <w:gridCol w:w="381"/>
        <w:gridCol w:w="380"/>
        <w:gridCol w:w="356"/>
        <w:gridCol w:w="406"/>
        <w:gridCol w:w="490"/>
        <w:gridCol w:w="824"/>
      </w:tblGrid>
      <w:tr w:rsidR="00FB3A71" w:rsidRPr="00896AA7" w14:paraId="41682794" w14:textId="77777777" w:rsidTr="00DF0280">
        <w:trPr>
          <w:cnfStyle w:val="100000000000" w:firstRow="1" w:lastRow="0" w:firstColumn="0" w:lastColumn="0" w:oddVBand="0" w:evenVBand="0" w:oddHBand="0" w:evenHBand="0" w:firstRowFirstColumn="0" w:firstRowLastColumn="0" w:lastRowFirstColumn="0" w:lastRowLastColumn="0"/>
          <w:trHeight w:val="440"/>
        </w:trPr>
        <w:tc>
          <w:tcPr>
            <w:tcW w:w="658" w:type="dxa"/>
            <w:tcBorders>
              <w:top w:val="single" w:sz="4" w:space="0" w:color="000000" w:themeColor="text1"/>
              <w:left w:val="single" w:sz="4" w:space="0" w:color="000000" w:themeColor="text1"/>
              <w:bottom w:val="single" w:sz="4" w:space="0" w:color="000000" w:themeColor="text1"/>
            </w:tcBorders>
            <w:hideMark/>
          </w:tcPr>
          <w:p w14:paraId="4CD231F2" w14:textId="77777777" w:rsidR="00AE4F2C" w:rsidRPr="00896AA7" w:rsidRDefault="00AE4F2C" w:rsidP="00FB3A71">
            <w:pPr>
              <w:pStyle w:val="Tablecondensedheading"/>
              <w:rPr>
                <w:lang w:val="en-AU"/>
              </w:rPr>
            </w:pPr>
            <w:r w:rsidRPr="00896AA7">
              <w:rPr>
                <w:lang w:val="en-AU"/>
              </w:rPr>
              <w:t xml:space="preserve">Marks </w:t>
            </w:r>
          </w:p>
        </w:tc>
        <w:tc>
          <w:tcPr>
            <w:tcW w:w="431" w:type="dxa"/>
            <w:tcBorders>
              <w:top w:val="single" w:sz="4" w:space="0" w:color="000000" w:themeColor="text1"/>
              <w:bottom w:val="single" w:sz="4" w:space="0" w:color="000000" w:themeColor="text1"/>
            </w:tcBorders>
            <w:hideMark/>
          </w:tcPr>
          <w:p w14:paraId="36D2FC96" w14:textId="77777777" w:rsidR="00AE4F2C" w:rsidRPr="00896AA7" w:rsidRDefault="00AE4F2C" w:rsidP="00FB3A71">
            <w:pPr>
              <w:pStyle w:val="Tablecondensedheading"/>
              <w:rPr>
                <w:lang w:val="en-AU"/>
              </w:rPr>
            </w:pPr>
            <w:r w:rsidRPr="00896AA7">
              <w:rPr>
                <w:lang w:val="en-AU"/>
              </w:rPr>
              <w:t>0</w:t>
            </w:r>
          </w:p>
        </w:tc>
        <w:tc>
          <w:tcPr>
            <w:tcW w:w="380" w:type="dxa"/>
            <w:tcBorders>
              <w:top w:val="single" w:sz="4" w:space="0" w:color="000000" w:themeColor="text1"/>
              <w:bottom w:val="single" w:sz="4" w:space="0" w:color="000000" w:themeColor="text1"/>
            </w:tcBorders>
            <w:hideMark/>
          </w:tcPr>
          <w:p w14:paraId="5730E101" w14:textId="77777777" w:rsidR="00AE4F2C" w:rsidRPr="00896AA7" w:rsidRDefault="00AE4F2C" w:rsidP="00FB3A71">
            <w:pPr>
              <w:pStyle w:val="Tablecondensedheading"/>
              <w:rPr>
                <w:lang w:val="en-AU"/>
              </w:rPr>
            </w:pPr>
            <w:r w:rsidRPr="00896AA7">
              <w:rPr>
                <w:lang w:val="en-AU"/>
              </w:rPr>
              <w:t>1</w:t>
            </w:r>
          </w:p>
        </w:tc>
        <w:tc>
          <w:tcPr>
            <w:tcW w:w="380" w:type="dxa"/>
            <w:tcBorders>
              <w:top w:val="single" w:sz="4" w:space="0" w:color="000000" w:themeColor="text1"/>
              <w:bottom w:val="single" w:sz="4" w:space="0" w:color="000000" w:themeColor="text1"/>
            </w:tcBorders>
            <w:hideMark/>
          </w:tcPr>
          <w:p w14:paraId="0934CD64" w14:textId="77777777" w:rsidR="00AE4F2C" w:rsidRPr="00896AA7" w:rsidRDefault="00AE4F2C" w:rsidP="00FB3A71">
            <w:pPr>
              <w:pStyle w:val="Tablecondensedheading"/>
              <w:rPr>
                <w:lang w:val="en-AU"/>
              </w:rPr>
            </w:pPr>
            <w:r w:rsidRPr="00896AA7">
              <w:rPr>
                <w:lang w:val="en-AU"/>
              </w:rPr>
              <w:t>2</w:t>
            </w:r>
          </w:p>
        </w:tc>
        <w:tc>
          <w:tcPr>
            <w:tcW w:w="380" w:type="dxa"/>
            <w:tcBorders>
              <w:top w:val="single" w:sz="4" w:space="0" w:color="000000" w:themeColor="text1"/>
              <w:bottom w:val="single" w:sz="4" w:space="0" w:color="000000" w:themeColor="text1"/>
            </w:tcBorders>
            <w:hideMark/>
          </w:tcPr>
          <w:p w14:paraId="49B829A1" w14:textId="77777777" w:rsidR="00AE4F2C" w:rsidRPr="00896AA7" w:rsidRDefault="00AE4F2C" w:rsidP="00FB3A71">
            <w:pPr>
              <w:pStyle w:val="Tablecondensedheading"/>
              <w:rPr>
                <w:lang w:val="en-AU"/>
              </w:rPr>
            </w:pPr>
            <w:r w:rsidRPr="00896AA7">
              <w:rPr>
                <w:lang w:val="en-AU"/>
              </w:rPr>
              <w:t>3</w:t>
            </w:r>
          </w:p>
        </w:tc>
        <w:tc>
          <w:tcPr>
            <w:tcW w:w="381" w:type="dxa"/>
            <w:tcBorders>
              <w:top w:val="single" w:sz="4" w:space="0" w:color="000000" w:themeColor="text1"/>
              <w:bottom w:val="single" w:sz="4" w:space="0" w:color="000000" w:themeColor="text1"/>
            </w:tcBorders>
          </w:tcPr>
          <w:p w14:paraId="3921D716" w14:textId="77777777" w:rsidR="00AE4F2C" w:rsidRPr="00896AA7" w:rsidRDefault="00AE4F2C" w:rsidP="00FB3A71">
            <w:pPr>
              <w:pStyle w:val="Tablecondensedheading"/>
              <w:rPr>
                <w:lang w:val="en-AU"/>
              </w:rPr>
            </w:pPr>
            <w:r w:rsidRPr="00896AA7">
              <w:rPr>
                <w:lang w:val="en-AU"/>
              </w:rPr>
              <w:t>4</w:t>
            </w:r>
          </w:p>
        </w:tc>
        <w:tc>
          <w:tcPr>
            <w:tcW w:w="380" w:type="dxa"/>
            <w:tcBorders>
              <w:top w:val="single" w:sz="4" w:space="0" w:color="000000" w:themeColor="text1"/>
              <w:bottom w:val="single" w:sz="4" w:space="0" w:color="000000" w:themeColor="text1"/>
            </w:tcBorders>
          </w:tcPr>
          <w:p w14:paraId="62453969" w14:textId="77777777" w:rsidR="00AE4F2C" w:rsidRPr="00896AA7" w:rsidRDefault="00AE4F2C" w:rsidP="00FB3A71">
            <w:pPr>
              <w:pStyle w:val="Tablecondensedheading"/>
              <w:rPr>
                <w:lang w:val="en-AU"/>
              </w:rPr>
            </w:pPr>
            <w:r w:rsidRPr="00896AA7">
              <w:rPr>
                <w:lang w:val="en-AU"/>
              </w:rPr>
              <w:t>5</w:t>
            </w:r>
          </w:p>
        </w:tc>
        <w:tc>
          <w:tcPr>
            <w:tcW w:w="380" w:type="dxa"/>
            <w:tcBorders>
              <w:top w:val="single" w:sz="4" w:space="0" w:color="000000" w:themeColor="text1"/>
              <w:bottom w:val="single" w:sz="4" w:space="0" w:color="000000" w:themeColor="text1"/>
            </w:tcBorders>
          </w:tcPr>
          <w:p w14:paraId="14B869DB" w14:textId="77777777" w:rsidR="00AE4F2C" w:rsidRPr="00896AA7" w:rsidRDefault="00AE4F2C" w:rsidP="00FB3A71">
            <w:pPr>
              <w:pStyle w:val="Tablecondensedheading"/>
              <w:rPr>
                <w:lang w:val="en-AU"/>
              </w:rPr>
            </w:pPr>
            <w:r w:rsidRPr="00896AA7">
              <w:rPr>
                <w:lang w:val="en-AU"/>
              </w:rPr>
              <w:t>6</w:t>
            </w:r>
          </w:p>
        </w:tc>
        <w:tc>
          <w:tcPr>
            <w:tcW w:w="380" w:type="dxa"/>
            <w:tcBorders>
              <w:top w:val="single" w:sz="4" w:space="0" w:color="000000" w:themeColor="text1"/>
              <w:bottom w:val="single" w:sz="4" w:space="0" w:color="000000" w:themeColor="text1"/>
            </w:tcBorders>
          </w:tcPr>
          <w:p w14:paraId="01C1C1F1" w14:textId="77777777" w:rsidR="00AE4F2C" w:rsidRPr="00896AA7" w:rsidRDefault="00AE4F2C" w:rsidP="00FB3A71">
            <w:pPr>
              <w:pStyle w:val="Tablecondensedheading"/>
              <w:rPr>
                <w:lang w:val="en-AU"/>
              </w:rPr>
            </w:pPr>
            <w:r>
              <w:rPr>
                <w:lang w:val="en-AU"/>
              </w:rPr>
              <w:t>7</w:t>
            </w:r>
          </w:p>
        </w:tc>
        <w:tc>
          <w:tcPr>
            <w:tcW w:w="381" w:type="dxa"/>
            <w:tcBorders>
              <w:top w:val="single" w:sz="4" w:space="0" w:color="000000" w:themeColor="text1"/>
              <w:bottom w:val="single" w:sz="4" w:space="0" w:color="000000" w:themeColor="text1"/>
            </w:tcBorders>
          </w:tcPr>
          <w:p w14:paraId="0139E3B1" w14:textId="77777777" w:rsidR="00AE4F2C" w:rsidRPr="00896AA7" w:rsidRDefault="00AE4F2C" w:rsidP="00FB3A71">
            <w:pPr>
              <w:pStyle w:val="Tablecondensedheading"/>
              <w:rPr>
                <w:lang w:val="en-AU"/>
              </w:rPr>
            </w:pPr>
            <w:r>
              <w:rPr>
                <w:lang w:val="en-AU"/>
              </w:rPr>
              <w:t>8</w:t>
            </w:r>
          </w:p>
        </w:tc>
        <w:tc>
          <w:tcPr>
            <w:tcW w:w="380" w:type="dxa"/>
            <w:tcBorders>
              <w:top w:val="single" w:sz="4" w:space="0" w:color="000000" w:themeColor="text1"/>
              <w:bottom w:val="single" w:sz="4" w:space="0" w:color="000000" w:themeColor="text1"/>
            </w:tcBorders>
          </w:tcPr>
          <w:p w14:paraId="24E0A611" w14:textId="77777777" w:rsidR="00AE4F2C" w:rsidRPr="00896AA7" w:rsidRDefault="00AE4F2C" w:rsidP="00FB3A71">
            <w:pPr>
              <w:pStyle w:val="Tablecondensedheading"/>
              <w:rPr>
                <w:lang w:val="en-AU"/>
              </w:rPr>
            </w:pPr>
            <w:r>
              <w:rPr>
                <w:lang w:val="en-AU"/>
              </w:rPr>
              <w:t>9</w:t>
            </w:r>
          </w:p>
        </w:tc>
        <w:tc>
          <w:tcPr>
            <w:tcW w:w="380" w:type="dxa"/>
            <w:tcBorders>
              <w:top w:val="single" w:sz="4" w:space="0" w:color="000000" w:themeColor="text1"/>
              <w:bottom w:val="single" w:sz="4" w:space="0" w:color="000000" w:themeColor="text1"/>
            </w:tcBorders>
          </w:tcPr>
          <w:p w14:paraId="594F9D74" w14:textId="77777777" w:rsidR="00AE4F2C" w:rsidRPr="00896AA7" w:rsidRDefault="00AE4F2C" w:rsidP="00FB3A71">
            <w:pPr>
              <w:pStyle w:val="Tablecondensedheading"/>
              <w:rPr>
                <w:lang w:val="en-AU"/>
              </w:rPr>
            </w:pPr>
            <w:r>
              <w:rPr>
                <w:lang w:val="en-AU"/>
              </w:rPr>
              <w:t>10</w:t>
            </w:r>
          </w:p>
        </w:tc>
        <w:tc>
          <w:tcPr>
            <w:tcW w:w="380" w:type="dxa"/>
            <w:tcBorders>
              <w:top w:val="single" w:sz="4" w:space="0" w:color="000000" w:themeColor="text1"/>
              <w:bottom w:val="single" w:sz="4" w:space="0" w:color="000000" w:themeColor="text1"/>
            </w:tcBorders>
          </w:tcPr>
          <w:p w14:paraId="5E585C8B" w14:textId="77777777" w:rsidR="00AE4F2C" w:rsidRDefault="00AE4F2C" w:rsidP="00FB3A71">
            <w:pPr>
              <w:pStyle w:val="Tablecondensedheading"/>
              <w:rPr>
                <w:lang w:val="en-AU"/>
              </w:rPr>
            </w:pPr>
            <w:r>
              <w:rPr>
                <w:lang w:val="en-AU"/>
              </w:rPr>
              <w:t>11</w:t>
            </w:r>
          </w:p>
        </w:tc>
        <w:tc>
          <w:tcPr>
            <w:tcW w:w="381" w:type="dxa"/>
            <w:tcBorders>
              <w:top w:val="single" w:sz="4" w:space="0" w:color="000000" w:themeColor="text1"/>
              <w:bottom w:val="single" w:sz="4" w:space="0" w:color="000000" w:themeColor="text1"/>
            </w:tcBorders>
          </w:tcPr>
          <w:p w14:paraId="7EE32A24" w14:textId="77777777" w:rsidR="00AE4F2C" w:rsidRDefault="00AE4F2C" w:rsidP="00FB3A71">
            <w:pPr>
              <w:pStyle w:val="Tablecondensedheading"/>
              <w:rPr>
                <w:lang w:val="en-AU"/>
              </w:rPr>
            </w:pPr>
            <w:r w:rsidRPr="00896AA7">
              <w:rPr>
                <w:lang w:val="en-AU"/>
              </w:rPr>
              <w:t>1</w:t>
            </w:r>
            <w:r>
              <w:rPr>
                <w:lang w:val="en-AU"/>
              </w:rPr>
              <w:t>2</w:t>
            </w:r>
          </w:p>
        </w:tc>
        <w:tc>
          <w:tcPr>
            <w:tcW w:w="380" w:type="dxa"/>
            <w:tcBorders>
              <w:top w:val="single" w:sz="4" w:space="0" w:color="000000" w:themeColor="text1"/>
              <w:bottom w:val="single" w:sz="4" w:space="0" w:color="000000" w:themeColor="text1"/>
            </w:tcBorders>
          </w:tcPr>
          <w:p w14:paraId="6BD4ABA0" w14:textId="77777777" w:rsidR="00AE4F2C" w:rsidRDefault="00AE4F2C" w:rsidP="00FB3A71">
            <w:pPr>
              <w:pStyle w:val="Tablecondensedheading"/>
              <w:rPr>
                <w:lang w:val="en-AU"/>
              </w:rPr>
            </w:pPr>
            <w:r>
              <w:rPr>
                <w:lang w:val="en-AU"/>
              </w:rPr>
              <w:t>13</w:t>
            </w:r>
          </w:p>
        </w:tc>
        <w:tc>
          <w:tcPr>
            <w:tcW w:w="380" w:type="dxa"/>
            <w:tcBorders>
              <w:top w:val="single" w:sz="4" w:space="0" w:color="000000" w:themeColor="text1"/>
              <w:bottom w:val="single" w:sz="4" w:space="0" w:color="000000" w:themeColor="text1"/>
            </w:tcBorders>
          </w:tcPr>
          <w:p w14:paraId="58C8FF67" w14:textId="77777777" w:rsidR="00AE4F2C" w:rsidRDefault="00AE4F2C" w:rsidP="00FB3A71">
            <w:pPr>
              <w:pStyle w:val="Tablecondensedheading"/>
              <w:rPr>
                <w:lang w:val="en-AU"/>
              </w:rPr>
            </w:pPr>
            <w:r>
              <w:rPr>
                <w:lang w:val="en-AU"/>
              </w:rPr>
              <w:t>14</w:t>
            </w:r>
          </w:p>
        </w:tc>
        <w:tc>
          <w:tcPr>
            <w:tcW w:w="380" w:type="dxa"/>
            <w:tcBorders>
              <w:top w:val="single" w:sz="4" w:space="0" w:color="000000" w:themeColor="text1"/>
              <w:bottom w:val="single" w:sz="4" w:space="0" w:color="000000" w:themeColor="text1"/>
            </w:tcBorders>
          </w:tcPr>
          <w:p w14:paraId="31FAEA03" w14:textId="77777777" w:rsidR="00AE4F2C" w:rsidRDefault="00AE4F2C" w:rsidP="00FB3A71">
            <w:pPr>
              <w:pStyle w:val="Tablecondensedheading"/>
              <w:rPr>
                <w:lang w:val="en-AU"/>
              </w:rPr>
            </w:pPr>
            <w:r>
              <w:rPr>
                <w:lang w:val="en-AU"/>
              </w:rPr>
              <w:t>15</w:t>
            </w:r>
          </w:p>
        </w:tc>
        <w:tc>
          <w:tcPr>
            <w:tcW w:w="381" w:type="dxa"/>
            <w:tcBorders>
              <w:top w:val="single" w:sz="4" w:space="0" w:color="000000" w:themeColor="text1"/>
              <w:bottom w:val="single" w:sz="4" w:space="0" w:color="000000" w:themeColor="text1"/>
            </w:tcBorders>
          </w:tcPr>
          <w:p w14:paraId="01F03588" w14:textId="77777777" w:rsidR="00AE4F2C" w:rsidRDefault="00AE4F2C" w:rsidP="00FB3A71">
            <w:pPr>
              <w:pStyle w:val="Tablecondensedheading"/>
              <w:rPr>
                <w:lang w:val="en-AU"/>
              </w:rPr>
            </w:pPr>
            <w:r>
              <w:rPr>
                <w:lang w:val="en-AU"/>
              </w:rPr>
              <w:t>16</w:t>
            </w:r>
          </w:p>
        </w:tc>
        <w:tc>
          <w:tcPr>
            <w:tcW w:w="380" w:type="dxa"/>
            <w:tcBorders>
              <w:top w:val="single" w:sz="4" w:space="0" w:color="000000" w:themeColor="text1"/>
              <w:bottom w:val="single" w:sz="4" w:space="0" w:color="000000" w:themeColor="text1"/>
            </w:tcBorders>
          </w:tcPr>
          <w:p w14:paraId="77425DF9" w14:textId="77777777" w:rsidR="00AE4F2C" w:rsidRDefault="00AE4F2C" w:rsidP="00FB3A71">
            <w:pPr>
              <w:pStyle w:val="Tablecondensedheading"/>
              <w:rPr>
                <w:lang w:val="en-AU"/>
              </w:rPr>
            </w:pPr>
            <w:r>
              <w:rPr>
                <w:lang w:val="en-AU"/>
              </w:rPr>
              <w:t>17</w:t>
            </w:r>
          </w:p>
        </w:tc>
        <w:tc>
          <w:tcPr>
            <w:tcW w:w="356" w:type="dxa"/>
            <w:tcBorders>
              <w:top w:val="single" w:sz="4" w:space="0" w:color="000000" w:themeColor="text1"/>
              <w:bottom w:val="single" w:sz="4" w:space="0" w:color="000000" w:themeColor="text1"/>
            </w:tcBorders>
          </w:tcPr>
          <w:p w14:paraId="481C02CF" w14:textId="77777777" w:rsidR="00AE4F2C" w:rsidRDefault="00AE4F2C" w:rsidP="00FB3A71">
            <w:pPr>
              <w:pStyle w:val="Tablecondensedheading"/>
              <w:rPr>
                <w:lang w:val="en-AU"/>
              </w:rPr>
            </w:pPr>
            <w:r>
              <w:rPr>
                <w:lang w:val="en-AU"/>
              </w:rPr>
              <w:t>18</w:t>
            </w:r>
          </w:p>
        </w:tc>
        <w:tc>
          <w:tcPr>
            <w:tcW w:w="406" w:type="dxa"/>
            <w:tcBorders>
              <w:top w:val="single" w:sz="4" w:space="0" w:color="000000" w:themeColor="text1"/>
              <w:bottom w:val="single" w:sz="4" w:space="0" w:color="000000" w:themeColor="text1"/>
            </w:tcBorders>
          </w:tcPr>
          <w:p w14:paraId="75A49896" w14:textId="77777777" w:rsidR="00AE4F2C" w:rsidRDefault="00AE4F2C" w:rsidP="00FB3A71">
            <w:pPr>
              <w:pStyle w:val="Tablecondensedheading"/>
              <w:rPr>
                <w:lang w:val="en-AU"/>
              </w:rPr>
            </w:pPr>
            <w:r>
              <w:rPr>
                <w:lang w:val="en-AU"/>
              </w:rPr>
              <w:t>19</w:t>
            </w:r>
          </w:p>
        </w:tc>
        <w:tc>
          <w:tcPr>
            <w:tcW w:w="490" w:type="dxa"/>
            <w:tcBorders>
              <w:top w:val="single" w:sz="4" w:space="0" w:color="000000" w:themeColor="text1"/>
              <w:bottom w:val="single" w:sz="4" w:space="0" w:color="000000" w:themeColor="text1"/>
            </w:tcBorders>
          </w:tcPr>
          <w:p w14:paraId="467EA715" w14:textId="77777777" w:rsidR="00AE4F2C" w:rsidRDefault="00AE4F2C" w:rsidP="00FB3A71">
            <w:pPr>
              <w:pStyle w:val="Tablecondensedheading"/>
              <w:rPr>
                <w:lang w:val="en-AU"/>
              </w:rPr>
            </w:pPr>
            <w:r>
              <w:rPr>
                <w:lang w:val="en-AU"/>
              </w:rPr>
              <w:t>20</w:t>
            </w:r>
          </w:p>
        </w:tc>
        <w:tc>
          <w:tcPr>
            <w:tcW w:w="824" w:type="dxa"/>
            <w:tcBorders>
              <w:top w:val="single" w:sz="4" w:space="0" w:color="000000" w:themeColor="text1"/>
              <w:bottom w:val="single" w:sz="4" w:space="0" w:color="000000" w:themeColor="text1"/>
            </w:tcBorders>
          </w:tcPr>
          <w:p w14:paraId="03DC9C63" w14:textId="77777777" w:rsidR="00AE4F2C" w:rsidRDefault="00AE4F2C" w:rsidP="00FB3A71">
            <w:pPr>
              <w:pStyle w:val="Tablecondensedheading"/>
              <w:rPr>
                <w:lang w:val="en-AU"/>
              </w:rPr>
            </w:pPr>
            <w:r w:rsidRPr="00896AA7">
              <w:rPr>
                <w:lang w:val="en-AU"/>
              </w:rPr>
              <w:t>Average</w:t>
            </w:r>
          </w:p>
        </w:tc>
      </w:tr>
      <w:tr w:rsidR="00AE4F2C" w:rsidRPr="00896AA7" w14:paraId="5EBE6194" w14:textId="77777777" w:rsidTr="00DF0280">
        <w:trPr>
          <w:trHeight w:val="440"/>
        </w:trPr>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339A6" w14:textId="77777777" w:rsidR="00AE4F2C" w:rsidRPr="00896AA7" w:rsidRDefault="00AE4F2C" w:rsidP="00FB3A71">
            <w:pPr>
              <w:pStyle w:val="Tablecondensed"/>
              <w:rPr>
                <w:lang w:val="en-AU"/>
              </w:rPr>
            </w:pPr>
            <w:r w:rsidRPr="00896AA7">
              <w:rPr>
                <w:lang w:val="en-AU"/>
              </w:rPr>
              <w:t>%</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769D4" w14:textId="77777777" w:rsidR="00AE4F2C" w:rsidRPr="00896AA7" w:rsidRDefault="00AE4F2C" w:rsidP="00FB3A71">
            <w:pPr>
              <w:pStyle w:val="Tablecondensed"/>
              <w:rPr>
                <w:lang w:val="en-AU"/>
              </w:rPr>
            </w:pPr>
            <w:r>
              <w:rPr>
                <w:lang w:val="en-AU"/>
              </w:rPr>
              <w:t>3</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3994B" w14:textId="77777777" w:rsidR="00AE4F2C" w:rsidRPr="00896AA7" w:rsidRDefault="00AE4F2C" w:rsidP="00FB3A71">
            <w:pPr>
              <w:pStyle w:val="Tablecondensed"/>
              <w:rPr>
                <w:lang w:val="en-AU"/>
              </w:rPr>
            </w:pPr>
            <w:r>
              <w:rPr>
                <w:lang w:val="en-AU"/>
              </w:rPr>
              <w:t>2</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CC3B0" w14:textId="77777777" w:rsidR="00AE4F2C" w:rsidRPr="00896AA7" w:rsidRDefault="00AE4F2C" w:rsidP="00FB3A71">
            <w:pPr>
              <w:pStyle w:val="Tablecondensed"/>
              <w:rPr>
                <w:lang w:val="en-AU"/>
              </w:rPr>
            </w:pPr>
            <w:r>
              <w:rPr>
                <w:lang w:val="en-AU"/>
              </w:rPr>
              <w:t>3</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C1114" w14:textId="77777777" w:rsidR="00AE4F2C" w:rsidRPr="00896AA7" w:rsidRDefault="00AE4F2C" w:rsidP="00FB3A71">
            <w:pPr>
              <w:pStyle w:val="Tablecondensed"/>
              <w:rPr>
                <w:lang w:val="en-AU"/>
              </w:rPr>
            </w:pPr>
            <w:r>
              <w:rPr>
                <w:lang w:val="en-AU"/>
              </w:rPr>
              <w:t>3</w:t>
            </w:r>
          </w:p>
        </w:tc>
        <w:tc>
          <w:tcPr>
            <w:tcW w:w="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7F373" w14:textId="77777777" w:rsidR="00AE4F2C" w:rsidRPr="00896AA7" w:rsidRDefault="00AE4F2C" w:rsidP="00FB3A71">
            <w:pPr>
              <w:pStyle w:val="Tablecondensed"/>
              <w:rPr>
                <w:lang w:val="en-AU"/>
              </w:rPr>
            </w:pPr>
            <w:r>
              <w:rPr>
                <w:lang w:val="en-AU"/>
              </w:rPr>
              <w:t>3</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34BAF" w14:textId="77777777" w:rsidR="00AE4F2C" w:rsidRPr="00896AA7" w:rsidRDefault="00AE4F2C" w:rsidP="00FB3A71">
            <w:pPr>
              <w:pStyle w:val="Tablecondensed"/>
              <w:rPr>
                <w:lang w:val="en-AU"/>
              </w:rPr>
            </w:pPr>
            <w:r>
              <w:rPr>
                <w:lang w:val="en-AU"/>
              </w:rPr>
              <w:t>4</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B484D" w14:textId="77777777" w:rsidR="00AE4F2C" w:rsidRPr="00896AA7" w:rsidRDefault="00AE4F2C" w:rsidP="00FB3A71">
            <w:pPr>
              <w:pStyle w:val="Tablecondensed"/>
              <w:rPr>
                <w:lang w:val="en-AU"/>
              </w:rPr>
            </w:pPr>
            <w:r>
              <w:rPr>
                <w:lang w:val="en-AU"/>
              </w:rPr>
              <w:t>6</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6FA4" w14:textId="77777777" w:rsidR="00AE4F2C" w:rsidRPr="00896AA7" w:rsidRDefault="00AE4F2C" w:rsidP="00FB3A71">
            <w:pPr>
              <w:pStyle w:val="Tablecondensed"/>
              <w:rPr>
                <w:lang w:val="en-AU"/>
              </w:rPr>
            </w:pPr>
            <w:r>
              <w:rPr>
                <w:lang w:val="en-AU"/>
              </w:rPr>
              <w:t>5</w:t>
            </w:r>
          </w:p>
        </w:tc>
        <w:tc>
          <w:tcPr>
            <w:tcW w:w="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CDC" w14:textId="77777777" w:rsidR="00AE4F2C" w:rsidRPr="00896AA7" w:rsidRDefault="00AE4F2C" w:rsidP="00FB3A71">
            <w:pPr>
              <w:pStyle w:val="Tablecondensed"/>
              <w:rPr>
                <w:lang w:val="en-AU"/>
              </w:rPr>
            </w:pPr>
            <w:r>
              <w:rPr>
                <w:lang w:val="en-AU"/>
              </w:rPr>
              <w:t>7</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85C4C" w14:textId="77777777" w:rsidR="00AE4F2C" w:rsidRPr="00896AA7" w:rsidRDefault="00AE4F2C" w:rsidP="00FB3A71">
            <w:pPr>
              <w:pStyle w:val="Tablecondensed"/>
              <w:rPr>
                <w:lang w:val="en-AU"/>
              </w:rPr>
            </w:pPr>
            <w:r>
              <w:rPr>
                <w:lang w:val="en-AU"/>
              </w:rPr>
              <w:t>7</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9AA6D" w14:textId="77777777" w:rsidR="00AE4F2C" w:rsidRPr="00896AA7" w:rsidRDefault="00AE4F2C" w:rsidP="00FB3A71">
            <w:pPr>
              <w:pStyle w:val="Tablecondensed"/>
              <w:rPr>
                <w:lang w:val="en-AU"/>
              </w:rPr>
            </w:pPr>
            <w:r>
              <w:rPr>
                <w:lang w:val="en-AU"/>
              </w:rPr>
              <w:t>8</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BD0C5" w14:textId="77777777" w:rsidR="00AE4F2C" w:rsidRDefault="00AE4F2C" w:rsidP="00FB3A71">
            <w:pPr>
              <w:pStyle w:val="Tablecondensed"/>
              <w:rPr>
                <w:lang w:val="en-AU"/>
              </w:rPr>
            </w:pPr>
            <w:r>
              <w:rPr>
                <w:lang w:val="en-AU"/>
              </w:rPr>
              <w:t>10</w:t>
            </w:r>
          </w:p>
        </w:tc>
        <w:tc>
          <w:tcPr>
            <w:tcW w:w="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4DFC0" w14:textId="77777777" w:rsidR="00AE4F2C" w:rsidRDefault="00AE4F2C" w:rsidP="00FB3A71">
            <w:pPr>
              <w:pStyle w:val="Tablecondensed"/>
              <w:rPr>
                <w:lang w:val="en-AU"/>
              </w:rPr>
            </w:pPr>
            <w:r>
              <w:rPr>
                <w:lang w:val="en-AU"/>
              </w:rPr>
              <w:t>12</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8757C" w14:textId="77777777" w:rsidR="00AE4F2C" w:rsidRDefault="00AE4F2C" w:rsidP="00FB3A71">
            <w:pPr>
              <w:pStyle w:val="Tablecondensed"/>
              <w:rPr>
                <w:lang w:val="en-AU"/>
              </w:rPr>
            </w:pPr>
            <w:r>
              <w:rPr>
                <w:lang w:val="en-AU"/>
              </w:rPr>
              <w:t>8</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DA63" w14:textId="77777777" w:rsidR="00AE4F2C" w:rsidRDefault="00AE4F2C" w:rsidP="00FB3A71">
            <w:pPr>
              <w:pStyle w:val="Tablecondensed"/>
              <w:rPr>
                <w:lang w:val="en-AU"/>
              </w:rPr>
            </w:pPr>
            <w:r>
              <w:rPr>
                <w:lang w:val="en-AU"/>
              </w:rPr>
              <w:t>8</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9AE41" w14:textId="77777777" w:rsidR="00AE4F2C" w:rsidRDefault="00AE4F2C" w:rsidP="00FB3A71">
            <w:pPr>
              <w:pStyle w:val="Tablecondensed"/>
              <w:rPr>
                <w:lang w:val="en-AU"/>
              </w:rPr>
            </w:pPr>
            <w:r>
              <w:rPr>
                <w:lang w:val="en-AU"/>
              </w:rPr>
              <w:t>5</w:t>
            </w:r>
          </w:p>
        </w:tc>
        <w:tc>
          <w:tcPr>
            <w:tcW w:w="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C67B" w14:textId="77777777" w:rsidR="00AE4F2C" w:rsidRDefault="00AE4F2C" w:rsidP="00FB3A71">
            <w:pPr>
              <w:pStyle w:val="Tablecondensed"/>
              <w:rPr>
                <w:lang w:val="en-AU"/>
              </w:rPr>
            </w:pPr>
            <w:r>
              <w:rPr>
                <w:lang w:val="en-AU"/>
              </w:rPr>
              <w:t>3</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158D7" w14:textId="77777777" w:rsidR="00AE4F2C" w:rsidRDefault="00AE4F2C" w:rsidP="00FB3A71">
            <w:pPr>
              <w:pStyle w:val="Tablecondensed"/>
              <w:rPr>
                <w:lang w:val="en-AU"/>
              </w:rPr>
            </w:pPr>
            <w:r>
              <w:rPr>
                <w:lang w:val="en-AU"/>
              </w:rPr>
              <w:t>2</w:t>
            </w:r>
          </w:p>
        </w:tc>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A0933" w14:textId="77777777" w:rsidR="00AE4F2C" w:rsidRDefault="00AE4F2C" w:rsidP="00FB3A71">
            <w:pPr>
              <w:pStyle w:val="Tablecondensed"/>
              <w:rPr>
                <w:lang w:val="en-AU"/>
              </w:rPr>
            </w:pPr>
            <w:r>
              <w:rPr>
                <w:lang w:val="en-AU"/>
              </w:rPr>
              <w:t>1</w:t>
            </w:r>
          </w:p>
        </w:tc>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F9BE0" w14:textId="77777777" w:rsidR="00AE4F2C" w:rsidRDefault="00AE4F2C" w:rsidP="00FB3A71">
            <w:pPr>
              <w:pStyle w:val="Tablecondensed"/>
              <w:rPr>
                <w:lang w:val="en-AU"/>
              </w:rPr>
            </w:pPr>
            <w:r>
              <w:rPr>
                <w:lang w:val="en-AU"/>
              </w:rPr>
              <w:t>0.5</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BE2FB" w14:textId="77777777" w:rsidR="00AE4F2C" w:rsidRDefault="00AE4F2C" w:rsidP="00FB3A71">
            <w:pPr>
              <w:pStyle w:val="Tablecondensed"/>
              <w:rPr>
                <w:lang w:val="en-AU"/>
              </w:rPr>
            </w:pPr>
            <w:r>
              <w:rPr>
                <w:lang w:val="en-AU"/>
              </w:rPr>
              <w:t>0.25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F5B4D" w14:textId="77777777" w:rsidR="00AE4F2C" w:rsidRDefault="00AE4F2C" w:rsidP="00FB3A71">
            <w:pPr>
              <w:pStyle w:val="Tablecondensed"/>
              <w:rPr>
                <w:lang w:val="en-AU"/>
              </w:rPr>
            </w:pPr>
            <w:r>
              <w:rPr>
                <w:lang w:val="en-AU"/>
              </w:rPr>
              <w:t>9.8</w:t>
            </w:r>
          </w:p>
        </w:tc>
      </w:tr>
    </w:tbl>
    <w:p w14:paraId="48B244FB" w14:textId="77777777" w:rsidR="00AE4F2C" w:rsidRPr="00896AA7" w:rsidRDefault="00AE4F2C" w:rsidP="00FB3A71">
      <w:pPr>
        <w:pStyle w:val="BodyText"/>
      </w:pPr>
      <w:r w:rsidRPr="00896AA7">
        <w:t>In Section B, students</w:t>
      </w:r>
      <w:r>
        <w:t xml:space="preserve"> were required to respond to one essay question. </w:t>
      </w:r>
    </w:p>
    <w:p w14:paraId="7A0D1F55" w14:textId="70018099" w:rsidR="00AE4F2C" w:rsidRDefault="00AE4F2C" w:rsidP="00FB3A71">
      <w:pPr>
        <w:pStyle w:val="BodyText"/>
      </w:pPr>
      <w:r w:rsidRPr="00896AA7">
        <w:t xml:space="preserve">All essay questions in </w:t>
      </w:r>
      <w:r>
        <w:t>2025</w:t>
      </w:r>
      <w:r w:rsidRPr="00896AA7">
        <w:t xml:space="preserve"> focused on </w:t>
      </w:r>
      <w:r>
        <w:t>evaluating the actions of the revolutionary government. Thus, all essay questions required students to focus mainly on demonstrating their understanding of Area of Study 2</w:t>
      </w:r>
      <w:r w:rsidR="00234E40">
        <w:t xml:space="preserve"> (AOS2)</w:t>
      </w:r>
      <w:r>
        <w:t xml:space="preserve">. </w:t>
      </w:r>
    </w:p>
    <w:p w14:paraId="6477EB06" w14:textId="2A551A0D" w:rsidR="00AE4F2C" w:rsidRPr="00B2296D" w:rsidRDefault="00AE4F2C" w:rsidP="00FB3A71">
      <w:pPr>
        <w:pStyle w:val="BodyText"/>
      </w:pPr>
      <w:proofErr w:type="gramStart"/>
      <w:r w:rsidRPr="54EA4563">
        <w:t>A number of</w:t>
      </w:r>
      <w:proofErr w:type="gramEnd"/>
      <w:r w:rsidRPr="54EA4563">
        <w:t xml:space="preserve"> students could not access the highest marks as they </w:t>
      </w:r>
      <w:r>
        <w:t>focused their discussion primarily on A</w:t>
      </w:r>
      <w:r w:rsidR="00234E40">
        <w:t>OS</w:t>
      </w:r>
      <w:r>
        <w:t>1</w:t>
      </w:r>
      <w:r w:rsidRPr="54EA4563">
        <w:t xml:space="preserve">. It is important that students are familiar with the chronology of each revolution, and that they can accurately recognise whether an essay question is primarily focused on the causes of revolution (AOS1), </w:t>
      </w:r>
      <w:r w:rsidR="00ED099E">
        <w:t xml:space="preserve">the </w:t>
      </w:r>
      <w:r w:rsidRPr="54EA4563">
        <w:t>consequences of revolution (AOS2)</w:t>
      </w:r>
      <w:r w:rsidR="00ED099E">
        <w:t>,</w:t>
      </w:r>
      <w:r w:rsidRPr="54EA4563">
        <w:t xml:space="preserve"> or continuity and change over both areas of study. </w:t>
      </w:r>
    </w:p>
    <w:p w14:paraId="67803BCA" w14:textId="77777777" w:rsidR="00AE4F2C" w:rsidRDefault="00AE4F2C" w:rsidP="00AE4F2C">
      <w:pPr>
        <w:pStyle w:val="VCAAbullet"/>
      </w:pPr>
      <w:r>
        <w:t>The distribution of e</w:t>
      </w:r>
      <w:r w:rsidRPr="00896AA7">
        <w:t>ssay topic choices</w:t>
      </w:r>
      <w:r>
        <w:t xml:space="preserve"> was as follows.</w:t>
      </w:r>
    </w:p>
    <w:tbl>
      <w:tblPr>
        <w:tblStyle w:val="TableGrid"/>
        <w:tblW w:w="0" w:type="auto"/>
        <w:tblLook w:val="04A0" w:firstRow="1" w:lastRow="0" w:firstColumn="1" w:lastColumn="0" w:noHBand="0" w:noVBand="1"/>
      </w:tblPr>
      <w:tblGrid>
        <w:gridCol w:w="3681"/>
        <w:gridCol w:w="2410"/>
      </w:tblGrid>
      <w:tr w:rsidR="00AE4F2C" w:rsidRPr="009332D9" w14:paraId="33810C90" w14:textId="77777777" w:rsidTr="00DF0280">
        <w:tc>
          <w:tcPr>
            <w:tcW w:w="3681" w:type="dxa"/>
            <w:shd w:val="clear" w:color="auto" w:fill="0F7EB4"/>
          </w:tcPr>
          <w:p w14:paraId="3D82A2D4" w14:textId="77777777" w:rsidR="00AE4F2C" w:rsidRPr="009332D9" w:rsidRDefault="00AE4F2C" w:rsidP="009332D9">
            <w:pPr>
              <w:pStyle w:val="Tablecondensedheading"/>
              <w:rPr>
                <w:b/>
                <w:bCs/>
              </w:rPr>
            </w:pPr>
            <w:r w:rsidRPr="009332D9">
              <w:rPr>
                <w:b/>
                <w:bCs/>
              </w:rPr>
              <w:t>Essay topic</w:t>
            </w:r>
          </w:p>
        </w:tc>
        <w:tc>
          <w:tcPr>
            <w:tcW w:w="2410" w:type="dxa"/>
            <w:shd w:val="clear" w:color="auto" w:fill="0F7EB4"/>
          </w:tcPr>
          <w:p w14:paraId="57AD6ED0" w14:textId="77777777" w:rsidR="00AE4F2C" w:rsidRPr="009332D9" w:rsidRDefault="00AE4F2C" w:rsidP="009332D9">
            <w:pPr>
              <w:pStyle w:val="Tablecondensedheading"/>
              <w:rPr>
                <w:b/>
                <w:bCs/>
              </w:rPr>
            </w:pPr>
            <w:r w:rsidRPr="009332D9">
              <w:rPr>
                <w:b/>
                <w:bCs/>
              </w:rPr>
              <w:t>Distribution</w:t>
            </w:r>
          </w:p>
        </w:tc>
      </w:tr>
      <w:tr w:rsidR="00AE4F2C" w14:paraId="19435B33" w14:textId="77777777" w:rsidTr="00DF0280">
        <w:tc>
          <w:tcPr>
            <w:tcW w:w="3681" w:type="dxa"/>
          </w:tcPr>
          <w:p w14:paraId="78CBB279" w14:textId="77777777" w:rsidR="00AE4F2C" w:rsidRDefault="00AE4F2C" w:rsidP="009332D9">
            <w:pPr>
              <w:pStyle w:val="Tablecondensed"/>
              <w:rPr>
                <w:lang w:val="en-AU"/>
              </w:rPr>
            </w:pPr>
            <w:r>
              <w:t xml:space="preserve">The </w:t>
            </w:r>
            <w:r w:rsidRPr="00896AA7">
              <w:t>America</w:t>
            </w:r>
            <w:r>
              <w:t>n Revolution</w:t>
            </w:r>
          </w:p>
        </w:tc>
        <w:tc>
          <w:tcPr>
            <w:tcW w:w="2410" w:type="dxa"/>
          </w:tcPr>
          <w:p w14:paraId="398AB4B5" w14:textId="77777777" w:rsidR="00AE4F2C" w:rsidRDefault="00AE4F2C" w:rsidP="009332D9">
            <w:pPr>
              <w:pStyle w:val="Tablecondensed"/>
              <w:rPr>
                <w:lang w:val="en-AU"/>
              </w:rPr>
            </w:pPr>
            <w:r>
              <w:t>10</w:t>
            </w:r>
            <w:r w:rsidRPr="00896AA7">
              <w:t>%</w:t>
            </w:r>
          </w:p>
        </w:tc>
      </w:tr>
      <w:tr w:rsidR="00AE4F2C" w14:paraId="505AC914" w14:textId="77777777" w:rsidTr="00DF0280">
        <w:tc>
          <w:tcPr>
            <w:tcW w:w="3681" w:type="dxa"/>
          </w:tcPr>
          <w:p w14:paraId="480E6607" w14:textId="77777777" w:rsidR="00AE4F2C" w:rsidRDefault="00AE4F2C" w:rsidP="009332D9">
            <w:pPr>
              <w:pStyle w:val="Tablecondensed"/>
              <w:rPr>
                <w:lang w:val="en-AU"/>
              </w:rPr>
            </w:pPr>
            <w:r>
              <w:t xml:space="preserve">The </w:t>
            </w:r>
            <w:r w:rsidRPr="00896AA7">
              <w:t>Fr</w:t>
            </w:r>
            <w:r>
              <w:t>ench Revolution</w:t>
            </w:r>
          </w:p>
        </w:tc>
        <w:tc>
          <w:tcPr>
            <w:tcW w:w="2410" w:type="dxa"/>
          </w:tcPr>
          <w:p w14:paraId="6B6D04B7" w14:textId="77777777" w:rsidR="00AE4F2C" w:rsidRDefault="00AE4F2C" w:rsidP="009332D9">
            <w:pPr>
              <w:pStyle w:val="Tablecondensed"/>
              <w:rPr>
                <w:lang w:val="en-AU"/>
              </w:rPr>
            </w:pPr>
            <w:r>
              <w:t>18</w:t>
            </w:r>
            <w:r w:rsidRPr="00896AA7">
              <w:t>%</w:t>
            </w:r>
          </w:p>
        </w:tc>
      </w:tr>
      <w:tr w:rsidR="00AE4F2C" w14:paraId="3CD2A726" w14:textId="77777777" w:rsidTr="00DF0280">
        <w:tc>
          <w:tcPr>
            <w:tcW w:w="3681" w:type="dxa"/>
          </w:tcPr>
          <w:p w14:paraId="45E0F3FC" w14:textId="77777777" w:rsidR="00AE4F2C" w:rsidRDefault="00AE4F2C" w:rsidP="009332D9">
            <w:pPr>
              <w:pStyle w:val="Tablecondensed"/>
              <w:rPr>
                <w:lang w:val="en-AU"/>
              </w:rPr>
            </w:pPr>
            <w:r>
              <w:t xml:space="preserve">The </w:t>
            </w:r>
            <w:r w:rsidRPr="00896AA7">
              <w:t>Russia</w:t>
            </w:r>
            <w:r>
              <w:t>n Revolution</w:t>
            </w:r>
          </w:p>
        </w:tc>
        <w:tc>
          <w:tcPr>
            <w:tcW w:w="2410" w:type="dxa"/>
          </w:tcPr>
          <w:p w14:paraId="61FCDDB7" w14:textId="77777777" w:rsidR="00AE4F2C" w:rsidRDefault="00AE4F2C" w:rsidP="009332D9">
            <w:pPr>
              <w:pStyle w:val="Tablecondensed"/>
              <w:rPr>
                <w:lang w:val="en-AU"/>
              </w:rPr>
            </w:pPr>
            <w:r>
              <w:t>51</w:t>
            </w:r>
            <w:r w:rsidRPr="00896AA7">
              <w:t>%</w:t>
            </w:r>
          </w:p>
        </w:tc>
      </w:tr>
      <w:tr w:rsidR="00AE4F2C" w14:paraId="17A3B8C2" w14:textId="77777777" w:rsidTr="00DF0280">
        <w:tc>
          <w:tcPr>
            <w:tcW w:w="3681" w:type="dxa"/>
          </w:tcPr>
          <w:p w14:paraId="78632555" w14:textId="77777777" w:rsidR="00AE4F2C" w:rsidRDefault="00AE4F2C" w:rsidP="009332D9">
            <w:pPr>
              <w:pStyle w:val="Tablecondensed"/>
              <w:rPr>
                <w:lang w:val="en-AU"/>
              </w:rPr>
            </w:pPr>
            <w:r>
              <w:t xml:space="preserve">The </w:t>
            </w:r>
            <w:r w:rsidRPr="00896AA7">
              <w:t>Chin</w:t>
            </w:r>
            <w:r>
              <w:t>ese Revolution</w:t>
            </w:r>
          </w:p>
        </w:tc>
        <w:tc>
          <w:tcPr>
            <w:tcW w:w="2410" w:type="dxa"/>
          </w:tcPr>
          <w:p w14:paraId="0E9C277E" w14:textId="77777777" w:rsidR="00AE4F2C" w:rsidRDefault="00AE4F2C" w:rsidP="009332D9">
            <w:pPr>
              <w:pStyle w:val="Tablecondensed"/>
              <w:rPr>
                <w:lang w:val="en-AU"/>
              </w:rPr>
            </w:pPr>
            <w:r>
              <w:t>20</w:t>
            </w:r>
            <w:r w:rsidRPr="00896AA7">
              <w:t>%</w:t>
            </w:r>
          </w:p>
        </w:tc>
      </w:tr>
      <w:tr w:rsidR="00AE4F2C" w14:paraId="6582A8A5" w14:textId="77777777" w:rsidTr="00DF0280">
        <w:tc>
          <w:tcPr>
            <w:tcW w:w="3681" w:type="dxa"/>
          </w:tcPr>
          <w:p w14:paraId="7EF3B5DA" w14:textId="77777777" w:rsidR="00AE4F2C" w:rsidRDefault="00AE4F2C" w:rsidP="009332D9">
            <w:pPr>
              <w:pStyle w:val="Tablecondensed"/>
              <w:rPr>
                <w:lang w:val="en-AU"/>
              </w:rPr>
            </w:pPr>
            <w:r>
              <w:t>No selection</w:t>
            </w:r>
          </w:p>
        </w:tc>
        <w:tc>
          <w:tcPr>
            <w:tcW w:w="2410" w:type="dxa"/>
          </w:tcPr>
          <w:p w14:paraId="6694620E" w14:textId="77777777" w:rsidR="00AE4F2C" w:rsidRDefault="00AE4F2C" w:rsidP="009332D9">
            <w:pPr>
              <w:pStyle w:val="Tablecondensed"/>
              <w:rPr>
                <w:lang w:val="en-AU"/>
              </w:rPr>
            </w:pPr>
            <w:r>
              <w:t>2</w:t>
            </w:r>
            <w:r w:rsidRPr="00896AA7">
              <w:t>%</w:t>
            </w:r>
          </w:p>
        </w:tc>
      </w:tr>
    </w:tbl>
    <w:p w14:paraId="608CC1EB" w14:textId="77777777" w:rsidR="00AE4F2C" w:rsidRDefault="00AE4F2C" w:rsidP="00FB3A71">
      <w:pPr>
        <w:pStyle w:val="BodyText"/>
      </w:pPr>
      <w:r>
        <w:t>High-scoring responses tended to:</w:t>
      </w:r>
    </w:p>
    <w:p w14:paraId="12F83781" w14:textId="75802423" w:rsidR="00AE4F2C" w:rsidRDefault="00AE4F2C" w:rsidP="00E710C9">
      <w:pPr>
        <w:pStyle w:val="Bullet"/>
      </w:pPr>
      <w:r>
        <w:t xml:space="preserve">start with an introduction that presented a contention that explicitly responded to the view in the question, and briefly outlined the main arguments </w:t>
      </w:r>
      <w:r w:rsidR="00ED099E">
        <w:t xml:space="preserve">that </w:t>
      </w:r>
      <w:r>
        <w:t>the student would make</w:t>
      </w:r>
    </w:p>
    <w:p w14:paraId="57760F40" w14:textId="02B7C726" w:rsidR="00AE4F2C" w:rsidRDefault="00AE4F2C" w:rsidP="00E710C9">
      <w:pPr>
        <w:pStyle w:val="Bullet"/>
      </w:pPr>
      <w:r>
        <w:t>develop at least three arguments</w:t>
      </w:r>
      <w:r w:rsidR="00846341">
        <w:t>,</w:t>
      </w:r>
      <w:r>
        <w:t xml:space="preserve"> which were organised into clear, focused paragraphs</w:t>
      </w:r>
    </w:p>
    <w:p w14:paraId="6733FDB6" w14:textId="3E0E9287" w:rsidR="00AE4F2C" w:rsidRDefault="00AE4F2C" w:rsidP="00E710C9">
      <w:pPr>
        <w:pStyle w:val="Bullet"/>
      </w:pPr>
      <w:r>
        <w:t xml:space="preserve">start each paragraph with a proposition </w:t>
      </w:r>
      <w:r w:rsidR="00ED099E">
        <w:t xml:space="preserve">that </w:t>
      </w:r>
      <w:r>
        <w:t>the student wanted to make</w:t>
      </w:r>
    </w:p>
    <w:p w14:paraId="50992BCC" w14:textId="7FC8070C" w:rsidR="00AE4F2C" w:rsidRDefault="00AE4F2C" w:rsidP="00E710C9">
      <w:pPr>
        <w:pStyle w:val="Bullet"/>
      </w:pPr>
      <w:r>
        <w:t>provide a range of evidence, including both primary</w:t>
      </w:r>
      <w:r w:rsidR="00846341">
        <w:t>-</w:t>
      </w:r>
      <w:r>
        <w:t>source evidence (</w:t>
      </w:r>
      <w:r w:rsidR="00846341">
        <w:t>such as</w:t>
      </w:r>
      <w:r>
        <w:t xml:space="preserve"> dates, laws, statistics</w:t>
      </w:r>
      <w:r w:rsidR="00ED099E">
        <w:t xml:space="preserve"> and</w:t>
      </w:r>
      <w:r>
        <w:t xml:space="preserve"> quotes from contemporary figures) and historical interpretations</w:t>
      </w:r>
    </w:p>
    <w:p w14:paraId="1F32148B" w14:textId="502EFB46" w:rsidR="00AE4F2C" w:rsidRDefault="00AE4F2C" w:rsidP="00E710C9">
      <w:pPr>
        <w:pStyle w:val="Bullet"/>
      </w:pPr>
      <w:r>
        <w:t>analyse what this evidence reveals by linking it to key parts of the essay question</w:t>
      </w:r>
    </w:p>
    <w:p w14:paraId="5F4ACD65" w14:textId="5D03B18C" w:rsidR="00AE4F2C" w:rsidRDefault="00AE4F2C" w:rsidP="00E710C9">
      <w:pPr>
        <w:pStyle w:val="Bullet"/>
        <w:rPr>
          <w:szCs w:val="20"/>
        </w:rPr>
      </w:pPr>
      <w:r>
        <w:t>engage with all parts of the prompt in the essay question, including</w:t>
      </w:r>
      <w:r w:rsidR="00D65F60">
        <w:t xml:space="preserve"> by</w:t>
      </w:r>
      <w:r>
        <w:t xml:space="preserve"> testing the accuracy of qualifiers like ‘always’</w:t>
      </w:r>
      <w:r w:rsidR="00ED099E">
        <w:t>,</w:t>
      </w:r>
      <w:r>
        <w:t xml:space="preserve"> ‘significantly’ or ‘mostly’</w:t>
      </w:r>
    </w:p>
    <w:p w14:paraId="53B67EAC" w14:textId="3B88B73F" w:rsidR="00AE4F2C" w:rsidRDefault="00AE4F2C" w:rsidP="00E710C9">
      <w:pPr>
        <w:pStyle w:val="Bullet"/>
        <w:rPr>
          <w:szCs w:val="20"/>
        </w:rPr>
      </w:pPr>
      <w:r>
        <w:t xml:space="preserve">end with a brief conclusion that restated how </w:t>
      </w:r>
      <w:r w:rsidR="00D65F60">
        <w:t xml:space="preserve">much </w:t>
      </w:r>
      <w:r>
        <w:t>the student agreed with the view in the question and why</w:t>
      </w:r>
      <w:r w:rsidR="002D510D">
        <w:t>.</w:t>
      </w:r>
    </w:p>
    <w:p w14:paraId="1B26644E" w14:textId="45205F97" w:rsidR="00AE4F2C" w:rsidRPr="003D407C" w:rsidRDefault="00AE4F2C" w:rsidP="00FB3A71">
      <w:pPr>
        <w:pStyle w:val="BodyText"/>
      </w:pPr>
      <w:r>
        <w:t xml:space="preserve">As clarified in </w:t>
      </w:r>
      <w:hyperlink r:id="rId13" w:history="1">
        <w:r w:rsidRPr="00F57160">
          <w:rPr>
            <w:rStyle w:val="Hyperlink"/>
          </w:rPr>
          <w:t>VCAA Notice to Schools 42</w:t>
        </w:r>
      </w:hyperlink>
      <w:r>
        <w:t xml:space="preserve"> (May 2025), students are required to demonstrate an understanding of historical interpretations in order to access the highest marks on the essay. Pleasingly, a significant proportion of students attempt</w:t>
      </w:r>
      <w:r w:rsidR="00564D23">
        <w:t>ed</w:t>
      </w:r>
      <w:r>
        <w:t xml:space="preserve"> to use historical interpretations </w:t>
      </w:r>
      <w:r w:rsidR="00564D23">
        <w:t>i</w:t>
      </w:r>
      <w:r>
        <w:t>n this year’s exam</w:t>
      </w:r>
      <w:r w:rsidR="00564D23">
        <w:t>ination</w:t>
      </w:r>
      <w:r>
        <w:t xml:space="preserve">. However, while quotes from historians can be a valuable tool for supporting a historical argument, they tend to be counterproductive when used poorly. </w:t>
      </w:r>
      <w:r w:rsidR="00496313">
        <w:t>S</w:t>
      </w:r>
      <w:r>
        <w:t>tudents</w:t>
      </w:r>
      <w:r w:rsidR="00496313">
        <w:t xml:space="preserve"> are encouraged</w:t>
      </w:r>
      <w:r>
        <w:t xml:space="preserve"> to make more effective use of historical interpretations by:</w:t>
      </w:r>
    </w:p>
    <w:p w14:paraId="2AE2B351" w14:textId="644D73A4" w:rsidR="00AE4F2C" w:rsidRDefault="00BC404D" w:rsidP="00E710C9">
      <w:pPr>
        <w:pStyle w:val="Bullet"/>
      </w:pPr>
      <w:r>
        <w:t>avoid</w:t>
      </w:r>
      <w:r w:rsidR="00496313">
        <w:t>ing</w:t>
      </w:r>
      <w:r>
        <w:t xml:space="preserve"> the </w:t>
      </w:r>
      <w:r w:rsidR="00AE4F2C">
        <w:t>fabrication of quotes</w:t>
      </w:r>
    </w:p>
    <w:p w14:paraId="5605FFFE" w14:textId="321E17AF" w:rsidR="00AE4F2C" w:rsidRDefault="00BC404D" w:rsidP="00E710C9">
      <w:pPr>
        <w:pStyle w:val="Bullet"/>
      </w:pPr>
      <w:r>
        <w:t>avoid</w:t>
      </w:r>
      <w:r w:rsidR="00496313">
        <w:t>ing</w:t>
      </w:r>
      <w:r>
        <w:t xml:space="preserve"> the </w:t>
      </w:r>
      <w:r w:rsidR="00AE4F2C">
        <w:t>rote</w:t>
      </w:r>
      <w:r w:rsidR="00D87901">
        <w:t xml:space="preserve"> </w:t>
      </w:r>
      <w:r w:rsidR="00AE4F2C">
        <w:t>learning</w:t>
      </w:r>
      <w:r w:rsidR="00ED099E">
        <w:t xml:space="preserve"> of</w:t>
      </w:r>
      <w:r w:rsidR="00AE4F2C">
        <w:t xml:space="preserve"> quotes without an understanding of </w:t>
      </w:r>
      <w:r w:rsidR="00ED099E">
        <w:t xml:space="preserve">the </w:t>
      </w:r>
      <w:r w:rsidR="00AE4F2C" w:rsidRPr="3309FF52">
        <w:t xml:space="preserve">underlying </w:t>
      </w:r>
      <w:r w:rsidR="00564D23">
        <w:t xml:space="preserve">historical </w:t>
      </w:r>
      <w:r w:rsidR="00AE4F2C">
        <w:t>interpretation they relate to</w:t>
      </w:r>
    </w:p>
    <w:p w14:paraId="3F3A9DBF" w14:textId="62B0B602" w:rsidR="00AE4F2C" w:rsidRDefault="00AE4F2C" w:rsidP="00E710C9">
      <w:pPr>
        <w:pStyle w:val="Bullet"/>
      </w:pPr>
      <w:r>
        <w:t>avoid</w:t>
      </w:r>
      <w:r w:rsidR="00496313">
        <w:t>ing</w:t>
      </w:r>
      <w:r>
        <w:t xml:space="preserve"> descriptive or generic quotes that do not provide an interpretation (</w:t>
      </w:r>
      <w:r w:rsidR="00C9145E">
        <w:t>for example</w:t>
      </w:r>
      <w:r w:rsidR="00407BCC">
        <w:t>,</w:t>
      </w:r>
      <w:r>
        <w:t xml:space="preserve"> </w:t>
      </w:r>
      <w:r w:rsidR="000F4DD4">
        <w:t>‘</w:t>
      </w:r>
      <w:r w:rsidRPr="00AE46CA">
        <w:t xml:space="preserve">the king was </w:t>
      </w:r>
      <w:r w:rsidR="000F4DD4">
        <w:t>“</w:t>
      </w:r>
      <w:r w:rsidRPr="00AE46CA">
        <w:t>weak</w:t>
      </w:r>
      <w:r w:rsidR="000F4DD4">
        <w:t>”</w:t>
      </w:r>
      <w:r w:rsidRPr="00AE46CA">
        <w:t>’)</w:t>
      </w:r>
    </w:p>
    <w:p w14:paraId="46C2867F" w14:textId="3043598C" w:rsidR="00AE4F2C" w:rsidRDefault="00AE4F2C" w:rsidP="00E710C9">
      <w:pPr>
        <w:pStyle w:val="Bullet"/>
      </w:pPr>
      <w:r w:rsidRPr="4D02ACA0">
        <w:lastRenderedPageBreak/>
        <w:t>ensur</w:t>
      </w:r>
      <w:r w:rsidR="00496313">
        <w:t>ing</w:t>
      </w:r>
      <w:r w:rsidR="00407BCC">
        <w:t xml:space="preserve"> that</w:t>
      </w:r>
      <w:r w:rsidRPr="4D02ACA0">
        <w:t xml:space="preserve"> viewpoints are attributed with precision, as a significant number of students </w:t>
      </w:r>
      <w:r w:rsidR="0034559F">
        <w:t>responding to the 2025 examination</w:t>
      </w:r>
      <w:r w:rsidR="0034559F" w:rsidRPr="4D02ACA0">
        <w:t xml:space="preserve"> </w:t>
      </w:r>
      <w:r w:rsidRPr="4D02ACA0">
        <w:t>attribute</w:t>
      </w:r>
      <w:r w:rsidR="0034559F">
        <w:t>d</w:t>
      </w:r>
      <w:r w:rsidRPr="4D02ACA0">
        <w:t xml:space="preserve"> quotes not only </w:t>
      </w:r>
      <w:r w:rsidR="00407BCC">
        <w:t xml:space="preserve">to </w:t>
      </w:r>
      <w:r w:rsidRPr="4D02ACA0">
        <w:t xml:space="preserve">the wrong historian but </w:t>
      </w:r>
      <w:r w:rsidR="00407BCC">
        <w:t xml:space="preserve">also to </w:t>
      </w:r>
      <w:r w:rsidRPr="4D02ACA0">
        <w:t>a historian of a different revolution</w:t>
      </w:r>
    </w:p>
    <w:p w14:paraId="2FAE955F" w14:textId="24EA6D80" w:rsidR="00AE4F2C" w:rsidRDefault="00AE4F2C" w:rsidP="00E710C9">
      <w:pPr>
        <w:pStyle w:val="Bullet"/>
      </w:pPr>
      <w:r w:rsidRPr="4D02ACA0">
        <w:t>ensur</w:t>
      </w:r>
      <w:r w:rsidR="00496313">
        <w:t>ing</w:t>
      </w:r>
      <w:r w:rsidRPr="4D02ACA0">
        <w:t xml:space="preserve"> that </w:t>
      </w:r>
      <w:r>
        <w:t>the</w:t>
      </w:r>
      <w:r w:rsidR="00407BCC">
        <w:t>y</w:t>
      </w:r>
      <w:r>
        <w:t xml:space="preserve"> clearly contextualise the </w:t>
      </w:r>
      <w:r w:rsidR="00564D23">
        <w:t xml:space="preserve">historical </w:t>
      </w:r>
      <w:r>
        <w:t xml:space="preserve">interpretation </w:t>
      </w:r>
      <w:r w:rsidR="00564D23">
        <w:t xml:space="preserve">that quotes </w:t>
      </w:r>
      <w:r>
        <w:t xml:space="preserve">relate to and how </w:t>
      </w:r>
      <w:r w:rsidR="00564D23">
        <w:t>they</w:t>
      </w:r>
      <w:r w:rsidR="00564D23">
        <w:t xml:space="preserve"> </w:t>
      </w:r>
      <w:r>
        <w:t>relate to the question (</w:t>
      </w:r>
      <w:r w:rsidR="000F4DD4">
        <w:t>for example</w:t>
      </w:r>
      <w:r w:rsidR="002D510D">
        <w:t>,</w:t>
      </w:r>
      <w:r>
        <w:t xml:space="preserve"> </w:t>
      </w:r>
      <w:r w:rsidR="000F4DD4">
        <w:t>‘</w:t>
      </w:r>
      <w:r w:rsidR="002D510D" w:rsidRPr="00AE46CA">
        <w:t>t</w:t>
      </w:r>
      <w:r w:rsidRPr="00AE46CA">
        <w:t xml:space="preserve">his is why Simon Schama contends that </w:t>
      </w:r>
      <w:r w:rsidR="000F4DD4">
        <w:t>“</w:t>
      </w:r>
      <w:r w:rsidRPr="00AE46CA">
        <w:t>violence was the motor of the revolution</w:t>
      </w:r>
      <w:r w:rsidR="000F4DD4">
        <w:t>”</w:t>
      </w:r>
      <w:r w:rsidR="00564D23">
        <w:rPr>
          <w:rStyle w:val="FootnoteReference"/>
        </w:rPr>
        <w:footnoteReference w:id="1"/>
      </w:r>
      <w:r w:rsidRPr="00AE46CA">
        <w:t>, because each time a movement succeeded in bringing about political change through violence, they simply encouraged subsequent use of violence by other</w:t>
      </w:r>
      <w:r w:rsidR="0034559F" w:rsidRPr="00AE46CA">
        <w:t>s</w:t>
      </w:r>
      <w:r w:rsidRPr="00AE46CA">
        <w:t xml:space="preserve"> pursuing their own goals</w:t>
      </w:r>
      <w:r w:rsidR="000F4DD4">
        <w:t>’</w:t>
      </w:r>
      <w:r>
        <w:t>)</w:t>
      </w:r>
    </w:p>
    <w:p w14:paraId="57A5322E" w14:textId="2C42AEC5" w:rsidR="00AE4F2C" w:rsidRDefault="00AE4F2C" w:rsidP="00E710C9">
      <w:pPr>
        <w:pStyle w:val="Bullet"/>
      </w:pPr>
      <w:r w:rsidRPr="4D02ACA0">
        <w:t>paraphras</w:t>
      </w:r>
      <w:r w:rsidR="00496313">
        <w:t>ing</w:t>
      </w:r>
      <w:r w:rsidRPr="4D02ACA0">
        <w:t xml:space="preserve"> the reasoning and justification for a historical interpretation in the</w:t>
      </w:r>
      <w:r w:rsidR="00407BCC">
        <w:t>ir</w:t>
      </w:r>
      <w:r w:rsidRPr="4D02ACA0">
        <w:t xml:space="preserve"> own words (</w:t>
      </w:r>
      <w:r w:rsidR="000F4DD4">
        <w:t>for example</w:t>
      </w:r>
      <w:r w:rsidR="002D510D">
        <w:t>,</w:t>
      </w:r>
      <w:r w:rsidRPr="4D02ACA0">
        <w:t xml:space="preserve"> </w:t>
      </w:r>
      <w:r w:rsidR="000F4DD4">
        <w:t>‘</w:t>
      </w:r>
      <w:r w:rsidRPr="00AE46CA">
        <w:t>Richard Pipes argues that the Bolsheviks could not use surgical violence because the entire country was united against them, and thus they were forced to use mass terror</w:t>
      </w:r>
      <w:r w:rsidR="000F4DD4">
        <w:t>’</w:t>
      </w:r>
      <w:r w:rsidRPr="4D02ACA0">
        <w:t>)</w:t>
      </w:r>
    </w:p>
    <w:p w14:paraId="7782F24A" w14:textId="15379303" w:rsidR="00AE4F2C" w:rsidRDefault="00AE4F2C" w:rsidP="00E710C9">
      <w:pPr>
        <w:pStyle w:val="Bullet"/>
      </w:pPr>
      <w:r>
        <w:t>us</w:t>
      </w:r>
      <w:r w:rsidR="00496313">
        <w:t>ing</w:t>
      </w:r>
      <w:r>
        <w:t xml:space="preserve"> historical interpretations</w:t>
      </w:r>
      <w:r w:rsidR="00407BCC" w:rsidRPr="00407BCC">
        <w:t xml:space="preserve"> </w:t>
      </w:r>
      <w:r w:rsidR="00407BCC">
        <w:t>periodically or sparingly</w:t>
      </w:r>
      <w:r>
        <w:t>, as they are only effective when used in conjunction with a range of other forms of evidence</w:t>
      </w:r>
    </w:p>
    <w:p w14:paraId="7595EA14" w14:textId="100F8C98" w:rsidR="00AE4F2C" w:rsidRDefault="00AE4F2C" w:rsidP="00E710C9">
      <w:pPr>
        <w:pStyle w:val="Bullet"/>
      </w:pPr>
      <w:r w:rsidRPr="4D02ACA0">
        <w:t>us</w:t>
      </w:r>
      <w:r w:rsidR="00496313">
        <w:t>ing</w:t>
      </w:r>
      <w:r w:rsidRPr="4D02ACA0">
        <w:t xml:space="preserve"> a relevant interpretation near the end of essay body paragraphs, where they can help tie together diverse </w:t>
      </w:r>
      <w:r w:rsidR="0034559F">
        <w:t xml:space="preserve">pieces of </w:t>
      </w:r>
      <w:r w:rsidRPr="4D02ACA0">
        <w:t>evidence to</w:t>
      </w:r>
      <w:r w:rsidR="0034559F">
        <w:t xml:space="preserve"> support</w:t>
      </w:r>
      <w:r w:rsidRPr="4D02ACA0">
        <w:t xml:space="preserve"> a conclusion or overall point.</w:t>
      </w:r>
    </w:p>
    <w:p w14:paraId="1342025F" w14:textId="447346CA" w:rsidR="00AE4F2C" w:rsidRDefault="00407BCC" w:rsidP="00FB3A71">
      <w:pPr>
        <w:pStyle w:val="BodyText"/>
      </w:pPr>
      <w:r>
        <w:t>It is to be n</w:t>
      </w:r>
      <w:r w:rsidR="00AE4F2C" w:rsidRPr="4D02ACA0">
        <w:t>ote</w:t>
      </w:r>
      <w:r>
        <w:t>d</w:t>
      </w:r>
      <w:r w:rsidR="00AE4F2C" w:rsidRPr="4D02ACA0">
        <w:t xml:space="preserve"> that the use of historical interpretations was </w:t>
      </w:r>
      <w:r w:rsidR="00AE4F2C" w:rsidRPr="4D02ACA0">
        <w:rPr>
          <w:i/>
          <w:iCs/>
        </w:rPr>
        <w:t xml:space="preserve">not </w:t>
      </w:r>
      <w:r w:rsidR="00AE4F2C" w:rsidRPr="4D02ACA0">
        <w:t>required to access the highest marks on Section A of the exam</w:t>
      </w:r>
      <w:r w:rsidR="00DB4C42">
        <w:t>ination</w:t>
      </w:r>
      <w:r w:rsidR="00AE4F2C" w:rsidRPr="4D02ACA0">
        <w:t xml:space="preserve">. Where students did use relevant historical interpretations in Section A, these </w:t>
      </w:r>
      <w:proofErr w:type="gramStart"/>
      <w:r w:rsidR="00AE4F2C" w:rsidRPr="4D02ACA0">
        <w:t>were considered to be</w:t>
      </w:r>
      <w:proofErr w:type="gramEnd"/>
      <w:r w:rsidR="00AE4F2C" w:rsidRPr="4D02ACA0">
        <w:t xml:space="preserve"> ‘own knowledge’ or ‘other evidence’ for the purposes of awarding marks. </w:t>
      </w:r>
    </w:p>
    <w:p w14:paraId="4B9522A7" w14:textId="77777777" w:rsidR="00AE4F2C" w:rsidRPr="00896AA7" w:rsidRDefault="00AE4F2C" w:rsidP="00AE4F2C">
      <w:pPr>
        <w:pStyle w:val="Heading3"/>
      </w:pPr>
      <w:r w:rsidRPr="4D02ACA0">
        <w:t>Question 1 – The American Revolution</w:t>
      </w:r>
    </w:p>
    <w:p w14:paraId="335F2F45" w14:textId="77777777" w:rsidR="00AE4F2C" w:rsidRPr="00D430A7" w:rsidRDefault="00AE4F2C" w:rsidP="00FB3A71">
      <w:pPr>
        <w:pStyle w:val="BodyText"/>
      </w:pPr>
      <w:r w:rsidRPr="4D02ACA0">
        <w:t xml:space="preserve">This question required students to discuss their level of agreement with the interpretation that </w:t>
      </w:r>
      <w:r w:rsidRPr="00D430A7">
        <w:t xml:space="preserve">‘The wide-reaching political changes made between 1776 and 1789 meant revolutionary ideals were significantly compromised.’ </w:t>
      </w:r>
    </w:p>
    <w:p w14:paraId="65A5324C" w14:textId="3F916707" w:rsidR="00AE4F2C" w:rsidRDefault="00AE4F2C" w:rsidP="00FB3A71">
      <w:pPr>
        <w:pStyle w:val="BodyText"/>
      </w:pPr>
      <w:r>
        <w:t xml:space="preserve">Most students were able to develop an argument </w:t>
      </w:r>
      <w:r w:rsidR="00407BCC">
        <w:t xml:space="preserve">that </w:t>
      </w:r>
      <w:r>
        <w:t>identified some revolutionary ideals, discussed some political changes and discussed whether these changes fulfilled or compromised the original ideals of the revolution.</w:t>
      </w:r>
    </w:p>
    <w:p w14:paraId="0D876B59" w14:textId="77777777" w:rsidR="00AE4F2C" w:rsidRDefault="00AE4F2C" w:rsidP="00FB3A71">
      <w:pPr>
        <w:pStyle w:val="BodyText"/>
      </w:pPr>
      <w:r>
        <w:t>High-scoring responses to this question tended to:</w:t>
      </w:r>
    </w:p>
    <w:p w14:paraId="1F2DF1BA" w14:textId="3B714948" w:rsidR="00AE4F2C" w:rsidRDefault="00AE4F2C" w:rsidP="00E710C9">
      <w:pPr>
        <w:pStyle w:val="Bullet"/>
      </w:pPr>
      <w:r>
        <w:t>briefly provide context about the main ideals of the American Revolution that students explored in A</w:t>
      </w:r>
      <w:r w:rsidR="000F4DD4">
        <w:t>OS</w:t>
      </w:r>
      <w:r>
        <w:t xml:space="preserve">1, such </w:t>
      </w:r>
      <w:r w:rsidRPr="007B1129">
        <w:t xml:space="preserve">as </w:t>
      </w:r>
      <w:r w:rsidR="000F4DD4">
        <w:t>N</w:t>
      </w:r>
      <w:r w:rsidRPr="007B1129">
        <w:t xml:space="preserve">atural </w:t>
      </w:r>
      <w:r w:rsidR="000F4DD4">
        <w:t>R</w:t>
      </w:r>
      <w:r w:rsidRPr="007B1129">
        <w:t>ights, no taxation</w:t>
      </w:r>
      <w:r>
        <w:t xml:space="preserve"> without representation, self-government and republicanism</w:t>
      </w:r>
    </w:p>
    <w:p w14:paraId="409F2F7B" w14:textId="77777777" w:rsidR="00AE4F2C" w:rsidRDefault="00AE4F2C" w:rsidP="00E710C9">
      <w:pPr>
        <w:pStyle w:val="Bullet"/>
      </w:pPr>
      <w:r w:rsidRPr="4D02ACA0">
        <w:t>explore initial attempts to realise these ideals through the Articles of Confederation</w:t>
      </w:r>
    </w:p>
    <w:p w14:paraId="35ED6364" w14:textId="1F81945C" w:rsidR="00AE4F2C" w:rsidRDefault="00AE4F2C" w:rsidP="00E710C9">
      <w:pPr>
        <w:pStyle w:val="Bullet"/>
      </w:pPr>
      <w:r>
        <w:t xml:space="preserve">analyse the reasons </w:t>
      </w:r>
      <w:r w:rsidR="00435C79">
        <w:t xml:space="preserve">why </w:t>
      </w:r>
      <w:r>
        <w:t>revolutionary ideals</w:t>
      </w:r>
      <w:r w:rsidR="00435C79">
        <w:t xml:space="preserve"> were compromised</w:t>
      </w:r>
      <w:r>
        <w:t>, such as financial difficulties during the War of Independence and political difficulties in suppressing Shays’</w:t>
      </w:r>
      <w:r w:rsidR="006E4DFB">
        <w:t>s</w:t>
      </w:r>
      <w:r>
        <w:t xml:space="preserve"> Rebellion</w:t>
      </w:r>
    </w:p>
    <w:p w14:paraId="6F0AC7C5" w14:textId="626CC215" w:rsidR="00AE4F2C" w:rsidRDefault="00AE4F2C" w:rsidP="00E710C9">
      <w:pPr>
        <w:pStyle w:val="Bullet"/>
      </w:pPr>
      <w:r>
        <w:t xml:space="preserve">analyse the specific compromises made to revolutionary ideals through the drafting and ratification of the Constitution, and </w:t>
      </w:r>
      <w:r w:rsidR="00435C79">
        <w:t xml:space="preserve">the </w:t>
      </w:r>
      <w:r>
        <w:t>efforts to preserve those ideals through the Bill of Rights</w:t>
      </w:r>
    </w:p>
    <w:p w14:paraId="0B9EC59C" w14:textId="04151A77" w:rsidR="00AE4F2C" w:rsidRDefault="00AE4F2C" w:rsidP="00E710C9">
      <w:pPr>
        <w:pStyle w:val="Bullet"/>
      </w:pPr>
      <w:r>
        <w:t>support arguments with a wide range of primary</w:t>
      </w:r>
      <w:r w:rsidR="00C96C03">
        <w:t>-</w:t>
      </w:r>
      <w:r>
        <w:t>source evidence such as quotes from contemporary figures, features of constitutional documents, dates and voting records of state delegations</w:t>
      </w:r>
    </w:p>
    <w:p w14:paraId="650F9AA8" w14:textId="110386C9" w:rsidR="00AE4F2C" w:rsidRDefault="00AE4F2C" w:rsidP="00E710C9">
      <w:pPr>
        <w:pStyle w:val="Bullet"/>
      </w:pPr>
      <w:r>
        <w:t>support arguments with a range of highly relevant historical interpretations</w:t>
      </w:r>
      <w:r w:rsidR="00435C79">
        <w:t>,</w:t>
      </w:r>
      <w:r>
        <w:t xml:space="preserve"> which were illustrated by clearly and precisely naming historians and accurately explaining their interpretation, often support</w:t>
      </w:r>
      <w:r w:rsidR="00435C79">
        <w:t>ed</w:t>
      </w:r>
      <w:r>
        <w:t xml:space="preserve"> </w:t>
      </w:r>
      <w:r w:rsidR="00435C79">
        <w:t xml:space="preserve">by </w:t>
      </w:r>
      <w:r>
        <w:t xml:space="preserve">short direct quotes. </w:t>
      </w:r>
    </w:p>
    <w:p w14:paraId="22AD0696" w14:textId="480491D9" w:rsidR="00AE4F2C" w:rsidRDefault="00AE4F2C" w:rsidP="00FB3A71">
      <w:pPr>
        <w:pStyle w:val="BodyText"/>
      </w:pPr>
      <w:r>
        <w:t xml:space="preserve">Common limitations </w:t>
      </w:r>
      <w:r w:rsidR="00D430A7">
        <w:t xml:space="preserve">that </w:t>
      </w:r>
      <w:r>
        <w:t xml:space="preserve">prevented responses from </w:t>
      </w:r>
      <w:r w:rsidR="00435C79">
        <w:t xml:space="preserve">achieving </w:t>
      </w:r>
      <w:r>
        <w:t xml:space="preserve">the higher marks included: </w:t>
      </w:r>
    </w:p>
    <w:p w14:paraId="62E25D04" w14:textId="38A4E966" w:rsidR="00AE4F2C" w:rsidRPr="00E710C9" w:rsidRDefault="0034559F" w:rsidP="00E710C9">
      <w:pPr>
        <w:pStyle w:val="Bullet"/>
      </w:pPr>
      <w:r>
        <w:t xml:space="preserve">focusing </w:t>
      </w:r>
      <w:r w:rsidR="00AE4F2C" w:rsidRPr="00E710C9">
        <w:t>excessive</w:t>
      </w:r>
      <w:r w:rsidR="00D430A7">
        <w:t>ly</w:t>
      </w:r>
      <w:r w:rsidR="00AE4F2C" w:rsidRPr="00E710C9">
        <w:t xml:space="preserve"> </w:t>
      </w:r>
      <w:r>
        <w:t>on</w:t>
      </w:r>
      <w:r w:rsidRPr="00E710C9">
        <w:t xml:space="preserve"> </w:t>
      </w:r>
      <w:r w:rsidR="00AE4F2C" w:rsidRPr="00E710C9">
        <w:t>developments from A</w:t>
      </w:r>
      <w:r w:rsidR="00C96C03">
        <w:t>OS</w:t>
      </w:r>
      <w:r w:rsidR="00AE4F2C" w:rsidRPr="00E710C9">
        <w:t xml:space="preserve">1 up to 1776, which left students with insufficient time to explore </w:t>
      </w:r>
      <w:r w:rsidR="00435C79">
        <w:t xml:space="preserve">the </w:t>
      </w:r>
      <w:r w:rsidR="00AE4F2C" w:rsidRPr="00E710C9">
        <w:t>wide-ranging political changes from 1776 to 1789</w:t>
      </w:r>
    </w:p>
    <w:p w14:paraId="211748F5" w14:textId="299AC14D" w:rsidR="00AE4F2C" w:rsidRPr="00E710C9" w:rsidRDefault="00AE4F2C" w:rsidP="00E710C9">
      <w:pPr>
        <w:pStyle w:val="Bullet"/>
      </w:pPr>
      <w:r w:rsidRPr="00E710C9">
        <w:t>constructing a narrative exploring political changes but failing to establish whether these compromised or achieved revolutionary ideals</w:t>
      </w:r>
    </w:p>
    <w:p w14:paraId="1556A511" w14:textId="4B50DE09" w:rsidR="00AE4F2C" w:rsidRPr="00E710C9" w:rsidRDefault="00AE4F2C" w:rsidP="00E710C9">
      <w:pPr>
        <w:pStyle w:val="Bullet"/>
      </w:pPr>
      <w:r w:rsidRPr="00E710C9">
        <w:t>focusing mainly on social changes and the impacts of the revolution on groups like women, Native Americans and African Americans, where</w:t>
      </w:r>
      <w:r w:rsidR="00C96C03">
        <w:t>as</w:t>
      </w:r>
      <w:r w:rsidRPr="00E710C9">
        <w:t xml:space="preserve"> the question required a focus on political changes</w:t>
      </w:r>
    </w:p>
    <w:p w14:paraId="38072A49" w14:textId="2068C075" w:rsidR="00AE4F2C" w:rsidRPr="00E710C9" w:rsidRDefault="00AE4F2C" w:rsidP="00E710C9">
      <w:pPr>
        <w:pStyle w:val="Bullet"/>
      </w:pPr>
      <w:r w:rsidRPr="00E710C9">
        <w:t>generalised, limited or inaccurate use of evidence to support arguments</w:t>
      </w:r>
    </w:p>
    <w:p w14:paraId="05EDF356" w14:textId="4F91D08A" w:rsidR="00AE4F2C" w:rsidRPr="00E710C9" w:rsidRDefault="00AE4F2C" w:rsidP="00E710C9">
      <w:pPr>
        <w:pStyle w:val="Bullet"/>
      </w:pPr>
      <w:r w:rsidRPr="00E710C9">
        <w:lastRenderedPageBreak/>
        <w:t xml:space="preserve">incorporating quotes from historians </w:t>
      </w:r>
      <w:r w:rsidR="00435C79">
        <w:t>that</w:t>
      </w:r>
      <w:r w:rsidR="00435C79" w:rsidRPr="00E710C9">
        <w:t xml:space="preserve"> </w:t>
      </w:r>
      <w:r w:rsidRPr="00E710C9">
        <w:t>were fabricated, irrelevant to the topic or did not support the argument the student was trying to make.</w:t>
      </w:r>
    </w:p>
    <w:p w14:paraId="149CE24B" w14:textId="77777777" w:rsidR="00AE4F2C" w:rsidRPr="00896AA7" w:rsidRDefault="00AE4F2C" w:rsidP="00FB3A71">
      <w:pPr>
        <w:pStyle w:val="BodyText"/>
      </w:pPr>
      <w:r w:rsidRPr="00896AA7">
        <w:t>The following is a paragraph from a high-scoring response to Question 1:</w:t>
      </w:r>
    </w:p>
    <w:p w14:paraId="1FBEB5AD" w14:textId="0C0AB009" w:rsidR="00AE4F2C" w:rsidRDefault="00AE4F2C" w:rsidP="00FB3A71">
      <w:pPr>
        <w:pStyle w:val="Studentresponse"/>
      </w:pPr>
      <w:r>
        <w:t>As the Articles of Confederation represented and enshrined key liberties for revolutionary Americans, their failure and replacement thus demonstrated a sacrifice of idealism to ensure the pragmatic survival of the new country. Initially, the Articles prioritised … state power, where the delegation of roles including taxation was left to state legislatures. Consequently, the Continental Congress struggled to accrue funding</w:t>
      </w:r>
      <w:r w:rsidR="00435C79">
        <w:t xml:space="preserve"> </w:t>
      </w:r>
      <w:r>
        <w:t xml:space="preserve">… </w:t>
      </w:r>
      <w:r w:rsidR="00CF2FBD">
        <w:t>[because it was]</w:t>
      </w:r>
      <w:r w:rsidR="00CF2FBD">
        <w:t xml:space="preserve"> </w:t>
      </w:r>
      <w:r>
        <w:t>unable to implement federal taxes. This aligned with the key revolutionary principles, including of ‘taxation without representation is tyranny</w:t>
      </w:r>
      <w:r w:rsidR="002D510D">
        <w:t>’</w:t>
      </w:r>
      <w:r>
        <w:t xml:space="preserve"> as espoused by Patrick Henry as Congress was unelected, but led to failures in the functioning of the Congress as a governing body. Alexander Hamilton observed that </w:t>
      </w:r>
      <w:r w:rsidR="002D510D">
        <w:t>‘</w:t>
      </w:r>
      <w:r>
        <w:t>without certain revenues, government cannot function</w:t>
      </w:r>
      <w:r w:rsidR="00435C79">
        <w:t>’</w:t>
      </w:r>
      <w:r>
        <w:t xml:space="preserve">, when discussing the struggling financial situation of the colonies in 1780 where hyperinflation continued to depreciate colonial currency and challenge the ability of Congress to compensate revolutionary soldiers. Therefore, the exchange of the Articles for the development of a </w:t>
      </w:r>
      <w:proofErr w:type="gramStart"/>
      <w:r>
        <w:t>Constitution</w:t>
      </w:r>
      <w:proofErr w:type="gramEnd"/>
      <w:r>
        <w:t xml:space="preserve">, which utilised federalist ideals to implement a stronger central government, demonstrated a departure from the prioritisation of revolutionary ideology above function. The feeling of ideals as being compromised by the </w:t>
      </w:r>
      <w:r w:rsidR="00435C79">
        <w:t>C</w:t>
      </w:r>
      <w:r>
        <w:t xml:space="preserve">onstitution was asserted by Patrick Henry, who claimed to </w:t>
      </w:r>
      <w:r w:rsidR="002D510D">
        <w:t>‘</w:t>
      </w:r>
      <w:r>
        <w:t>smell a rat in Philadelphia</w:t>
      </w:r>
      <w:r w:rsidR="00435C79">
        <w:t xml:space="preserve"> </w:t>
      </w:r>
      <w:r>
        <w:t>… tending towards monarchy</w:t>
      </w:r>
      <w:r w:rsidR="002D510D">
        <w:t>’</w:t>
      </w:r>
      <w:r>
        <w:t xml:space="preserve"> at the time of the Philadelphia Convention. This demonstrates how the colonists who had anti-federalist beliefs and who felt that the ideology of the revolution was anti-federalist due to its opposition to monarchical control saw the changes between 1776 and 1789 as a transition away from the ideals of the revolution.</w:t>
      </w:r>
    </w:p>
    <w:p w14:paraId="724C6C8F" w14:textId="77777777" w:rsidR="00AE4F2C" w:rsidRPr="00896AA7" w:rsidRDefault="00AE4F2C" w:rsidP="00AE4F2C">
      <w:pPr>
        <w:pStyle w:val="Heading3"/>
      </w:pPr>
      <w:r w:rsidRPr="00896AA7">
        <w:t>Question 2 – The French Revolution</w:t>
      </w:r>
    </w:p>
    <w:p w14:paraId="78EDAB6C" w14:textId="30F6793F" w:rsidR="00AE4F2C" w:rsidRPr="00435C79" w:rsidRDefault="00AE4F2C" w:rsidP="00FB3A71">
      <w:pPr>
        <w:pStyle w:val="BodyText"/>
      </w:pPr>
      <w:r w:rsidRPr="4D02ACA0">
        <w:t xml:space="preserve">This question required students to discuss their level of agreement with the interpretation that </w:t>
      </w:r>
      <w:r w:rsidRPr="007755C3">
        <w:t>‘The new regime consolidated power by enacting change</w:t>
      </w:r>
      <w:r w:rsidR="00C96C03">
        <w:t xml:space="preserve"> that</w:t>
      </w:r>
      <w:r w:rsidRPr="007755C3">
        <w:t xml:space="preserve"> mostly reflected the original ideals of 1789.’</w:t>
      </w:r>
    </w:p>
    <w:p w14:paraId="50D649A4" w14:textId="040F8C80" w:rsidR="00AE4F2C" w:rsidRDefault="00AE4F2C" w:rsidP="00FB3A71">
      <w:pPr>
        <w:pStyle w:val="BodyText"/>
      </w:pPr>
      <w:r>
        <w:t xml:space="preserve">Most students were able to develop an argument </w:t>
      </w:r>
      <w:r w:rsidR="00435C79">
        <w:t xml:space="preserve">that </w:t>
      </w:r>
      <w:r>
        <w:t>identified some ideals of 1789 and explored some changes brought about over the course of the revolution.</w:t>
      </w:r>
    </w:p>
    <w:p w14:paraId="47D3F8B6" w14:textId="77777777" w:rsidR="00AE4F2C" w:rsidRDefault="00AE4F2C" w:rsidP="00FB3A71">
      <w:pPr>
        <w:pStyle w:val="BodyText"/>
      </w:pPr>
      <w:r w:rsidRPr="10B77027">
        <w:t>High-scoring responses to this question tended to:</w:t>
      </w:r>
    </w:p>
    <w:p w14:paraId="29F939AE" w14:textId="6DE1793A" w:rsidR="00AE4F2C" w:rsidRDefault="00AE4F2C" w:rsidP="00E710C9">
      <w:pPr>
        <w:pStyle w:val="Bullet"/>
        <w:rPr>
          <w:rFonts w:eastAsia="Arial"/>
        </w:rPr>
      </w:pPr>
      <w:r w:rsidRPr="10B77027">
        <w:rPr>
          <w:rFonts w:eastAsia="Arial"/>
        </w:rPr>
        <w:t xml:space="preserve">briefly provide context about the main ideals of 1789, which were expressed in the </w:t>
      </w:r>
      <w:r w:rsidR="00C96C03">
        <w:rPr>
          <w:rFonts w:eastAsia="Arial"/>
          <w:i/>
          <w:iCs/>
        </w:rPr>
        <w:t>C</w:t>
      </w:r>
      <w:r w:rsidRPr="10B77027">
        <w:rPr>
          <w:rFonts w:eastAsia="Arial"/>
          <w:i/>
          <w:iCs/>
        </w:rPr>
        <w:t xml:space="preserve">ahiers de </w:t>
      </w:r>
      <w:r w:rsidR="00C96C03">
        <w:rPr>
          <w:rFonts w:eastAsia="Arial"/>
          <w:i/>
          <w:iCs/>
        </w:rPr>
        <w:t>D</w:t>
      </w:r>
      <w:r w:rsidRPr="10B77027">
        <w:rPr>
          <w:rFonts w:eastAsia="Arial"/>
          <w:i/>
          <w:iCs/>
        </w:rPr>
        <w:t>oléances</w:t>
      </w:r>
      <w:r w:rsidRPr="10B77027">
        <w:rPr>
          <w:rFonts w:eastAsia="Arial"/>
        </w:rPr>
        <w:t xml:space="preserve"> and the National Assembly’s efforts to abolish privilege and create a constitutional monarchy</w:t>
      </w:r>
    </w:p>
    <w:p w14:paraId="5926A0B3" w14:textId="2C65C4A5" w:rsidR="00AE4F2C" w:rsidRDefault="00AE4F2C" w:rsidP="00E710C9">
      <w:pPr>
        <w:pStyle w:val="Bullet"/>
        <w:rPr>
          <w:rFonts w:eastAsia="Arial"/>
        </w:rPr>
      </w:pPr>
      <w:r w:rsidRPr="10B77027">
        <w:rPr>
          <w:rFonts w:eastAsia="Arial"/>
        </w:rPr>
        <w:t>explore initial attempts to codify and realise these ideals through the August Decrees, the Declaration of the Rights of Man and of the Citizen, and the Constitution of 1791</w:t>
      </w:r>
    </w:p>
    <w:p w14:paraId="39EFE0B9" w14:textId="4F4AF6AA" w:rsidR="00AE4F2C" w:rsidRDefault="00AE4F2C" w:rsidP="00E710C9">
      <w:pPr>
        <w:pStyle w:val="Bullet"/>
        <w:rPr>
          <w:rFonts w:eastAsia="Arial"/>
        </w:rPr>
      </w:pPr>
      <w:r w:rsidRPr="10B77027">
        <w:rPr>
          <w:rFonts w:eastAsia="Arial"/>
        </w:rPr>
        <w:t xml:space="preserve">analyse the reasons </w:t>
      </w:r>
      <w:r w:rsidR="00435C79">
        <w:rPr>
          <w:rFonts w:eastAsia="Arial"/>
        </w:rPr>
        <w:t xml:space="preserve">why </w:t>
      </w:r>
      <w:r w:rsidRPr="10B77027">
        <w:rPr>
          <w:rFonts w:eastAsia="Arial"/>
        </w:rPr>
        <w:t>revolutionary ideals</w:t>
      </w:r>
      <w:r w:rsidR="00435C79">
        <w:rPr>
          <w:rFonts w:eastAsia="Arial"/>
        </w:rPr>
        <w:t xml:space="preserve"> were compromised</w:t>
      </w:r>
      <w:r w:rsidRPr="10B77027">
        <w:rPr>
          <w:rFonts w:eastAsia="Arial"/>
        </w:rPr>
        <w:t>, such as revolutionary war, internal rebellions, fears of counter-revolution</w:t>
      </w:r>
      <w:r w:rsidR="00435C79">
        <w:rPr>
          <w:rFonts w:eastAsia="Arial"/>
        </w:rPr>
        <w:t xml:space="preserve"> and</w:t>
      </w:r>
      <w:r w:rsidRPr="10B77027">
        <w:rPr>
          <w:rFonts w:eastAsia="Arial"/>
        </w:rPr>
        <w:t xml:space="preserve"> political radicalisation</w:t>
      </w:r>
    </w:p>
    <w:p w14:paraId="428CF00D" w14:textId="09E5BC8A" w:rsidR="00AE4F2C" w:rsidRDefault="00AE4F2C" w:rsidP="00E710C9">
      <w:pPr>
        <w:pStyle w:val="Bullet"/>
        <w:rPr>
          <w:rFonts w:eastAsia="Arial"/>
        </w:rPr>
      </w:pPr>
      <w:r w:rsidRPr="10B77027">
        <w:rPr>
          <w:rFonts w:eastAsia="Arial"/>
        </w:rPr>
        <w:t>analyse the specific compromises made to revolutionary ideals, such as the creation of the republic, the execution of the king and the Terror</w:t>
      </w:r>
    </w:p>
    <w:p w14:paraId="33E1EA35" w14:textId="7DF49B2E" w:rsidR="00AE4F2C" w:rsidRDefault="00AE4F2C" w:rsidP="00E710C9">
      <w:pPr>
        <w:pStyle w:val="Bullet"/>
        <w:rPr>
          <w:rFonts w:eastAsia="Arial"/>
        </w:rPr>
      </w:pPr>
      <w:r w:rsidRPr="10B77027">
        <w:rPr>
          <w:rFonts w:eastAsia="Arial"/>
        </w:rPr>
        <w:t>support arguments with a wide range of primary</w:t>
      </w:r>
      <w:r w:rsidR="00C96C03">
        <w:rPr>
          <w:rFonts w:eastAsia="Arial"/>
        </w:rPr>
        <w:t>-</w:t>
      </w:r>
      <w:r w:rsidRPr="10B77027">
        <w:rPr>
          <w:rFonts w:eastAsia="Arial"/>
        </w:rPr>
        <w:t xml:space="preserve">source evidence such as laws passed by the various revolutionary governments, descriptions of the geographic distribution of internal rebellions or quotes from </w:t>
      </w:r>
      <w:r w:rsidR="00C96C03">
        <w:rPr>
          <w:rFonts w:eastAsia="Arial"/>
        </w:rPr>
        <w:t xml:space="preserve">Maximilien </w:t>
      </w:r>
      <w:r w:rsidRPr="10B77027">
        <w:rPr>
          <w:rFonts w:eastAsia="Arial"/>
        </w:rPr>
        <w:t xml:space="preserve">Robespierre illustrating justifications for the </w:t>
      </w:r>
      <w:r w:rsidR="00435C79">
        <w:rPr>
          <w:rFonts w:eastAsia="Arial"/>
        </w:rPr>
        <w:t>T</w:t>
      </w:r>
      <w:r w:rsidRPr="10B77027">
        <w:rPr>
          <w:rFonts w:eastAsia="Arial"/>
        </w:rPr>
        <w:t>error</w:t>
      </w:r>
    </w:p>
    <w:p w14:paraId="7CE2B1AA" w14:textId="0EBDE3FE" w:rsidR="00AE4F2C" w:rsidRDefault="00AE4F2C" w:rsidP="00E710C9">
      <w:pPr>
        <w:pStyle w:val="Bullet"/>
        <w:rPr>
          <w:rFonts w:eastAsia="Arial"/>
        </w:rPr>
      </w:pPr>
      <w:r w:rsidRPr="10B77027">
        <w:rPr>
          <w:rFonts w:eastAsia="Arial"/>
        </w:rPr>
        <w:t>support arguments with a range of highly relevant historical interpretations</w:t>
      </w:r>
      <w:r w:rsidR="00435C79">
        <w:rPr>
          <w:rFonts w:eastAsia="Arial"/>
        </w:rPr>
        <w:t>,</w:t>
      </w:r>
      <w:r w:rsidRPr="10B77027">
        <w:rPr>
          <w:rFonts w:eastAsia="Arial"/>
        </w:rPr>
        <w:t xml:space="preserve"> which were illustrated by clearly and precisely naming historians and accurately explaining their interpretation, often support</w:t>
      </w:r>
      <w:r w:rsidR="00435C79">
        <w:rPr>
          <w:rFonts w:eastAsia="Arial"/>
        </w:rPr>
        <w:t>ed by</w:t>
      </w:r>
      <w:r w:rsidRPr="10B77027">
        <w:rPr>
          <w:rFonts w:eastAsia="Arial"/>
        </w:rPr>
        <w:t xml:space="preserve"> short direct quotes.</w:t>
      </w:r>
    </w:p>
    <w:p w14:paraId="1FC6D2BA" w14:textId="280694BB" w:rsidR="00AE4F2C" w:rsidRDefault="00AE4F2C" w:rsidP="00FB3A71">
      <w:pPr>
        <w:pStyle w:val="BodyText"/>
      </w:pPr>
      <w:r>
        <w:t xml:space="preserve">Common limitations </w:t>
      </w:r>
      <w:r w:rsidR="00435C79">
        <w:t xml:space="preserve">that </w:t>
      </w:r>
      <w:r>
        <w:t xml:space="preserve">prevented responses from </w:t>
      </w:r>
      <w:r w:rsidR="00435C79">
        <w:t xml:space="preserve">achieving </w:t>
      </w:r>
      <w:r>
        <w:t xml:space="preserve">the higher marks included: </w:t>
      </w:r>
    </w:p>
    <w:p w14:paraId="298EE8BD" w14:textId="2BF23051" w:rsidR="00AE4F2C" w:rsidRDefault="0034559F" w:rsidP="00E710C9">
      <w:pPr>
        <w:pStyle w:val="Bullet"/>
      </w:pPr>
      <w:r>
        <w:t xml:space="preserve">focusing </w:t>
      </w:r>
      <w:r w:rsidR="00AE4F2C">
        <w:t>excessive</w:t>
      </w:r>
      <w:r w:rsidR="00427D9D">
        <w:t>ly</w:t>
      </w:r>
      <w:r w:rsidR="00AE4F2C">
        <w:t xml:space="preserve"> </w:t>
      </w:r>
      <w:r>
        <w:t xml:space="preserve">on </w:t>
      </w:r>
      <w:r w:rsidR="00AE4F2C">
        <w:t>developments from A</w:t>
      </w:r>
      <w:r w:rsidR="00C96C03">
        <w:t>OS</w:t>
      </w:r>
      <w:r w:rsidR="00AE4F2C">
        <w:t xml:space="preserve">1 up to 1789, which left students with insufficient time to explore the changes brought about by the new regime and </w:t>
      </w:r>
      <w:proofErr w:type="gramStart"/>
      <w:r w:rsidR="00AE4F2C">
        <w:t>whether or not</w:t>
      </w:r>
      <w:proofErr w:type="gramEnd"/>
      <w:r w:rsidR="00AE4F2C">
        <w:t xml:space="preserve"> these reflected the original revolutionary ideals</w:t>
      </w:r>
    </w:p>
    <w:p w14:paraId="6A8352DB" w14:textId="012CDDB6" w:rsidR="00AE4F2C" w:rsidRDefault="00AE4F2C" w:rsidP="00E710C9">
      <w:pPr>
        <w:pStyle w:val="Bullet"/>
      </w:pPr>
      <w:r>
        <w:t>excessive</w:t>
      </w:r>
      <w:r w:rsidR="00427D9D">
        <w:t>ly</w:t>
      </w:r>
      <w:r>
        <w:t xml:space="preserve"> discussin</w:t>
      </w:r>
      <w:r w:rsidR="00427D9D">
        <w:t>g</w:t>
      </w:r>
      <w:r>
        <w:t xml:space="preserve"> Enlightenment ideas, which influenced </w:t>
      </w:r>
      <w:r w:rsidR="00427D9D">
        <w:t>–</w:t>
      </w:r>
      <w:r>
        <w:t xml:space="preserve"> but were not the same as – the ideals of revolutionaries in 1789</w:t>
      </w:r>
    </w:p>
    <w:p w14:paraId="4B0E7E3D" w14:textId="05346FF7" w:rsidR="00AE4F2C" w:rsidRDefault="00AE4F2C" w:rsidP="00E710C9">
      <w:pPr>
        <w:pStyle w:val="Bullet"/>
      </w:pPr>
      <w:r>
        <w:lastRenderedPageBreak/>
        <w:t>constructing a narrative exploring changes but failing to establish whether these compromised or achieved revolutionary ideals</w:t>
      </w:r>
    </w:p>
    <w:p w14:paraId="060DCC78" w14:textId="587156D4" w:rsidR="00AE4F2C" w:rsidRDefault="00AE4F2C" w:rsidP="00E710C9">
      <w:pPr>
        <w:pStyle w:val="Bullet"/>
      </w:pPr>
      <w:r>
        <w:t xml:space="preserve">focusing exclusively on changes </w:t>
      </w:r>
      <w:r w:rsidR="00427D9D">
        <w:t xml:space="preserve">that </w:t>
      </w:r>
      <w:r>
        <w:t>compromised revolutionary ideals, particularly during the Terror, with</w:t>
      </w:r>
      <w:r w:rsidR="00427D9D">
        <w:t>out</w:t>
      </w:r>
      <w:r>
        <w:t xml:space="preserve"> attempt</w:t>
      </w:r>
      <w:r w:rsidR="00427D9D">
        <w:t>ing</w:t>
      </w:r>
      <w:r>
        <w:t xml:space="preserve"> to explore whether revolutionaries attempted to realise the original ideals of 1789</w:t>
      </w:r>
    </w:p>
    <w:p w14:paraId="5A69D70F" w14:textId="217F2864" w:rsidR="00AE4F2C" w:rsidRDefault="00AE4F2C" w:rsidP="00E710C9">
      <w:pPr>
        <w:pStyle w:val="Bullet"/>
      </w:pPr>
      <w:r>
        <w:t>generalised, limited or inaccurate use of evidence to support arguments</w:t>
      </w:r>
    </w:p>
    <w:p w14:paraId="296C2E85" w14:textId="613080AE" w:rsidR="00AE4F2C" w:rsidRPr="009B6A37" w:rsidRDefault="00AE4F2C" w:rsidP="00E710C9">
      <w:pPr>
        <w:pStyle w:val="Bullet"/>
      </w:pPr>
      <w:r>
        <w:t xml:space="preserve">incorporating quotes from historians </w:t>
      </w:r>
      <w:r w:rsidR="00427D9D">
        <w:t xml:space="preserve">that </w:t>
      </w:r>
      <w:r>
        <w:t>were fabricated, irrelevant to the topic or did not support the argument the student was trying to make.</w:t>
      </w:r>
    </w:p>
    <w:p w14:paraId="36417683" w14:textId="1CC57226" w:rsidR="00AE4F2C" w:rsidRPr="00896AA7" w:rsidRDefault="00AE4F2C" w:rsidP="00FB3A71">
      <w:pPr>
        <w:pStyle w:val="BodyText"/>
      </w:pPr>
      <w:r w:rsidRPr="00896AA7">
        <w:t xml:space="preserve">The following is a paragraph from a high-scoring response </w:t>
      </w:r>
      <w:r w:rsidR="00427D9D">
        <w:t xml:space="preserve">to </w:t>
      </w:r>
      <w:r w:rsidRPr="00896AA7">
        <w:t>Question 2:</w:t>
      </w:r>
    </w:p>
    <w:p w14:paraId="412DF16F" w14:textId="16C0E5A6" w:rsidR="00AE4F2C" w:rsidRPr="00AE4F2C" w:rsidRDefault="00AE4F2C" w:rsidP="00FB3A71">
      <w:pPr>
        <w:pStyle w:val="Studentresponse"/>
      </w:pPr>
      <w:r>
        <w:t>However, from 1793 onwards, the new regime’s use of violence under the Reign of Terror significantly compromised many of the 1789 ideals. Though many revolutionaries had vocali</w:t>
      </w:r>
      <w:r w:rsidR="00474D7B">
        <w:t>s</w:t>
      </w:r>
      <w:r>
        <w:t>ed their belief in popular sovereignty, such as Robespierre contending that ‘the people are never wrong’ (February 1793), the announcement of ‘let Terror be the order of the day’ (Danton) on September 5</w:t>
      </w:r>
      <w:proofErr w:type="gramStart"/>
      <w:r>
        <w:t xml:space="preserve"> 1793</w:t>
      </w:r>
      <w:proofErr w:type="gramEnd"/>
      <w:r>
        <w:t xml:space="preserve"> acted to replace the popular sovereignty that the sans-culottes had expressed through violence, with state-sanctioned terror. Consequently, the National Convention would consolidate power through eliminating enemies of the revolution through violence, highlighting how ‘violence was the motor of the revolution’ (Schama). Despite having abolished the lettres de cachet on 16 March 1790 and the arbitrary justices employed by Louis XVI, the Law of Suspects (17 September 1793) reversed the ideal of justice as fair, as the Law led to arbitrary arrest and imprisonment, and wide definitions of ‘</w:t>
      </w:r>
      <w:proofErr w:type="gramStart"/>
      <w:r>
        <w:t>suspects’</w:t>
      </w:r>
      <w:proofErr w:type="gramEnd"/>
      <w:r>
        <w:t xml:space="preserve">. Furthermore, the convention consolidated power with the Law of 14 Frimaire granting them executive legislative power, betraying the desire for separation of power inspired by Montesquieu. Moreover, </w:t>
      </w:r>
      <w:proofErr w:type="gramStart"/>
      <w:r>
        <w:t>as a result of</w:t>
      </w:r>
      <w:proofErr w:type="gramEnd"/>
      <w:r>
        <w:t xml:space="preserve"> the Terror, the convention was able to brutally supress the Federalist Revolts, such as the Battle of Le Mans slaughtering 3000 of 5000 rebels at the Vendee, in part motivated by opposition to Paris’s centralised authority and lack of regional autonomy. This marked ‘the complete reversal of the principles of 1789’ (Townson)</w:t>
      </w:r>
      <w:r w:rsidR="00474D7B">
        <w:t>.</w:t>
      </w:r>
    </w:p>
    <w:p w14:paraId="1A93FDB4" w14:textId="77777777" w:rsidR="00AE4F2C" w:rsidRPr="00896AA7" w:rsidRDefault="00AE4F2C" w:rsidP="00AE4F2C">
      <w:pPr>
        <w:pStyle w:val="Heading3"/>
      </w:pPr>
      <w:r w:rsidRPr="4D02ACA0">
        <w:t>Question 3 – The Russian Revolution</w:t>
      </w:r>
    </w:p>
    <w:p w14:paraId="3A7895B8" w14:textId="77777777" w:rsidR="00AE4F2C" w:rsidRPr="00474D7B" w:rsidRDefault="00AE4F2C" w:rsidP="00FB3A71">
      <w:pPr>
        <w:pStyle w:val="BodyText"/>
      </w:pPr>
      <w:r w:rsidRPr="4D02ACA0">
        <w:t>This question required students to discuss their level of agreement with the interpretation that</w:t>
      </w:r>
      <w:r w:rsidRPr="4D02ACA0">
        <w:rPr>
          <w:i/>
          <w:iCs/>
        </w:rPr>
        <w:t xml:space="preserve"> </w:t>
      </w:r>
      <w:r w:rsidRPr="007755C3">
        <w:t>‘When faced with challenges to their authority after October 1917, the Bolsheviks always responded with ruthless violence.’</w:t>
      </w:r>
    </w:p>
    <w:p w14:paraId="3F147794" w14:textId="47B816B8" w:rsidR="00AE4F2C" w:rsidRDefault="00AE4F2C" w:rsidP="00FB3A71">
      <w:pPr>
        <w:pStyle w:val="BodyText"/>
      </w:pPr>
      <w:r>
        <w:t xml:space="preserve">Most students were able to develop an argument </w:t>
      </w:r>
      <w:r w:rsidR="00474D7B">
        <w:t xml:space="preserve">that </w:t>
      </w:r>
      <w:r>
        <w:t>affirmed that the Bolsheviks did indeed use ruthless violence and were able to supply a range of examples of the use of violence. Many students provided counterarguments of less violent or non-violent responses</w:t>
      </w:r>
      <w:r w:rsidR="00474D7B">
        <w:t>,</w:t>
      </w:r>
      <w:r>
        <w:t xml:space="preserve"> which indicated </w:t>
      </w:r>
      <w:r w:rsidR="00474D7B">
        <w:t xml:space="preserve">that </w:t>
      </w:r>
      <w:r>
        <w:t>the</w:t>
      </w:r>
      <w:r w:rsidR="00C637E9">
        <w:t xml:space="preserve"> Bolsheviks</w:t>
      </w:r>
      <w:r>
        <w:t xml:space="preserve"> did not </w:t>
      </w:r>
      <w:r w:rsidRPr="00E35557">
        <w:rPr>
          <w:i/>
          <w:iCs/>
        </w:rPr>
        <w:t>always</w:t>
      </w:r>
      <w:r>
        <w:t xml:space="preserve"> use violence.</w:t>
      </w:r>
    </w:p>
    <w:p w14:paraId="0F3C4A67" w14:textId="77777777" w:rsidR="00AE4F2C" w:rsidRDefault="00AE4F2C" w:rsidP="00FB3A71">
      <w:pPr>
        <w:pStyle w:val="BodyText"/>
      </w:pPr>
      <w:r>
        <w:t>High-scoring responses to this question tended to:</w:t>
      </w:r>
    </w:p>
    <w:p w14:paraId="16FEF889" w14:textId="2E79B063" w:rsidR="00AE4F2C" w:rsidRDefault="00AE4F2C" w:rsidP="00E710C9">
      <w:pPr>
        <w:pStyle w:val="Bullet"/>
      </w:pPr>
      <w:r>
        <w:t xml:space="preserve">provide context on specific challenges to the Bolsheviks’ authority, such as opposition from rival political parties, World War I, the White armies, attacks on leading Bolsheviks, peasant resistance to grain requisitioning and the Kronstadt </w:t>
      </w:r>
      <w:r w:rsidR="00CF2FBD">
        <w:t>Revolt</w:t>
      </w:r>
    </w:p>
    <w:p w14:paraId="4E914C34" w14:textId="2D6CCFFF" w:rsidR="00AE4F2C" w:rsidRDefault="00AE4F2C" w:rsidP="00E710C9">
      <w:pPr>
        <w:pStyle w:val="Bullet"/>
      </w:pPr>
      <w:r>
        <w:t xml:space="preserve">qualified the claim that the Bolsheviks ‘always’ used violence by exploring the range of methods </w:t>
      </w:r>
      <w:r w:rsidR="00C637E9">
        <w:t xml:space="preserve">used </w:t>
      </w:r>
      <w:r>
        <w:t>to respond to challenges, including direct, ruthless violence (</w:t>
      </w:r>
      <w:r w:rsidR="00FB75D7">
        <w:t>such as</w:t>
      </w:r>
      <w:r>
        <w:t xml:space="preserve"> the Red Terror), the threat of violence (</w:t>
      </w:r>
      <w:r w:rsidR="00FB75D7">
        <w:t>such as</w:t>
      </w:r>
      <w:r>
        <w:t xml:space="preserve"> </w:t>
      </w:r>
      <w:r w:rsidR="00C637E9">
        <w:t xml:space="preserve">the </w:t>
      </w:r>
      <w:r>
        <w:t xml:space="preserve">dismissal of </w:t>
      </w:r>
      <w:r w:rsidR="00C637E9">
        <w:t xml:space="preserve">the </w:t>
      </w:r>
      <w:r>
        <w:t>Constituent Assembly), political compromise (</w:t>
      </w:r>
      <w:r w:rsidR="00FB75D7">
        <w:t>such as</w:t>
      </w:r>
      <w:r>
        <w:t xml:space="preserve"> the New Economic Policy), or popular policies designed to win mass support (</w:t>
      </w:r>
      <w:r w:rsidR="00071247">
        <w:t>such as</w:t>
      </w:r>
      <w:r>
        <w:t xml:space="preserve"> the initial decrees)</w:t>
      </w:r>
    </w:p>
    <w:p w14:paraId="372535B7" w14:textId="2EA1DA12" w:rsidR="00AE4F2C" w:rsidRDefault="00AE4F2C" w:rsidP="00E710C9">
      <w:pPr>
        <w:pStyle w:val="Bullet"/>
      </w:pPr>
      <w:r>
        <w:t xml:space="preserve">tested the claim that </w:t>
      </w:r>
      <w:r w:rsidR="00C637E9">
        <w:t xml:space="preserve">Bolshevik </w:t>
      </w:r>
      <w:r>
        <w:t xml:space="preserve">violence was ‘ruthless’ by weighing up how proportional and justified </w:t>
      </w:r>
      <w:r w:rsidR="00C637E9">
        <w:t>it</w:t>
      </w:r>
      <w:r>
        <w:t xml:space="preserve"> was in relation to the challenges the</w:t>
      </w:r>
      <w:r w:rsidR="00C637E9">
        <w:t xml:space="preserve"> Bolsheviks</w:t>
      </w:r>
      <w:r>
        <w:t xml:space="preserve"> faced</w:t>
      </w:r>
    </w:p>
    <w:p w14:paraId="298A8A9E" w14:textId="7DC6D999" w:rsidR="00AE4F2C" w:rsidRDefault="00AE4F2C" w:rsidP="00E710C9">
      <w:pPr>
        <w:pStyle w:val="Bullet"/>
      </w:pPr>
      <w:r>
        <w:t>support arguments with a wide range of primary</w:t>
      </w:r>
      <w:r w:rsidR="00E2231A">
        <w:t>-</w:t>
      </w:r>
      <w:r>
        <w:t>source evidence, such as dates and details of Sovnarkom’s decrees, statistics illustrating the activities of the Cheka, quotes from leading Bolsheviks illustrating their justification of violence or details of challenges like Fanya Kaplan’s attempted assassination of Lenin</w:t>
      </w:r>
    </w:p>
    <w:p w14:paraId="42F4A0C5" w14:textId="0D8074F2" w:rsidR="00AE4F2C" w:rsidRDefault="00AE4F2C" w:rsidP="00E710C9">
      <w:pPr>
        <w:pStyle w:val="Bullet"/>
      </w:pPr>
      <w:r>
        <w:lastRenderedPageBreak/>
        <w:t>support arguments with a range of highly relevant historical interpretations</w:t>
      </w:r>
      <w:r w:rsidR="00C637E9">
        <w:t>,</w:t>
      </w:r>
      <w:r>
        <w:t xml:space="preserve"> which were illustrated by clearly and precisely naming historians and accurately explaining their interpretation, often support</w:t>
      </w:r>
      <w:r w:rsidR="00C637E9">
        <w:t>ed by</w:t>
      </w:r>
      <w:r>
        <w:t xml:space="preserve"> short direct quotes. </w:t>
      </w:r>
    </w:p>
    <w:p w14:paraId="3DC88972" w14:textId="3DA6CAA3" w:rsidR="00AE4F2C" w:rsidRDefault="00AE4F2C" w:rsidP="00FB3A71">
      <w:pPr>
        <w:pStyle w:val="BodyText"/>
      </w:pPr>
      <w:r>
        <w:t xml:space="preserve">Common limitations </w:t>
      </w:r>
      <w:r w:rsidR="00C637E9">
        <w:t xml:space="preserve">that </w:t>
      </w:r>
      <w:r>
        <w:t xml:space="preserve">prevented responses from </w:t>
      </w:r>
      <w:r w:rsidR="00C637E9">
        <w:t xml:space="preserve">achieving </w:t>
      </w:r>
      <w:r>
        <w:t xml:space="preserve">the higher marks included: </w:t>
      </w:r>
    </w:p>
    <w:p w14:paraId="514DB91F" w14:textId="3E0204CC" w:rsidR="00AE4F2C" w:rsidRDefault="00AE4F2C" w:rsidP="00E710C9">
      <w:pPr>
        <w:pStyle w:val="Bullet"/>
      </w:pPr>
      <w:r>
        <w:t xml:space="preserve">listing examples of </w:t>
      </w:r>
      <w:r w:rsidR="00C637E9">
        <w:t xml:space="preserve">the </w:t>
      </w:r>
      <w:r>
        <w:t>use of violence, particularly torture methods used by the Cheka, without explaining how they were used to overcome challenges</w:t>
      </w:r>
    </w:p>
    <w:p w14:paraId="2DC3CAE1" w14:textId="3B9DA893" w:rsidR="00AE4F2C" w:rsidRDefault="00AE4F2C" w:rsidP="00E710C9">
      <w:pPr>
        <w:pStyle w:val="Bullet"/>
      </w:pPr>
      <w:r>
        <w:t>focusing exclusively on violence as a means of overcoming challenges, without considering other possible methods</w:t>
      </w:r>
    </w:p>
    <w:p w14:paraId="4B4AF3CD" w14:textId="5096B7FE" w:rsidR="00AE4F2C" w:rsidRDefault="00AE4F2C" w:rsidP="00E710C9">
      <w:pPr>
        <w:pStyle w:val="Bullet"/>
      </w:pPr>
      <w:r>
        <w:t xml:space="preserve">incorrectly claiming that the dismissal of the Constituent Assembly was achieved without violence, as pro-Bolshevik soldiers shot </w:t>
      </w:r>
      <w:r w:rsidR="0034559F">
        <w:t>at supporters of the Socialist Revolutionaries (</w:t>
      </w:r>
      <w:r>
        <w:t>SR</w:t>
      </w:r>
      <w:r w:rsidR="0034559F">
        <w:t>s)</w:t>
      </w:r>
      <w:r>
        <w:t xml:space="preserve"> and the assembly was dismissed at gunpoint</w:t>
      </w:r>
    </w:p>
    <w:p w14:paraId="1577E60D" w14:textId="2A58D8C2" w:rsidR="00AE4F2C" w:rsidRDefault="00AE4F2C" w:rsidP="00E710C9">
      <w:pPr>
        <w:pStyle w:val="Bullet"/>
      </w:pPr>
      <w:r>
        <w:t>generalised, limited or inaccurate use of evidence to support arguments</w:t>
      </w:r>
    </w:p>
    <w:p w14:paraId="33C14DC0" w14:textId="5FAA5DBC" w:rsidR="00AE4F2C" w:rsidRPr="006F0EE4" w:rsidRDefault="00AE4F2C" w:rsidP="00E710C9">
      <w:pPr>
        <w:pStyle w:val="Bullet"/>
      </w:pPr>
      <w:r>
        <w:t xml:space="preserve">incorporating quotes from historians </w:t>
      </w:r>
      <w:r w:rsidR="00C637E9">
        <w:t xml:space="preserve">that </w:t>
      </w:r>
      <w:r>
        <w:t>were fabricated, irrelevant to the topic or did not support the argument the student was trying to make.</w:t>
      </w:r>
    </w:p>
    <w:p w14:paraId="19D08E1A" w14:textId="77777777" w:rsidR="00AE4F2C" w:rsidRPr="00896AA7" w:rsidRDefault="00AE4F2C" w:rsidP="00FB3A71">
      <w:pPr>
        <w:pStyle w:val="BodyText"/>
      </w:pPr>
      <w:r w:rsidRPr="00896AA7">
        <w:t xml:space="preserve">The following is a paragraph from a high-scoring response </w:t>
      </w:r>
      <w:r>
        <w:t xml:space="preserve">to </w:t>
      </w:r>
      <w:r w:rsidRPr="00896AA7">
        <w:t>Question 3:</w:t>
      </w:r>
    </w:p>
    <w:p w14:paraId="70E83CA1" w14:textId="31961734" w:rsidR="00AE4F2C" w:rsidRDefault="00AE4F2C" w:rsidP="00FB3A71">
      <w:pPr>
        <w:pStyle w:val="Studentresponse"/>
      </w:pPr>
      <w:r>
        <w:t xml:space="preserve">The Bolsheviks would maintain their new regime with the use of ruthless violence to crush challenges to their authority. A political challenge to Bolshevik authority would present itself in the form of the Constituent Assembly. The Bolsheviks would respond to the threat, having lost the popular vote 52% to 24% to the SRs, on the 5th–6th by utilising Kronstadt sailors to force out the deputies at gunpoint, closing the assembly forever. Thus, despite not enacting ruthless violence, the Bolsheviks would respond to the first political challenge to their authority with the threat of political violence, introducing their regime’s stance as oppressive and violent, as according to Pipes </w:t>
      </w:r>
      <w:r w:rsidR="002D510D">
        <w:t>‘</w:t>
      </w:r>
      <w:r>
        <w:t>the machine gun became the principal instrument of political persuasion</w:t>
      </w:r>
      <w:r w:rsidR="00C637E9">
        <w:t>’</w:t>
      </w:r>
      <w:r>
        <w:t xml:space="preserve">. However, the Bolsheviks would respond to the next major challenge to their authority with unprecedented levels of violence. The Decree on Red Terror would be passed September 5th, 1918, a direct response to an SR challenge in the form of a failed assassination attempt on Lenin (Aug 30th by SR Kaplan) and to combat a divided society </w:t>
      </w:r>
      <w:proofErr w:type="gramStart"/>
      <w:r>
        <w:t>in the midst of</w:t>
      </w:r>
      <w:proofErr w:type="gramEnd"/>
      <w:r>
        <w:t xml:space="preserve"> the civil war… This decree would lead to the creation of over 318 concentration camps that would hold 70</w:t>
      </w:r>
      <w:r w:rsidR="00C637E9">
        <w:t xml:space="preserve"> </w:t>
      </w:r>
      <w:r>
        <w:t>000 class enemies by 1920 coupled with the murder of 50</w:t>
      </w:r>
      <w:r w:rsidR="00C637E9">
        <w:t xml:space="preserve"> </w:t>
      </w:r>
      <w:r>
        <w:t xml:space="preserve">000 Russian civilians by the CHEKA in 1918. In direct response to a direct violent threat to their authority, the Bolsheviks would aim to </w:t>
      </w:r>
      <w:r w:rsidR="002D510D">
        <w:t>‘</w:t>
      </w:r>
      <w:r>
        <w:t>instill a sense of hopelessness in their enemies</w:t>
      </w:r>
      <w:r w:rsidR="002D510D">
        <w:t>’</w:t>
      </w:r>
      <w:r>
        <w:t xml:space="preserve"> (Trotsky). Terror would be deemed as an </w:t>
      </w:r>
      <w:r w:rsidR="002D510D">
        <w:t>‘</w:t>
      </w:r>
      <w:r>
        <w:t>intrinsic part of revolution</w:t>
      </w:r>
      <w:r w:rsidR="002D510D">
        <w:t>’</w:t>
      </w:r>
      <w:r>
        <w:t xml:space="preserve"> by Lenin, as the Bolsheviks would utilise ruthless violence as the way to </w:t>
      </w:r>
      <w:r w:rsidR="002D510D">
        <w:t>‘</w:t>
      </w:r>
      <w:r>
        <w:t>subjugate a society they could not control by any other means</w:t>
      </w:r>
      <w:r w:rsidR="002D510D">
        <w:t>’</w:t>
      </w:r>
      <w:r>
        <w:t xml:space="preserve"> according to Figes.</w:t>
      </w:r>
    </w:p>
    <w:p w14:paraId="0772BB31" w14:textId="77777777" w:rsidR="00AE4F2C" w:rsidRPr="00896AA7" w:rsidRDefault="00AE4F2C" w:rsidP="00AE4F2C">
      <w:pPr>
        <w:pStyle w:val="Heading3"/>
      </w:pPr>
      <w:r w:rsidRPr="4D02ACA0">
        <w:t>Question 4 – The Chinese Revolution</w:t>
      </w:r>
    </w:p>
    <w:p w14:paraId="5783EFC9" w14:textId="77777777" w:rsidR="00AE4F2C" w:rsidRPr="007755C3" w:rsidRDefault="00AE4F2C" w:rsidP="00FB3A71">
      <w:pPr>
        <w:pStyle w:val="BodyText"/>
      </w:pPr>
      <w:r w:rsidRPr="4D02ACA0">
        <w:t>This question required students to discuss their level of agreement with the interpretation that</w:t>
      </w:r>
      <w:r w:rsidRPr="4D02ACA0">
        <w:rPr>
          <w:i/>
          <w:iCs/>
        </w:rPr>
        <w:t xml:space="preserve"> </w:t>
      </w:r>
      <w:r w:rsidRPr="007755C3">
        <w:t>‘From 1949 until his death in 1976, the policies and actions of Mao Zedong (Mao Tse-tung) were simply a means of keeping himself in power.’</w:t>
      </w:r>
    </w:p>
    <w:p w14:paraId="7B92D991" w14:textId="411D7D64" w:rsidR="00AE4F2C" w:rsidRDefault="00AE4F2C" w:rsidP="00FB3A71">
      <w:pPr>
        <w:pStyle w:val="BodyText"/>
      </w:pPr>
      <w:r w:rsidRPr="4D02ACA0">
        <w:t>Most students were able to identify a range of policies and actions implemented by Mao Zedong covering the scope of A</w:t>
      </w:r>
      <w:r w:rsidR="00602804">
        <w:t>OS</w:t>
      </w:r>
      <w:r w:rsidRPr="4D02ACA0">
        <w:t>2. Most students argued that early reforms tended to benefit ordinary Chinese</w:t>
      </w:r>
      <w:r w:rsidR="00602804">
        <w:t xml:space="preserve"> people</w:t>
      </w:r>
      <w:r w:rsidRPr="4D02ACA0">
        <w:t xml:space="preserve">, whereas later actions like the Cultural Revolution served primarily to keep Mao in power. </w:t>
      </w:r>
    </w:p>
    <w:p w14:paraId="4BB190ED" w14:textId="77777777" w:rsidR="00AE4F2C" w:rsidRDefault="00AE4F2C" w:rsidP="00FB3A71">
      <w:pPr>
        <w:pStyle w:val="BodyText"/>
      </w:pPr>
      <w:r>
        <w:t>High-scoring responses to this question tended to:</w:t>
      </w:r>
    </w:p>
    <w:p w14:paraId="7611BAAC" w14:textId="3C4A92B7" w:rsidR="00AE4F2C" w:rsidRDefault="00AE4F2C" w:rsidP="00E710C9">
      <w:pPr>
        <w:pStyle w:val="Bullet"/>
      </w:pPr>
      <w:r w:rsidRPr="4D02ACA0">
        <w:t xml:space="preserve">describe </w:t>
      </w:r>
      <w:proofErr w:type="gramStart"/>
      <w:r w:rsidRPr="4D02ACA0">
        <w:t xml:space="preserve">a </w:t>
      </w:r>
      <w:r w:rsidR="00C637E9">
        <w:t>number</w:t>
      </w:r>
      <w:r w:rsidR="00C637E9" w:rsidRPr="4D02ACA0">
        <w:t xml:space="preserve"> </w:t>
      </w:r>
      <w:r w:rsidRPr="4D02ACA0">
        <w:t>of</w:t>
      </w:r>
      <w:proofErr w:type="gramEnd"/>
      <w:r w:rsidRPr="4D02ACA0">
        <w:t xml:space="preserve"> policies and actions implemented by Mao Zedong covering the period that he ruled over the People's Republic of China, </w:t>
      </w:r>
      <w:r w:rsidR="00C637E9">
        <w:t>including</w:t>
      </w:r>
      <w:r w:rsidRPr="4D02ACA0">
        <w:t xml:space="preserve"> early reforms to stabilise China after the </w:t>
      </w:r>
      <w:r w:rsidR="00602804">
        <w:t>c</w:t>
      </w:r>
      <w:r w:rsidRPr="4D02ACA0">
        <w:t xml:space="preserve">ivil </w:t>
      </w:r>
      <w:r w:rsidR="00602804">
        <w:t>w</w:t>
      </w:r>
      <w:r w:rsidRPr="4D02ACA0">
        <w:t xml:space="preserve">ar, the radical experiments of the Hundred Flowers </w:t>
      </w:r>
      <w:r w:rsidR="00CF2FBD">
        <w:t xml:space="preserve">Campaign </w:t>
      </w:r>
      <w:r w:rsidRPr="4D02ACA0">
        <w:t xml:space="preserve">and </w:t>
      </w:r>
      <w:r w:rsidR="00602804">
        <w:t xml:space="preserve">the </w:t>
      </w:r>
      <w:r w:rsidRPr="4D02ACA0">
        <w:t>Great Leap Forward, and Mao’s reclamation of power during the Cultural Revolution</w:t>
      </w:r>
    </w:p>
    <w:p w14:paraId="21334BE0" w14:textId="723B5EDC" w:rsidR="00AE4F2C" w:rsidRDefault="00AE4F2C" w:rsidP="00E710C9">
      <w:pPr>
        <w:pStyle w:val="Bullet"/>
      </w:pPr>
      <w:r>
        <w:t xml:space="preserve">analyse </w:t>
      </w:r>
      <w:r w:rsidR="00C637E9">
        <w:t>the</w:t>
      </w:r>
      <w:r>
        <w:t xml:space="preserve"> extent </w:t>
      </w:r>
      <w:r w:rsidR="00C637E9">
        <w:t xml:space="preserve">to which </w:t>
      </w:r>
      <w:r>
        <w:t xml:space="preserve">these policies and actions were intended to benefit the Chinese people, the Communist Party and/or Mao Zedong </w:t>
      </w:r>
      <w:r w:rsidR="00602804">
        <w:t>himself</w:t>
      </w:r>
    </w:p>
    <w:p w14:paraId="47F29FB9" w14:textId="6AB319ED" w:rsidR="00AE4F2C" w:rsidRDefault="00AE4F2C" w:rsidP="00E710C9">
      <w:pPr>
        <w:pStyle w:val="Bullet"/>
      </w:pPr>
      <w:r>
        <w:lastRenderedPageBreak/>
        <w:t>support arguments with a wide range of primary</w:t>
      </w:r>
      <w:r w:rsidR="00602804">
        <w:t>-</w:t>
      </w:r>
      <w:r>
        <w:t>source evidence such as quotes from Mao Zedong illustrating his motives, statistics illustrating beneficial and harmful changes brought by Mao’s policies, and evidence of specific challenges to Mao’s authority</w:t>
      </w:r>
    </w:p>
    <w:p w14:paraId="41E663C2" w14:textId="08B12F5B" w:rsidR="00AE4F2C" w:rsidRDefault="00AE4F2C" w:rsidP="00E710C9">
      <w:pPr>
        <w:pStyle w:val="Bullet"/>
      </w:pPr>
      <w:r>
        <w:t>support arguments with a range of highly relevant historical interpretations</w:t>
      </w:r>
      <w:r w:rsidR="00B971F7">
        <w:t>,</w:t>
      </w:r>
      <w:r>
        <w:t xml:space="preserve"> which were illustrated by clearly and precisely naming historians and accurately explaining their interpretation, often support</w:t>
      </w:r>
      <w:r w:rsidR="00B971F7">
        <w:t>ed by</w:t>
      </w:r>
      <w:r>
        <w:t xml:space="preserve"> short direct quotes. </w:t>
      </w:r>
    </w:p>
    <w:p w14:paraId="3E8DE45D" w14:textId="120DAA03" w:rsidR="00AE4F2C" w:rsidRDefault="00AE4F2C" w:rsidP="00FB3A71">
      <w:pPr>
        <w:pStyle w:val="BodyText"/>
      </w:pPr>
      <w:r>
        <w:t xml:space="preserve">Common limitations </w:t>
      </w:r>
      <w:r w:rsidR="00B971F7">
        <w:t xml:space="preserve">that </w:t>
      </w:r>
      <w:r>
        <w:t xml:space="preserve">prevented responses from </w:t>
      </w:r>
      <w:r w:rsidR="00B971F7">
        <w:t xml:space="preserve">achieving </w:t>
      </w:r>
      <w:r>
        <w:t xml:space="preserve">the higher marks included: </w:t>
      </w:r>
    </w:p>
    <w:p w14:paraId="647EAA49" w14:textId="73F68A9C" w:rsidR="00AE4F2C" w:rsidRDefault="00B971F7" w:rsidP="00E710C9">
      <w:pPr>
        <w:pStyle w:val="Bullet"/>
      </w:pPr>
      <w:r>
        <w:t xml:space="preserve">providing </w:t>
      </w:r>
      <w:r w:rsidR="00AE4F2C">
        <w:t>off</w:t>
      </w:r>
      <w:r>
        <w:t>-</w:t>
      </w:r>
      <w:r w:rsidR="00AE4F2C">
        <w:t>topic discussion of Mao Zedong’s actions and policies from A</w:t>
      </w:r>
      <w:r w:rsidR="00602804">
        <w:t>OS</w:t>
      </w:r>
      <w:r w:rsidR="00AE4F2C">
        <w:t>1, such as the Long March</w:t>
      </w:r>
    </w:p>
    <w:p w14:paraId="6A579EF0" w14:textId="652AB0E9" w:rsidR="00AE4F2C" w:rsidRDefault="00AE4F2C" w:rsidP="00E710C9">
      <w:pPr>
        <w:pStyle w:val="Bullet"/>
      </w:pPr>
      <w:r>
        <w:t xml:space="preserve">listing or narrating Communist </w:t>
      </w:r>
      <w:r w:rsidR="00B971F7">
        <w:t>P</w:t>
      </w:r>
      <w:r>
        <w:t>arty policies or Mao Zedong’s actions without analysing whether these benefited ordinary Chinese</w:t>
      </w:r>
      <w:r w:rsidR="00602804">
        <w:t xml:space="preserve"> people</w:t>
      </w:r>
      <w:r>
        <w:t>, the Communist Party or Mao Zedong</w:t>
      </w:r>
    </w:p>
    <w:p w14:paraId="3E795705" w14:textId="31D1BA1B" w:rsidR="00AE4F2C" w:rsidRDefault="00B971F7" w:rsidP="00E710C9">
      <w:pPr>
        <w:pStyle w:val="Bullet"/>
      </w:pPr>
      <w:r>
        <w:t xml:space="preserve">providing </w:t>
      </w:r>
      <w:r w:rsidR="00AE4F2C" w:rsidRPr="4D02ACA0">
        <w:t>overly simplistic arguments that all policies in the People’s Republic of China</w:t>
      </w:r>
      <w:r w:rsidR="00602804">
        <w:t xml:space="preserve"> during Mao’s rule</w:t>
      </w:r>
      <w:r w:rsidR="00AE4F2C" w:rsidRPr="4D02ACA0">
        <w:t xml:space="preserve"> were motivated solely by a desire to preserve </w:t>
      </w:r>
      <w:r w:rsidR="00602804">
        <w:t>his</w:t>
      </w:r>
      <w:r w:rsidR="00602804" w:rsidRPr="4D02ACA0">
        <w:t xml:space="preserve"> </w:t>
      </w:r>
      <w:r w:rsidR="00AE4F2C" w:rsidRPr="4D02ACA0">
        <w:t>power</w:t>
      </w:r>
    </w:p>
    <w:p w14:paraId="500C41FE" w14:textId="3D034073" w:rsidR="00AE4F2C" w:rsidRDefault="00AE4F2C" w:rsidP="00E710C9">
      <w:pPr>
        <w:pStyle w:val="Bullet"/>
      </w:pPr>
      <w:r>
        <w:t>generalised, limited or inaccurate use of evidence to support arguments</w:t>
      </w:r>
    </w:p>
    <w:p w14:paraId="014C8BB0" w14:textId="33BD1EFA" w:rsidR="00AE4F2C" w:rsidRPr="006F0EE4" w:rsidRDefault="00AE4F2C" w:rsidP="00E710C9">
      <w:pPr>
        <w:pStyle w:val="Bullet"/>
      </w:pPr>
      <w:r>
        <w:t xml:space="preserve">incorporating quotes from historians </w:t>
      </w:r>
      <w:r w:rsidR="00B971F7">
        <w:t xml:space="preserve">that </w:t>
      </w:r>
      <w:r>
        <w:t>were irrelevant, fabricated or did not support the argument the student was trying to make.</w:t>
      </w:r>
    </w:p>
    <w:p w14:paraId="70978D51" w14:textId="77777777" w:rsidR="00AE4F2C" w:rsidRPr="00896AA7" w:rsidRDefault="00AE4F2C" w:rsidP="00FB3A71">
      <w:pPr>
        <w:pStyle w:val="BodyText"/>
      </w:pPr>
      <w:r w:rsidRPr="4D02ACA0">
        <w:t>The following is a paragraph from a high-scoring response to Question 4:</w:t>
      </w:r>
    </w:p>
    <w:p w14:paraId="370FE264" w14:textId="5CCA1756" w:rsidR="00AE4F2C" w:rsidRDefault="00AE4F2C" w:rsidP="00803B80">
      <w:pPr>
        <w:pStyle w:val="Studentresponse"/>
      </w:pPr>
      <w:r>
        <w:t xml:space="preserve"> Arguably, personal ambition was most prominently demonstrated in Mao’s later years, between 1962</w:t>
      </w:r>
      <w:r w:rsidR="00B971F7">
        <w:t>–</w:t>
      </w:r>
      <w:r>
        <w:t xml:space="preserve">1976, yet the principles of realising a socialist, new culture cannot be overlooked in driving the policies of the Socialist Education Movement (SEM) and Cultural Revolution (GPCR). Indeed, the question of legacy prompted Mao to embrace the emerging cult of personality formed in the early days of the Long </w:t>
      </w:r>
      <w:proofErr w:type="gramStart"/>
      <w:r>
        <w:t>March, and</w:t>
      </w:r>
      <w:proofErr w:type="gramEnd"/>
      <w:r>
        <w:t xml:space="preserve"> solidified in Lin Biao’s May 1964 publication of Mao’s Little Red Book. Mao’s desire to ‘identify himself in symbols that lived beyond him</w:t>
      </w:r>
      <w:r w:rsidR="002D510D">
        <w:t>’</w:t>
      </w:r>
      <w:r>
        <w:t xml:space="preserve"> (Fenby) drove the GPCR. Yet </w:t>
      </w:r>
      <w:r w:rsidR="002D510D">
        <w:t>‘</w:t>
      </w:r>
      <w:r>
        <w:t>Mao’s goal of mass dictatorship and continuous revolution</w:t>
      </w:r>
      <w:r w:rsidR="002D510D">
        <w:t>’</w:t>
      </w:r>
      <w:r>
        <w:t xml:space="preserve"> (Jalvin) simultaneously precipitated in the friction between himself and Liu Shaoqi during the 1962</w:t>
      </w:r>
      <w:r w:rsidR="00B971F7">
        <w:t>–</w:t>
      </w:r>
      <w:r>
        <w:t xml:space="preserve">63 SEM, as Mao emphasised </w:t>
      </w:r>
      <w:r w:rsidR="002D510D">
        <w:t>‘</w:t>
      </w:r>
      <w:r>
        <w:t>bottom up</w:t>
      </w:r>
      <w:r w:rsidR="002D510D">
        <w:t>’</w:t>
      </w:r>
      <w:r>
        <w:t xml:space="preserve"> revolution to restore the economy and purge corrupt cadres post</w:t>
      </w:r>
      <w:r w:rsidR="00B971F7">
        <w:t>–</w:t>
      </w:r>
      <w:r>
        <w:t>Great Leap Forward, whilst Liu envisioned ‘top down’ purges. Subsequently, Mao’s August 5</w:t>
      </w:r>
      <w:proofErr w:type="gramStart"/>
      <w:r>
        <w:t xml:space="preserve"> 1966</w:t>
      </w:r>
      <w:proofErr w:type="gramEnd"/>
      <w:r>
        <w:t xml:space="preserve"> declaration to ‘Bombard the Headquarters’ weaponised students as Red Guards to realise his ambition of ‘permanent revolution’, purging political enemies. Resultantly, by November 1967, 70</w:t>
      </w:r>
      <w:r w:rsidR="00B971F7">
        <w:t>–</w:t>
      </w:r>
      <w:r>
        <w:t xml:space="preserve">80% of party cadres had been purged… While this used </w:t>
      </w:r>
      <w:r w:rsidR="002D510D">
        <w:t>‘</w:t>
      </w:r>
      <w:r>
        <w:t>idealistic youngsters [as] pawns in a power struggle</w:t>
      </w:r>
      <w:r w:rsidR="002D510D">
        <w:t>’</w:t>
      </w:r>
      <w:r>
        <w:t xml:space="preserve"> (Lynch), Mao also reasserted his belief in mass mobilisation that was at the crux of his ideology since Jiangxi Soviet days. As such, the events of the Cultural Revolution somewhat substantiate Mao’s decisiveness to retain political </w:t>
      </w:r>
      <w:proofErr w:type="gramStart"/>
      <w:r>
        <w:t>supremacy, yet</w:t>
      </w:r>
      <w:proofErr w:type="gramEnd"/>
      <w:r>
        <w:t xml:space="preserve"> also coincided with his doctrine of </w:t>
      </w:r>
      <w:r w:rsidR="002D510D">
        <w:t>‘</w:t>
      </w:r>
      <w:r>
        <w:t>the revolutionary mobilisation of the masses</w:t>
      </w:r>
      <w:r w:rsidR="002D510D">
        <w:t>’</w:t>
      </w:r>
      <w:r>
        <w:t xml:space="preserve"> (Zarrow) and class conflict.</w:t>
      </w:r>
    </w:p>
    <w:sectPr w:rsidR="00AE4F2C"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 w:id="1">
    <w:p w14:paraId="5B3A6D81" w14:textId="2F5E1565" w:rsidR="00564D23" w:rsidRPr="00E35557" w:rsidRDefault="00564D23">
      <w:pPr>
        <w:pStyle w:val="FootnoteText"/>
        <w:rPr>
          <w:rFonts w:cstheme="minorHAnsi"/>
          <w:sz w:val="16"/>
          <w:szCs w:val="16"/>
          <w:lang w:val="en-AU"/>
        </w:rPr>
      </w:pPr>
      <w:r w:rsidRPr="00564D23">
        <w:rPr>
          <w:rStyle w:val="FootnoteReference"/>
          <w:rFonts w:cstheme="minorHAnsi"/>
          <w:sz w:val="16"/>
          <w:szCs w:val="16"/>
        </w:rPr>
        <w:footnoteRef/>
      </w:r>
      <w:r w:rsidRPr="00564D23">
        <w:rPr>
          <w:rFonts w:cstheme="minorHAnsi"/>
          <w:sz w:val="16"/>
          <w:szCs w:val="16"/>
        </w:rPr>
        <w:t xml:space="preserve"> </w:t>
      </w:r>
      <w:r w:rsidRPr="00564D23">
        <w:rPr>
          <w:rFonts w:cstheme="minorHAnsi"/>
          <w:sz w:val="16"/>
          <w:szCs w:val="16"/>
          <w:lang w:val="en-GB"/>
        </w:rPr>
        <w:t xml:space="preserve">Simon Schama, </w:t>
      </w:r>
      <w:r w:rsidRPr="00564D23">
        <w:rPr>
          <w:rFonts w:cstheme="minorHAnsi"/>
          <w:i/>
          <w:iCs/>
          <w:sz w:val="16"/>
          <w:szCs w:val="16"/>
          <w:lang w:val="en-GB"/>
        </w:rPr>
        <w:t>Citizens: A Chronicle of the French Revolution</w:t>
      </w:r>
      <w:r w:rsidRPr="00564D23">
        <w:rPr>
          <w:rFonts w:cstheme="minorHAnsi"/>
          <w:sz w:val="16"/>
          <w:szCs w:val="16"/>
          <w:lang w:val="en-GB"/>
        </w:rPr>
        <w:t xml:space="preserve"> (London: Penguin, 1989) p. 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005B09D" w:rsidR="00FD29D3" w:rsidRPr="002B0664" w:rsidRDefault="00122A2E"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2D510D">
          <w:rPr>
            <w:color w:val="auto"/>
          </w:rPr>
          <w:t>2025 VCE History: Revolutions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55886"/>
    <w:multiLevelType w:val="hybridMultilevel"/>
    <w:tmpl w:val="8F52B1CE"/>
    <w:lvl w:ilvl="0" w:tplc="306052F2">
      <w:start w:val="16"/>
      <w:numFmt w:val="bullet"/>
      <w:lvlText w:val="-"/>
      <w:lvlJc w:val="left"/>
      <w:pPr>
        <w:ind w:left="720" w:hanging="360"/>
      </w:pPr>
      <w:rPr>
        <w:rFonts w:ascii="Arial" w:eastAsiaTheme="minorHAns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5A25DE"/>
    <w:multiLevelType w:val="hybridMultilevel"/>
    <w:tmpl w:val="04626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D94D17"/>
    <w:multiLevelType w:val="hybridMultilevel"/>
    <w:tmpl w:val="8174A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D3661E"/>
    <w:multiLevelType w:val="hybridMultilevel"/>
    <w:tmpl w:val="AF2CC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847E5B"/>
    <w:multiLevelType w:val="hybridMultilevel"/>
    <w:tmpl w:val="6744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8A4780D"/>
    <w:multiLevelType w:val="hybridMultilevel"/>
    <w:tmpl w:val="B44E8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1D19A3"/>
    <w:multiLevelType w:val="hybridMultilevel"/>
    <w:tmpl w:val="743A6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2CF187E"/>
    <w:multiLevelType w:val="hybridMultilevel"/>
    <w:tmpl w:val="8E10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7B86463C"/>
    <w:lvl w:ilvl="0" w:tplc="C60AED5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77182629"/>
    <w:multiLevelType w:val="hybridMultilevel"/>
    <w:tmpl w:val="B986C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931A1C"/>
    <w:multiLevelType w:val="hybridMultilevel"/>
    <w:tmpl w:val="ABBCF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65D69"/>
    <w:multiLevelType w:val="hybridMultilevel"/>
    <w:tmpl w:val="B400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A66844"/>
    <w:multiLevelType w:val="hybridMultilevel"/>
    <w:tmpl w:val="94CA8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F71826"/>
    <w:multiLevelType w:val="hybridMultilevel"/>
    <w:tmpl w:val="538C8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23"/>
  </w:num>
  <w:num w:numId="2" w16cid:durableId="1678000311">
    <w:abstractNumId w:val="21"/>
  </w:num>
  <w:num w:numId="3" w16cid:durableId="1018848057">
    <w:abstractNumId w:val="16"/>
  </w:num>
  <w:num w:numId="4" w16cid:durableId="1304190575">
    <w:abstractNumId w:val="11"/>
  </w:num>
  <w:num w:numId="5" w16cid:durableId="2057312338">
    <w:abstractNumId w:val="22"/>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9"/>
  </w:num>
  <w:num w:numId="17" w16cid:durableId="2086993999">
    <w:abstractNumId w:val="24"/>
  </w:num>
  <w:num w:numId="18" w16cid:durableId="700982435">
    <w:abstractNumId w:val="15"/>
  </w:num>
  <w:num w:numId="19" w16cid:durableId="1186560821">
    <w:abstractNumId w:val="28"/>
  </w:num>
  <w:num w:numId="20" w16cid:durableId="1412580918">
    <w:abstractNumId w:val="18"/>
  </w:num>
  <w:num w:numId="21" w16cid:durableId="755978755">
    <w:abstractNumId w:val="25"/>
  </w:num>
  <w:num w:numId="22" w16cid:durableId="783186438">
    <w:abstractNumId w:val="27"/>
  </w:num>
  <w:num w:numId="23" w16cid:durableId="1797332560">
    <w:abstractNumId w:val="13"/>
  </w:num>
  <w:num w:numId="24" w16cid:durableId="1909723671">
    <w:abstractNumId w:val="12"/>
  </w:num>
  <w:num w:numId="25" w16cid:durableId="2039548191">
    <w:abstractNumId w:val="14"/>
  </w:num>
  <w:num w:numId="26" w16cid:durableId="983706511">
    <w:abstractNumId w:val="20"/>
  </w:num>
  <w:num w:numId="27" w16cid:durableId="1807775101">
    <w:abstractNumId w:val="26"/>
  </w:num>
  <w:num w:numId="28" w16cid:durableId="1895578052">
    <w:abstractNumId w:val="17"/>
  </w:num>
  <w:num w:numId="29" w16cid:durableId="2078935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6D7D"/>
    <w:rsid w:val="00007ABA"/>
    <w:rsid w:val="0001231D"/>
    <w:rsid w:val="0005780E"/>
    <w:rsid w:val="00062151"/>
    <w:rsid w:val="00064551"/>
    <w:rsid w:val="00065CC6"/>
    <w:rsid w:val="00071247"/>
    <w:rsid w:val="00094C79"/>
    <w:rsid w:val="000957D0"/>
    <w:rsid w:val="000A71F7"/>
    <w:rsid w:val="000B64A4"/>
    <w:rsid w:val="000D1438"/>
    <w:rsid w:val="000D1B4A"/>
    <w:rsid w:val="000E1E11"/>
    <w:rsid w:val="000E326C"/>
    <w:rsid w:val="000E4035"/>
    <w:rsid w:val="000F09E4"/>
    <w:rsid w:val="000F16FD"/>
    <w:rsid w:val="000F4DD4"/>
    <w:rsid w:val="000F5AAF"/>
    <w:rsid w:val="00106F53"/>
    <w:rsid w:val="001210DF"/>
    <w:rsid w:val="00122A2E"/>
    <w:rsid w:val="0012383A"/>
    <w:rsid w:val="001422AE"/>
    <w:rsid w:val="00142593"/>
    <w:rsid w:val="00143520"/>
    <w:rsid w:val="00145EDD"/>
    <w:rsid w:val="00153AD2"/>
    <w:rsid w:val="00165B21"/>
    <w:rsid w:val="0017474A"/>
    <w:rsid w:val="001779EA"/>
    <w:rsid w:val="0018392B"/>
    <w:rsid w:val="00190B18"/>
    <w:rsid w:val="00193FA2"/>
    <w:rsid w:val="00195BAF"/>
    <w:rsid w:val="001A23EA"/>
    <w:rsid w:val="001A6FAF"/>
    <w:rsid w:val="001C3731"/>
    <w:rsid w:val="001D0650"/>
    <w:rsid w:val="001D3246"/>
    <w:rsid w:val="001F2666"/>
    <w:rsid w:val="00206660"/>
    <w:rsid w:val="00211892"/>
    <w:rsid w:val="00220573"/>
    <w:rsid w:val="002213D1"/>
    <w:rsid w:val="002279BA"/>
    <w:rsid w:val="00230E98"/>
    <w:rsid w:val="002329F3"/>
    <w:rsid w:val="00234E40"/>
    <w:rsid w:val="00243F0D"/>
    <w:rsid w:val="00247133"/>
    <w:rsid w:val="00247D91"/>
    <w:rsid w:val="00260767"/>
    <w:rsid w:val="002647BB"/>
    <w:rsid w:val="00265A87"/>
    <w:rsid w:val="00272D37"/>
    <w:rsid w:val="002751F8"/>
    <w:rsid w:val="002754C1"/>
    <w:rsid w:val="002841C8"/>
    <w:rsid w:val="0028516B"/>
    <w:rsid w:val="00293222"/>
    <w:rsid w:val="00296DF8"/>
    <w:rsid w:val="002A18C5"/>
    <w:rsid w:val="002A7644"/>
    <w:rsid w:val="002B0664"/>
    <w:rsid w:val="002B48A9"/>
    <w:rsid w:val="002C6F90"/>
    <w:rsid w:val="002D225C"/>
    <w:rsid w:val="002D510D"/>
    <w:rsid w:val="002E3C22"/>
    <w:rsid w:val="002E4FB5"/>
    <w:rsid w:val="002F20D1"/>
    <w:rsid w:val="002F6DB9"/>
    <w:rsid w:val="00302FB8"/>
    <w:rsid w:val="00303225"/>
    <w:rsid w:val="00304EA1"/>
    <w:rsid w:val="00314D81"/>
    <w:rsid w:val="0031517C"/>
    <w:rsid w:val="00322FC6"/>
    <w:rsid w:val="00325C14"/>
    <w:rsid w:val="00342115"/>
    <w:rsid w:val="0034559F"/>
    <w:rsid w:val="0035293F"/>
    <w:rsid w:val="00371AE6"/>
    <w:rsid w:val="00373AA6"/>
    <w:rsid w:val="00381C75"/>
    <w:rsid w:val="00383C9C"/>
    <w:rsid w:val="0038433A"/>
    <w:rsid w:val="00391986"/>
    <w:rsid w:val="00397CD7"/>
    <w:rsid w:val="003A00B4"/>
    <w:rsid w:val="003A06B2"/>
    <w:rsid w:val="003C5E71"/>
    <w:rsid w:val="003D5F75"/>
    <w:rsid w:val="003D6A8A"/>
    <w:rsid w:val="003E0970"/>
    <w:rsid w:val="003E10C4"/>
    <w:rsid w:val="00407BCC"/>
    <w:rsid w:val="00417AA3"/>
    <w:rsid w:val="00425DFE"/>
    <w:rsid w:val="00426544"/>
    <w:rsid w:val="00427D9D"/>
    <w:rsid w:val="00431FDE"/>
    <w:rsid w:val="00434EDB"/>
    <w:rsid w:val="0043575F"/>
    <w:rsid w:val="00435C79"/>
    <w:rsid w:val="00440B32"/>
    <w:rsid w:val="0046078D"/>
    <w:rsid w:val="004617E9"/>
    <w:rsid w:val="00470204"/>
    <w:rsid w:val="00474D7B"/>
    <w:rsid w:val="0048143D"/>
    <w:rsid w:val="004869C0"/>
    <w:rsid w:val="004902A9"/>
    <w:rsid w:val="00490D0D"/>
    <w:rsid w:val="00495C80"/>
    <w:rsid w:val="00496313"/>
    <w:rsid w:val="004A2ED8"/>
    <w:rsid w:val="004F5BDA"/>
    <w:rsid w:val="004F785C"/>
    <w:rsid w:val="0051631E"/>
    <w:rsid w:val="005166C3"/>
    <w:rsid w:val="005230F0"/>
    <w:rsid w:val="00531DDC"/>
    <w:rsid w:val="00537A1F"/>
    <w:rsid w:val="00537EAD"/>
    <w:rsid w:val="00564D23"/>
    <w:rsid w:val="00566029"/>
    <w:rsid w:val="0056798A"/>
    <w:rsid w:val="00580103"/>
    <w:rsid w:val="005810A0"/>
    <w:rsid w:val="005923CB"/>
    <w:rsid w:val="005965D7"/>
    <w:rsid w:val="005B391B"/>
    <w:rsid w:val="005D20DD"/>
    <w:rsid w:val="005D3D78"/>
    <w:rsid w:val="005E2EF0"/>
    <w:rsid w:val="005E3EB6"/>
    <w:rsid w:val="005E7530"/>
    <w:rsid w:val="005F4092"/>
    <w:rsid w:val="005F63F3"/>
    <w:rsid w:val="00602804"/>
    <w:rsid w:val="00604C6E"/>
    <w:rsid w:val="00610F6C"/>
    <w:rsid w:val="0062509C"/>
    <w:rsid w:val="00631FEF"/>
    <w:rsid w:val="00657B52"/>
    <w:rsid w:val="00672DCE"/>
    <w:rsid w:val="00675A44"/>
    <w:rsid w:val="0068471E"/>
    <w:rsid w:val="00684F98"/>
    <w:rsid w:val="00693FFD"/>
    <w:rsid w:val="006944BA"/>
    <w:rsid w:val="006A5F02"/>
    <w:rsid w:val="006C3C1E"/>
    <w:rsid w:val="006D0B9D"/>
    <w:rsid w:val="006D2159"/>
    <w:rsid w:val="006D76C1"/>
    <w:rsid w:val="006E4DFB"/>
    <w:rsid w:val="006E613F"/>
    <w:rsid w:val="006F787C"/>
    <w:rsid w:val="00702636"/>
    <w:rsid w:val="00703720"/>
    <w:rsid w:val="00705087"/>
    <w:rsid w:val="007100D6"/>
    <w:rsid w:val="00724507"/>
    <w:rsid w:val="0075122A"/>
    <w:rsid w:val="00756EE8"/>
    <w:rsid w:val="0075729A"/>
    <w:rsid w:val="00771182"/>
    <w:rsid w:val="00773E6C"/>
    <w:rsid w:val="007755C3"/>
    <w:rsid w:val="00775DD5"/>
    <w:rsid w:val="00781FB1"/>
    <w:rsid w:val="0078564C"/>
    <w:rsid w:val="00785E05"/>
    <w:rsid w:val="007B1129"/>
    <w:rsid w:val="007D1B6D"/>
    <w:rsid w:val="00803B80"/>
    <w:rsid w:val="0080490B"/>
    <w:rsid w:val="00813C37"/>
    <w:rsid w:val="008154B5"/>
    <w:rsid w:val="00815C58"/>
    <w:rsid w:val="00823962"/>
    <w:rsid w:val="00825A98"/>
    <w:rsid w:val="00846341"/>
    <w:rsid w:val="00850410"/>
    <w:rsid w:val="00852719"/>
    <w:rsid w:val="00860115"/>
    <w:rsid w:val="00870A89"/>
    <w:rsid w:val="0087424C"/>
    <w:rsid w:val="0088783C"/>
    <w:rsid w:val="00890BFE"/>
    <w:rsid w:val="008A05AA"/>
    <w:rsid w:val="008A39A2"/>
    <w:rsid w:val="008C283F"/>
    <w:rsid w:val="008D71D4"/>
    <w:rsid w:val="008E7AB1"/>
    <w:rsid w:val="00906B1B"/>
    <w:rsid w:val="00906E4D"/>
    <w:rsid w:val="009077FE"/>
    <w:rsid w:val="00912E58"/>
    <w:rsid w:val="009132B1"/>
    <w:rsid w:val="00921D45"/>
    <w:rsid w:val="00926B45"/>
    <w:rsid w:val="009325D2"/>
    <w:rsid w:val="009332D9"/>
    <w:rsid w:val="009370BC"/>
    <w:rsid w:val="00945DC2"/>
    <w:rsid w:val="00952DEC"/>
    <w:rsid w:val="009548A5"/>
    <w:rsid w:val="00970580"/>
    <w:rsid w:val="0098739B"/>
    <w:rsid w:val="009A282C"/>
    <w:rsid w:val="009B61E5"/>
    <w:rsid w:val="009B64D4"/>
    <w:rsid w:val="009C4711"/>
    <w:rsid w:val="009D084F"/>
    <w:rsid w:val="009D1E89"/>
    <w:rsid w:val="009D28DE"/>
    <w:rsid w:val="009E30C5"/>
    <w:rsid w:val="009E391D"/>
    <w:rsid w:val="009E5707"/>
    <w:rsid w:val="009E6E57"/>
    <w:rsid w:val="009F211B"/>
    <w:rsid w:val="009F335D"/>
    <w:rsid w:val="00A113B5"/>
    <w:rsid w:val="00A17661"/>
    <w:rsid w:val="00A24B2D"/>
    <w:rsid w:val="00A40966"/>
    <w:rsid w:val="00A52488"/>
    <w:rsid w:val="00A62E83"/>
    <w:rsid w:val="00A82810"/>
    <w:rsid w:val="00A87520"/>
    <w:rsid w:val="00A91345"/>
    <w:rsid w:val="00A921E0"/>
    <w:rsid w:val="00A922F4"/>
    <w:rsid w:val="00AA056D"/>
    <w:rsid w:val="00AA7092"/>
    <w:rsid w:val="00AB02F5"/>
    <w:rsid w:val="00AE3F13"/>
    <w:rsid w:val="00AE4207"/>
    <w:rsid w:val="00AE46CA"/>
    <w:rsid w:val="00AE4F2C"/>
    <w:rsid w:val="00AE5526"/>
    <w:rsid w:val="00AF051B"/>
    <w:rsid w:val="00B01578"/>
    <w:rsid w:val="00B0738F"/>
    <w:rsid w:val="00B13D3B"/>
    <w:rsid w:val="00B15D71"/>
    <w:rsid w:val="00B230DB"/>
    <w:rsid w:val="00B26601"/>
    <w:rsid w:val="00B41951"/>
    <w:rsid w:val="00B41C2F"/>
    <w:rsid w:val="00B47C2A"/>
    <w:rsid w:val="00B52589"/>
    <w:rsid w:val="00B53229"/>
    <w:rsid w:val="00B62480"/>
    <w:rsid w:val="00B6260E"/>
    <w:rsid w:val="00B701A2"/>
    <w:rsid w:val="00B81B70"/>
    <w:rsid w:val="00B93CB7"/>
    <w:rsid w:val="00B941AC"/>
    <w:rsid w:val="00B971F7"/>
    <w:rsid w:val="00BB3BAB"/>
    <w:rsid w:val="00BC404D"/>
    <w:rsid w:val="00BD0724"/>
    <w:rsid w:val="00BD0C63"/>
    <w:rsid w:val="00BD2B91"/>
    <w:rsid w:val="00BE5521"/>
    <w:rsid w:val="00BE7C16"/>
    <w:rsid w:val="00BF2E14"/>
    <w:rsid w:val="00BF6C23"/>
    <w:rsid w:val="00BF6CA8"/>
    <w:rsid w:val="00C164BF"/>
    <w:rsid w:val="00C25E71"/>
    <w:rsid w:val="00C33E8D"/>
    <w:rsid w:val="00C43767"/>
    <w:rsid w:val="00C4756D"/>
    <w:rsid w:val="00C53263"/>
    <w:rsid w:val="00C57F8F"/>
    <w:rsid w:val="00C623B2"/>
    <w:rsid w:val="00C637E9"/>
    <w:rsid w:val="00C64AD0"/>
    <w:rsid w:val="00C71B10"/>
    <w:rsid w:val="00C73703"/>
    <w:rsid w:val="00C7440F"/>
    <w:rsid w:val="00C75F1D"/>
    <w:rsid w:val="00C83D97"/>
    <w:rsid w:val="00C9145E"/>
    <w:rsid w:val="00C95156"/>
    <w:rsid w:val="00C96C03"/>
    <w:rsid w:val="00CA0DC2"/>
    <w:rsid w:val="00CB68E8"/>
    <w:rsid w:val="00CC69D7"/>
    <w:rsid w:val="00CF2FBD"/>
    <w:rsid w:val="00D04F01"/>
    <w:rsid w:val="00D06414"/>
    <w:rsid w:val="00D146B6"/>
    <w:rsid w:val="00D24E5A"/>
    <w:rsid w:val="00D275DF"/>
    <w:rsid w:val="00D338E4"/>
    <w:rsid w:val="00D430A7"/>
    <w:rsid w:val="00D51947"/>
    <w:rsid w:val="00D532F0"/>
    <w:rsid w:val="00D56E0F"/>
    <w:rsid w:val="00D6131C"/>
    <w:rsid w:val="00D65F60"/>
    <w:rsid w:val="00D76E10"/>
    <w:rsid w:val="00D77413"/>
    <w:rsid w:val="00D80122"/>
    <w:rsid w:val="00D81463"/>
    <w:rsid w:val="00D82759"/>
    <w:rsid w:val="00D850A4"/>
    <w:rsid w:val="00D86DE4"/>
    <w:rsid w:val="00D87901"/>
    <w:rsid w:val="00DA5DCE"/>
    <w:rsid w:val="00DA778A"/>
    <w:rsid w:val="00DB4C42"/>
    <w:rsid w:val="00DB7CBB"/>
    <w:rsid w:val="00DC7AF6"/>
    <w:rsid w:val="00DD2F17"/>
    <w:rsid w:val="00DD402C"/>
    <w:rsid w:val="00DE1909"/>
    <w:rsid w:val="00DE51DB"/>
    <w:rsid w:val="00DE74B2"/>
    <w:rsid w:val="00DF340D"/>
    <w:rsid w:val="00DF7107"/>
    <w:rsid w:val="00E208DF"/>
    <w:rsid w:val="00E2231A"/>
    <w:rsid w:val="00E23F1D"/>
    <w:rsid w:val="00E244FB"/>
    <w:rsid w:val="00E30E05"/>
    <w:rsid w:val="00E35557"/>
    <w:rsid w:val="00E36361"/>
    <w:rsid w:val="00E55AE9"/>
    <w:rsid w:val="00E710C9"/>
    <w:rsid w:val="00E71100"/>
    <w:rsid w:val="00E7167D"/>
    <w:rsid w:val="00E7229D"/>
    <w:rsid w:val="00E95C5E"/>
    <w:rsid w:val="00EB0C84"/>
    <w:rsid w:val="00EB5A77"/>
    <w:rsid w:val="00EB69CD"/>
    <w:rsid w:val="00EB76AB"/>
    <w:rsid w:val="00ED01FA"/>
    <w:rsid w:val="00ED099E"/>
    <w:rsid w:val="00F17FDE"/>
    <w:rsid w:val="00F21B88"/>
    <w:rsid w:val="00F22779"/>
    <w:rsid w:val="00F40D53"/>
    <w:rsid w:val="00F4525C"/>
    <w:rsid w:val="00F50D86"/>
    <w:rsid w:val="00F57160"/>
    <w:rsid w:val="00F62FDA"/>
    <w:rsid w:val="00F647A2"/>
    <w:rsid w:val="00F72B2D"/>
    <w:rsid w:val="00F7511E"/>
    <w:rsid w:val="00F81FD9"/>
    <w:rsid w:val="00FB3A71"/>
    <w:rsid w:val="00FB75D7"/>
    <w:rsid w:val="00FD29D3"/>
    <w:rsid w:val="00FD47C4"/>
    <w:rsid w:val="00FE3F0B"/>
    <w:rsid w:val="00FE6C4B"/>
    <w:rsid w:val="08551050"/>
    <w:rsid w:val="112C543C"/>
    <w:rsid w:val="4A75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E710C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VCAAbody">
    <w:name w:val="VCAA body"/>
    <w:link w:val="VCAAbodyChar"/>
    <w:qFormat/>
    <w:rsid w:val="00AE4F2C"/>
    <w:pPr>
      <w:spacing w:before="120" w:after="120" w:line="280" w:lineRule="exact"/>
    </w:pPr>
    <w:rPr>
      <w:rFonts w:ascii="Arial" w:hAnsi="Arial" w:cs="Arial"/>
      <w:color w:val="000000" w:themeColor="text1"/>
      <w:sz w:val="20"/>
    </w:rPr>
  </w:style>
  <w:style w:type="paragraph" w:customStyle="1" w:styleId="VCAAbullet">
    <w:name w:val="VCAA bullet"/>
    <w:basedOn w:val="VCAAbody"/>
    <w:qFormat/>
    <w:rsid w:val="00AE4F2C"/>
    <w:pPr>
      <w:tabs>
        <w:tab w:val="left" w:pos="425"/>
      </w:tabs>
      <w:spacing w:before="60" w:after="60"/>
      <w:ind w:left="357" w:hanging="357"/>
      <w:contextualSpacing/>
    </w:pPr>
    <w:rPr>
      <w:rFonts w:eastAsia="Arial"/>
      <w:color w:val="auto"/>
      <w:kern w:val="22"/>
      <w:lang w:val="en-GB" w:eastAsia="ja-JP"/>
    </w:rPr>
  </w:style>
  <w:style w:type="character" w:customStyle="1" w:styleId="VCAAbodyChar">
    <w:name w:val="VCAA body Char"/>
    <w:basedOn w:val="DefaultParagraphFont"/>
    <w:link w:val="VCAAbody"/>
    <w:rsid w:val="00AE4F2C"/>
    <w:rPr>
      <w:rFonts w:ascii="Arial" w:hAnsi="Arial" w:cs="Arial"/>
      <w:color w:val="000000" w:themeColor="text1"/>
      <w:sz w:val="20"/>
    </w:rPr>
  </w:style>
  <w:style w:type="paragraph" w:customStyle="1" w:styleId="VCAAHeading3">
    <w:name w:val="VCAA Heading 3"/>
    <w:next w:val="VCAAbody"/>
    <w:qFormat/>
    <w:rsid w:val="00AE4F2C"/>
    <w:pPr>
      <w:spacing w:before="320" w:after="120" w:line="400" w:lineRule="exact"/>
      <w:outlineLvl w:val="3"/>
    </w:pPr>
    <w:rPr>
      <w:rFonts w:ascii="Arial" w:hAnsi="Arial" w:cs="Arial"/>
      <w:color w:val="0F7EB4"/>
      <w:sz w:val="32"/>
      <w:szCs w:val="24"/>
    </w:rPr>
  </w:style>
  <w:style w:type="paragraph" w:customStyle="1" w:styleId="VCAAHeading4">
    <w:name w:val="VCAA Heading 4"/>
    <w:next w:val="VCAAbody"/>
    <w:qFormat/>
    <w:rsid w:val="00AE4F2C"/>
    <w:pPr>
      <w:spacing w:before="280" w:after="120" w:line="360" w:lineRule="exact"/>
      <w:outlineLvl w:val="4"/>
    </w:pPr>
    <w:rPr>
      <w:rFonts w:ascii="Arial" w:hAnsi="Arial" w:cs="Arial"/>
      <w:color w:val="0F7EB4"/>
      <w:sz w:val="28"/>
      <w:lang w:val="en" w:eastAsia="en-AU"/>
    </w:rPr>
  </w:style>
  <w:style w:type="table" w:customStyle="1" w:styleId="VCAATableClosed1">
    <w:name w:val="VCAA Table Closed1"/>
    <w:basedOn w:val="TableNormal"/>
    <w:uiPriority w:val="99"/>
    <w:rsid w:val="00AE4F2C"/>
    <w:pPr>
      <w:spacing w:before="40" w:after="0" w:line="240" w:lineRule="auto"/>
    </w:pPr>
    <w:rPr>
      <w:rFonts w:ascii="Arial Narrow" w:hAnsi="Arial Narrow"/>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paragraph" w:customStyle="1" w:styleId="VCAAstudentresponse">
    <w:name w:val="VCAA student response"/>
    <w:basedOn w:val="VCAAbody"/>
    <w:qFormat/>
    <w:rsid w:val="00AE4F2C"/>
    <w:pPr>
      <w:ind w:left="284"/>
    </w:pPr>
    <w:rPr>
      <w:i/>
      <w:iCs/>
      <w:lang w:val="en-AU"/>
    </w:rPr>
  </w:style>
  <w:style w:type="paragraph" w:customStyle="1" w:styleId="VCAAHeading2">
    <w:name w:val="VCAA Heading 2"/>
    <w:next w:val="VCAAbody"/>
    <w:qFormat/>
    <w:rsid w:val="00AE4F2C"/>
    <w:pPr>
      <w:spacing w:before="400" w:after="120" w:line="480" w:lineRule="exact"/>
      <w:contextualSpacing/>
      <w:outlineLvl w:val="2"/>
    </w:pPr>
    <w:rPr>
      <w:rFonts w:ascii="Arial" w:hAnsi="Arial" w:cs="Arial"/>
      <w:color w:val="0F7EB4"/>
      <w:sz w:val="40"/>
      <w:szCs w:val="28"/>
    </w:rPr>
  </w:style>
  <w:style w:type="paragraph" w:customStyle="1" w:styleId="VCAAtablecondensed">
    <w:name w:val="VCAA table condensed"/>
    <w:qFormat/>
    <w:rsid w:val="00AE4F2C"/>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AE4F2C"/>
    <w:rPr>
      <w:color w:val="FFFFFF" w:themeColor="background1"/>
    </w:rPr>
  </w:style>
  <w:style w:type="paragraph" w:customStyle="1" w:styleId="VCAAbulletlevel2">
    <w:name w:val="VCAA bullet level 2"/>
    <w:basedOn w:val="VCAAbullet"/>
    <w:qFormat/>
    <w:rsid w:val="00AE4F2C"/>
    <w:pPr>
      <w:ind w:left="850" w:hanging="425"/>
    </w:pPr>
  </w:style>
  <w:style w:type="paragraph" w:customStyle="1" w:styleId="VCAAnumbers">
    <w:name w:val="VCAA numbers"/>
    <w:basedOn w:val="VCAAbullet"/>
    <w:qFormat/>
    <w:rsid w:val="00AE4F2C"/>
    <w:pPr>
      <w:ind w:left="425" w:hanging="425"/>
    </w:pPr>
    <w:rPr>
      <w:lang w:val="en-US"/>
    </w:rPr>
  </w:style>
  <w:style w:type="paragraph" w:customStyle="1" w:styleId="VCAAtablecondensedbullet">
    <w:name w:val="VCAA table condensed bullet"/>
    <w:basedOn w:val="Normal"/>
    <w:qFormat/>
    <w:rsid w:val="00AE4F2C"/>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tableheading">
    <w:name w:val="VCAA table heading"/>
    <w:basedOn w:val="VCAAbody"/>
    <w:qFormat/>
    <w:rsid w:val="00AE4F2C"/>
    <w:rPr>
      <w:color w:val="FFFFFF" w:themeColor="background1"/>
    </w:rPr>
  </w:style>
  <w:style w:type="character" w:styleId="CommentReference">
    <w:name w:val="annotation reference"/>
    <w:basedOn w:val="DefaultParagraphFont"/>
    <w:uiPriority w:val="99"/>
    <w:semiHidden/>
    <w:unhideWhenUsed/>
    <w:rsid w:val="002751F8"/>
    <w:rPr>
      <w:sz w:val="16"/>
      <w:szCs w:val="16"/>
    </w:rPr>
  </w:style>
  <w:style w:type="paragraph" w:styleId="Revision">
    <w:name w:val="Revision"/>
    <w:hidden/>
    <w:uiPriority w:val="99"/>
    <w:semiHidden/>
    <w:rsid w:val="002D510D"/>
    <w:pPr>
      <w:spacing w:after="0" w:line="240" w:lineRule="auto"/>
    </w:pPr>
  </w:style>
  <w:style w:type="paragraph" w:customStyle="1" w:styleId="Studentresponse">
    <w:name w:val="Student response"/>
    <w:basedOn w:val="BodyText"/>
    <w:qFormat/>
    <w:rsid w:val="00C57F8F"/>
    <w:pPr>
      <w:ind w:left="720"/>
    </w:pPr>
    <w:rPr>
      <w:i/>
      <w:iCs/>
    </w:rPr>
  </w:style>
  <w:style w:type="character" w:styleId="FootnoteReference">
    <w:name w:val="footnote reference"/>
    <w:basedOn w:val="DefaultParagraphFont"/>
    <w:uiPriority w:val="99"/>
    <w:semiHidden/>
    <w:unhideWhenUsed/>
    <w:rsid w:val="00564D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school-administration/notices-schools/2025/notice-schools-42-15-may-2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curriculum/vce-curriculum/vce-study-designs/history/histo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glossary-command-te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6D7D"/>
    <w:rsid w:val="00145EDD"/>
    <w:rsid w:val="00165318"/>
    <w:rsid w:val="00294BEE"/>
    <w:rsid w:val="002A7644"/>
    <w:rsid w:val="003101A3"/>
    <w:rsid w:val="00425F90"/>
    <w:rsid w:val="00461817"/>
    <w:rsid w:val="004900A2"/>
    <w:rsid w:val="005965D7"/>
    <w:rsid w:val="008D11CA"/>
    <w:rsid w:val="009325D2"/>
    <w:rsid w:val="009D084F"/>
    <w:rsid w:val="00A82810"/>
    <w:rsid w:val="00AF4B36"/>
    <w:rsid w:val="00C842E8"/>
    <w:rsid w:val="00CC69D7"/>
    <w:rsid w:val="00CE1CBE"/>
    <w:rsid w:val="00DB7FE0"/>
    <w:rsid w:val="00DD6929"/>
    <w:rsid w:val="00E50A4A"/>
    <w:rsid w:val="00E71100"/>
    <w:rsid w:val="00E7167D"/>
    <w:rsid w:val="00E95C5E"/>
    <w:rsid w:val="00ED01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C71116D8-1CAB-40C5-AC55-47CD7D93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e91c720-40cf-4a29-a59b-798f72d42987"/>
    <ds:schemaRef ds:uri="e9ccb2cb-7aa8-4bc9-a094-f008dabcc21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11048</Words>
  <Characters>59802</Characters>
  <Application>Microsoft Office Word</Application>
  <DocSecurity>0</DocSecurity>
  <Lines>1220</Lines>
  <Paragraphs>702</Paragraphs>
  <ScaleCrop>false</ScaleCrop>
  <HeadingPairs>
    <vt:vector size="2" baseType="variant">
      <vt:variant>
        <vt:lpstr>Title</vt:lpstr>
      </vt:variant>
      <vt:variant>
        <vt:i4>1</vt:i4>
      </vt:variant>
    </vt:vector>
  </HeadingPairs>
  <TitlesOfParts>
    <vt:vector size="1" baseType="lpstr">
      <vt:lpstr>2025 VCE History: Revolutions external assessment report</vt:lpstr>
    </vt:vector>
  </TitlesOfParts>
  <Manager/>
  <Company/>
  <LinksUpToDate>false</LinksUpToDate>
  <CharactersWithSpaces>70398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History: Revolutions external assessment report</dc:title>
  <dc:subject/>
  <dc:creator/>
  <cp:keywords/>
  <dc:description/>
  <cp:lastModifiedBy/>
  <cp:revision>5</cp:revision>
  <cp:lastPrinted>2025-12-31T23:21:00Z</cp:lastPrinted>
  <dcterms:created xsi:type="dcterms:W3CDTF">2026-01-29T01:31:00Z</dcterms:created>
  <dcterms:modified xsi:type="dcterms:W3CDTF">2026-01-29T01:42:00Z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