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764B2839" w:rsidR="00F4525C" w:rsidRPr="00870A89" w:rsidRDefault="00DF7107" w:rsidP="00E7229D">
      <w:pPr>
        <w:pStyle w:val="Title"/>
      </w:pPr>
      <w:r>
        <w:t xml:space="preserve">2025 VCE </w:t>
      </w:r>
      <w:r w:rsidR="005E79D0">
        <w:t>Media</w:t>
      </w:r>
      <w:r>
        <w:t xml:space="preserve"> external assessment report</w:t>
      </w:r>
    </w:p>
    <w:p w14:paraId="2CB2141B" w14:textId="318C1F88" w:rsidR="0094657C" w:rsidRPr="005A6BA1" w:rsidRDefault="0094657C" w:rsidP="005A6BA1">
      <w:pPr>
        <w:pStyle w:val="Heading1"/>
      </w:pPr>
      <w:r w:rsidRPr="005A6BA1">
        <w:t>Section A</w:t>
      </w:r>
    </w:p>
    <w:p w14:paraId="164A32CB" w14:textId="77777777" w:rsidR="000E289F" w:rsidRPr="00CC6FC7" w:rsidRDefault="000E289F" w:rsidP="000E289F">
      <w:pPr>
        <w:pStyle w:val="BodyText"/>
      </w:pPr>
      <w:r w:rsidRPr="00CC6FC7">
        <w:t xml:space="preserve">It is important that students have a strong understanding of what command terms involve, as these terms dictate the type of response expected and the level of depth required. The VCAA </w:t>
      </w:r>
      <w:hyperlink r:id="rId8" w:history="1">
        <w:r w:rsidRPr="00D968A3">
          <w:rPr>
            <w:rStyle w:val="Hyperlink"/>
          </w:rPr>
          <w:t>Glossary of command terms</w:t>
        </w:r>
      </w:hyperlink>
      <w:r w:rsidRPr="00CC6FC7">
        <w:t xml:space="preserve"> categorises these terms to indicate the depth and complexity of responses expected from students in examination questions. Misinterpreting a command term can lead to answers that do not fully address the requirements of the question.</w:t>
      </w:r>
    </w:p>
    <w:p w14:paraId="378B4866" w14:textId="77777777" w:rsidR="000E289F" w:rsidRDefault="000E289F" w:rsidP="000E289F">
      <w:pPr>
        <w:pStyle w:val="BodyText"/>
      </w:pPr>
      <w:r>
        <w:t>Note: Student responses reproduced in this report have not been corrected for grammar, spelling or factual information.</w:t>
      </w:r>
    </w:p>
    <w:p w14:paraId="756542CC" w14:textId="77777777" w:rsidR="000E289F" w:rsidRPr="00DC0B41" w:rsidRDefault="000E289F" w:rsidP="000E289F">
      <w:pPr>
        <w:pStyle w:val="BodyText"/>
      </w:pPr>
      <w:r w:rsidRPr="00DC0B41">
        <w:t xml:space="preserve">This report provides sample answers or an indication of what answers may have included. Unless otherwise stated, these are not intended to be exemplary or complete responses. </w:t>
      </w:r>
    </w:p>
    <w:p w14:paraId="48C092D5" w14:textId="77777777" w:rsidR="000E289F" w:rsidRPr="00CC6FC7" w:rsidRDefault="000E289F" w:rsidP="000E289F">
      <w:pPr>
        <w:pStyle w:val="BodyText"/>
      </w:pPr>
      <w:r w:rsidRPr="00DC0B41">
        <w:t>The statistics in this report may be subject to rounding resulting in a total more or less than 100 per cent.</w:t>
      </w:r>
    </w:p>
    <w:p w14:paraId="75493ABB" w14:textId="674C1EAB" w:rsidR="00DF7107" w:rsidRPr="005A6BA1" w:rsidRDefault="005E79D0" w:rsidP="000E289F">
      <w:pPr>
        <w:pStyle w:val="Heading2"/>
      </w:pPr>
      <w:r w:rsidRPr="005A6BA1">
        <w:t xml:space="preserve">Question 1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CC6FC7" w:rsidRPr="00141A4D" w14:paraId="46152553" w14:textId="77777777" w:rsidTr="002A6C77">
        <w:trPr>
          <w:cnfStyle w:val="100000000000" w:firstRow="1" w:lastRow="0" w:firstColumn="0" w:lastColumn="0" w:oddVBand="0" w:evenVBand="0" w:oddHBand="0" w:evenHBand="0" w:firstRowFirstColumn="0" w:firstRowLastColumn="0" w:lastRowFirstColumn="0" w:lastRowLastColumn="0"/>
        </w:trPr>
        <w:tc>
          <w:tcPr>
            <w:tcW w:w="599" w:type="dxa"/>
          </w:tcPr>
          <w:p w14:paraId="4E236129" w14:textId="77777777" w:rsidR="00CC6FC7" w:rsidRPr="00141A4D" w:rsidRDefault="00CC6FC7" w:rsidP="000E289F">
            <w:pPr>
              <w:pStyle w:val="Tablecondensedheading"/>
              <w:rPr>
                <w:lang w:val="en-AU"/>
              </w:rPr>
            </w:pPr>
            <w:bookmarkStart w:id="0" w:name="_Hlk219974209"/>
            <w:r w:rsidRPr="00141A4D">
              <w:rPr>
                <w:lang w:val="en-AU"/>
              </w:rPr>
              <w:t>Mark</w:t>
            </w:r>
          </w:p>
        </w:tc>
        <w:tc>
          <w:tcPr>
            <w:tcW w:w="576" w:type="dxa"/>
          </w:tcPr>
          <w:p w14:paraId="3E534F11" w14:textId="77777777" w:rsidR="00CC6FC7" w:rsidRPr="00141A4D" w:rsidRDefault="00CC6FC7" w:rsidP="000E289F">
            <w:pPr>
              <w:pStyle w:val="Tablecondensedheading"/>
              <w:rPr>
                <w:lang w:val="en-AU"/>
              </w:rPr>
            </w:pPr>
            <w:r w:rsidRPr="00141A4D">
              <w:rPr>
                <w:lang w:val="en-AU"/>
              </w:rPr>
              <w:t>0</w:t>
            </w:r>
          </w:p>
        </w:tc>
        <w:tc>
          <w:tcPr>
            <w:tcW w:w="576" w:type="dxa"/>
          </w:tcPr>
          <w:p w14:paraId="1D0D0B9B" w14:textId="77777777" w:rsidR="00CC6FC7" w:rsidRPr="00141A4D" w:rsidRDefault="00CC6FC7" w:rsidP="000E289F">
            <w:pPr>
              <w:pStyle w:val="Tablecondensedheading"/>
              <w:rPr>
                <w:lang w:val="en-AU"/>
              </w:rPr>
            </w:pPr>
            <w:r w:rsidRPr="00141A4D">
              <w:rPr>
                <w:lang w:val="en-AU"/>
              </w:rPr>
              <w:t>1</w:t>
            </w:r>
          </w:p>
        </w:tc>
        <w:tc>
          <w:tcPr>
            <w:tcW w:w="576" w:type="dxa"/>
          </w:tcPr>
          <w:p w14:paraId="1882F747" w14:textId="77777777" w:rsidR="00CC6FC7" w:rsidRPr="00141A4D" w:rsidRDefault="00CC6FC7" w:rsidP="000E289F">
            <w:pPr>
              <w:pStyle w:val="Tablecondensedheading"/>
              <w:rPr>
                <w:lang w:val="en-AU"/>
              </w:rPr>
            </w:pPr>
            <w:r w:rsidRPr="00141A4D">
              <w:rPr>
                <w:lang w:val="en-AU"/>
              </w:rPr>
              <w:t>2</w:t>
            </w:r>
          </w:p>
        </w:tc>
        <w:tc>
          <w:tcPr>
            <w:tcW w:w="576" w:type="dxa"/>
          </w:tcPr>
          <w:p w14:paraId="73551A95" w14:textId="77777777" w:rsidR="00CC6FC7" w:rsidRPr="00141A4D" w:rsidRDefault="00CC6FC7" w:rsidP="000E289F">
            <w:pPr>
              <w:pStyle w:val="Tablecondensedheading"/>
              <w:rPr>
                <w:lang w:val="en-AU"/>
              </w:rPr>
            </w:pPr>
            <w:r w:rsidRPr="00141A4D">
              <w:rPr>
                <w:lang w:val="en-AU"/>
              </w:rPr>
              <w:t>3</w:t>
            </w:r>
          </w:p>
        </w:tc>
        <w:tc>
          <w:tcPr>
            <w:tcW w:w="864" w:type="dxa"/>
          </w:tcPr>
          <w:p w14:paraId="7D1FBFFC" w14:textId="77777777" w:rsidR="00CC6FC7" w:rsidRPr="00141A4D" w:rsidRDefault="00CC6FC7" w:rsidP="000E289F">
            <w:pPr>
              <w:pStyle w:val="Tablecondensedheading"/>
              <w:rPr>
                <w:lang w:val="en-AU"/>
              </w:rPr>
            </w:pPr>
            <w:r w:rsidRPr="00141A4D">
              <w:rPr>
                <w:lang w:val="en-AU"/>
              </w:rPr>
              <w:t>Average</w:t>
            </w:r>
          </w:p>
        </w:tc>
      </w:tr>
      <w:tr w:rsidR="00CC6FC7" w:rsidRPr="00141A4D" w14:paraId="4DD23C96" w14:textId="77777777" w:rsidTr="002A6C77">
        <w:tc>
          <w:tcPr>
            <w:tcW w:w="599" w:type="dxa"/>
          </w:tcPr>
          <w:p w14:paraId="3445C7E1" w14:textId="77777777" w:rsidR="00CC6FC7" w:rsidRPr="00141A4D" w:rsidRDefault="00CC6FC7" w:rsidP="000E289F">
            <w:pPr>
              <w:pStyle w:val="Tablecondensed"/>
              <w:rPr>
                <w:lang w:val="en-AU"/>
              </w:rPr>
            </w:pPr>
            <w:r w:rsidRPr="00141A4D">
              <w:rPr>
                <w:lang w:val="en-AU"/>
              </w:rPr>
              <w:t>%</w:t>
            </w:r>
          </w:p>
        </w:tc>
        <w:tc>
          <w:tcPr>
            <w:tcW w:w="576" w:type="dxa"/>
          </w:tcPr>
          <w:p w14:paraId="7411DDB3" w14:textId="0273275D" w:rsidR="00CC6FC7" w:rsidRPr="00141A4D" w:rsidRDefault="00CC6FC7" w:rsidP="000E289F">
            <w:pPr>
              <w:pStyle w:val="Tablecondensed"/>
              <w:rPr>
                <w:lang w:val="en-AU"/>
              </w:rPr>
            </w:pPr>
            <w:r>
              <w:rPr>
                <w:lang w:val="en-AU"/>
              </w:rPr>
              <w:t>1</w:t>
            </w:r>
          </w:p>
        </w:tc>
        <w:tc>
          <w:tcPr>
            <w:tcW w:w="576" w:type="dxa"/>
          </w:tcPr>
          <w:p w14:paraId="6C73097F" w14:textId="165C04A1" w:rsidR="00CC6FC7" w:rsidRPr="00141A4D" w:rsidRDefault="00CC6FC7" w:rsidP="000E289F">
            <w:pPr>
              <w:pStyle w:val="Tablecondensed"/>
              <w:rPr>
                <w:lang w:val="en-AU"/>
              </w:rPr>
            </w:pPr>
            <w:r>
              <w:rPr>
                <w:lang w:val="en-AU"/>
              </w:rPr>
              <w:t>2</w:t>
            </w:r>
          </w:p>
        </w:tc>
        <w:tc>
          <w:tcPr>
            <w:tcW w:w="576" w:type="dxa"/>
          </w:tcPr>
          <w:p w14:paraId="14403584" w14:textId="29514CD9" w:rsidR="00CC6FC7" w:rsidRPr="00141A4D" w:rsidRDefault="00CC6FC7" w:rsidP="000E289F">
            <w:pPr>
              <w:pStyle w:val="Tablecondensed"/>
              <w:rPr>
                <w:lang w:val="en-AU"/>
              </w:rPr>
            </w:pPr>
            <w:r>
              <w:rPr>
                <w:lang w:val="en-AU"/>
              </w:rPr>
              <w:t>19</w:t>
            </w:r>
          </w:p>
        </w:tc>
        <w:tc>
          <w:tcPr>
            <w:tcW w:w="576" w:type="dxa"/>
          </w:tcPr>
          <w:p w14:paraId="7E51BD79" w14:textId="030A0FCF" w:rsidR="00CC6FC7" w:rsidRPr="00141A4D" w:rsidRDefault="00CC6FC7" w:rsidP="000E289F">
            <w:pPr>
              <w:pStyle w:val="Tablecondensed"/>
              <w:rPr>
                <w:lang w:val="en-AU"/>
              </w:rPr>
            </w:pPr>
            <w:r>
              <w:rPr>
                <w:lang w:val="en-AU"/>
              </w:rPr>
              <w:t>77</w:t>
            </w:r>
          </w:p>
        </w:tc>
        <w:tc>
          <w:tcPr>
            <w:tcW w:w="864" w:type="dxa"/>
          </w:tcPr>
          <w:p w14:paraId="200A7FB6" w14:textId="5FDB8B5F" w:rsidR="00CC6FC7" w:rsidRPr="00141A4D" w:rsidRDefault="00CC6FC7" w:rsidP="000E289F">
            <w:pPr>
              <w:pStyle w:val="Tablecondensed"/>
              <w:rPr>
                <w:lang w:val="en-AU"/>
              </w:rPr>
            </w:pPr>
            <w:r>
              <w:rPr>
                <w:lang w:val="en-AU"/>
              </w:rPr>
              <w:t>2.7</w:t>
            </w:r>
          </w:p>
        </w:tc>
      </w:tr>
    </w:tbl>
    <w:bookmarkEnd w:id="0"/>
    <w:p w14:paraId="45DA46FF" w14:textId="31CBA11D" w:rsidR="005E79D0" w:rsidRPr="005A6BA1" w:rsidRDefault="00CC6FC7" w:rsidP="005A6BA1">
      <w:pPr>
        <w:pStyle w:val="BodyText"/>
      </w:pPr>
      <w:r w:rsidRPr="005A6BA1">
        <w:t xml:space="preserve">Students </w:t>
      </w:r>
      <w:r w:rsidR="005E79D0" w:rsidRPr="005A6BA1">
        <w:t xml:space="preserve">were required to describe how one media code conveys meaning in the film still from </w:t>
      </w:r>
      <w:r w:rsidR="005E79D0" w:rsidRPr="005A6BA1">
        <w:rPr>
          <w:rStyle w:val="Emphasis"/>
        </w:rPr>
        <w:t>Nosferatu: A Symphony of Horror</w:t>
      </w:r>
      <w:r w:rsidR="005E79D0" w:rsidRPr="005A6BA1">
        <w:t xml:space="preserve"> (1922).</w:t>
      </w:r>
      <w:r w:rsidR="00031B11" w:rsidRPr="005A6BA1">
        <w:t xml:space="preserve"> </w:t>
      </w:r>
      <w:r w:rsidR="005C6F9E" w:rsidRPr="00DB29A0">
        <w:t>Most responses were able to confidently describe the use of a media code</w:t>
      </w:r>
      <w:r w:rsidR="004C7A5A" w:rsidRPr="004C7A5A">
        <w:t xml:space="preserve"> </w:t>
      </w:r>
      <w:r w:rsidR="004C7A5A" w:rsidRPr="008A0A23">
        <w:t>and how it conveyed meaning</w:t>
      </w:r>
      <w:r w:rsidR="00AB4C87">
        <w:t>,</w:t>
      </w:r>
      <w:r w:rsidR="004C7A5A" w:rsidRPr="008A0A23">
        <w:t xml:space="preserve"> drawing on examples from the film still</w:t>
      </w:r>
      <w:r w:rsidR="005C6F9E">
        <w:t>. Successful r</w:t>
      </w:r>
      <w:r w:rsidR="00F20F33" w:rsidRPr="00D553A0">
        <w:t xml:space="preserve">esponses </w:t>
      </w:r>
      <w:r w:rsidR="005C6F9E">
        <w:t xml:space="preserve">included a description of one specific </w:t>
      </w:r>
      <w:r w:rsidR="004C7A5A">
        <w:t xml:space="preserve">media </w:t>
      </w:r>
      <w:r w:rsidR="005C6F9E">
        <w:t xml:space="preserve">code, </w:t>
      </w:r>
      <w:r w:rsidR="00F20F33" w:rsidRPr="00D553A0">
        <w:t xml:space="preserve">how it </w:t>
      </w:r>
      <w:r w:rsidR="004C7A5A">
        <w:t>is</w:t>
      </w:r>
      <w:r w:rsidR="00F20F33" w:rsidRPr="00D553A0">
        <w:t xml:space="preserve"> used in the still and the meaning </w:t>
      </w:r>
      <w:r w:rsidR="005C6F9E">
        <w:t xml:space="preserve">it </w:t>
      </w:r>
      <w:r w:rsidR="00F20F33" w:rsidRPr="00D553A0">
        <w:t>convey</w:t>
      </w:r>
      <w:r w:rsidR="004C7A5A">
        <w:t>s</w:t>
      </w:r>
      <w:r w:rsidR="00F20F33">
        <w:t>.</w:t>
      </w:r>
      <w:r w:rsidR="00F20F33" w:rsidRPr="00F20F33">
        <w:t xml:space="preserve"> </w:t>
      </w:r>
    </w:p>
    <w:p w14:paraId="7BBC36BD" w14:textId="38C077B9" w:rsidR="00AC35D6" w:rsidRPr="005A6BA1" w:rsidRDefault="00AC35D6" w:rsidP="005A6BA1">
      <w:pPr>
        <w:pStyle w:val="BodyText"/>
      </w:pPr>
      <w:r w:rsidRPr="005A6BA1">
        <w:t xml:space="preserve">High-scoring responses </w:t>
      </w:r>
      <w:r w:rsidR="00234B89">
        <w:t>included</w:t>
      </w:r>
      <w:r w:rsidRPr="005A6BA1">
        <w:t>:</w:t>
      </w:r>
    </w:p>
    <w:p w14:paraId="21D62CD0" w14:textId="308BB705" w:rsidR="00AC35D6" w:rsidRPr="005A6BA1" w:rsidRDefault="00D968A3" w:rsidP="005A6BA1">
      <w:pPr>
        <w:pStyle w:val="Bullet"/>
      </w:pPr>
      <w:r>
        <w:t>p</w:t>
      </w:r>
      <w:r w:rsidR="00AC35D6" w:rsidRPr="005A6BA1">
        <w:t>recise and explicit identification of a specific code (e.g. ‘camera’)</w:t>
      </w:r>
    </w:p>
    <w:p w14:paraId="3459C3BB" w14:textId="7AF91A7F" w:rsidR="00AC35D6" w:rsidRPr="005A6BA1" w:rsidRDefault="00D968A3" w:rsidP="005A6BA1">
      <w:pPr>
        <w:pStyle w:val="Bullet"/>
      </w:pPr>
      <w:r>
        <w:t>d</w:t>
      </w:r>
      <w:r w:rsidR="00AC35D6" w:rsidRPr="005A6BA1">
        <w:t xml:space="preserve">etailed description of how the code functions in the still (e.g. </w:t>
      </w:r>
      <w:r w:rsidR="005C6F9E">
        <w:t>‘</w:t>
      </w:r>
      <w:r w:rsidR="00AC35D6" w:rsidRPr="005A6BA1">
        <w:t>the low angle shot positions the viewer looking up at Nosferatu</w:t>
      </w:r>
      <w:r w:rsidR="00EB1590">
        <w:t xml:space="preserve"> </w:t>
      </w:r>
      <w:r w:rsidR="00AC35D6" w:rsidRPr="005A6BA1">
        <w:t>…</w:t>
      </w:r>
      <w:r w:rsidR="005C6F9E">
        <w:t>’</w:t>
      </w:r>
      <w:r w:rsidR="00AC35D6" w:rsidRPr="005A6BA1">
        <w:t>)</w:t>
      </w:r>
    </w:p>
    <w:p w14:paraId="3B6F3583" w14:textId="417A789E" w:rsidR="00AC35D6" w:rsidRPr="005A6BA1" w:rsidRDefault="00D968A3" w:rsidP="005A6BA1">
      <w:pPr>
        <w:pStyle w:val="Bullet"/>
      </w:pPr>
      <w:r>
        <w:t>c</w:t>
      </w:r>
      <w:r w:rsidR="00AC35D6" w:rsidRPr="005A6BA1">
        <w:t xml:space="preserve">lear explanation of the meaning created (e.g. </w:t>
      </w:r>
      <w:r w:rsidR="005C6F9E">
        <w:t>‘</w:t>
      </w:r>
      <w:r w:rsidR="00AC35D6" w:rsidRPr="005A6BA1">
        <w:t>… which conveys his threatening presence and power over the viewer</w:t>
      </w:r>
      <w:r w:rsidR="005C6F9E">
        <w:t>’</w:t>
      </w:r>
      <w:r w:rsidR="00AC35D6" w:rsidRPr="005A6BA1">
        <w:t>)</w:t>
      </w:r>
      <w:r w:rsidR="002268D2">
        <w:t>.</w:t>
      </w:r>
    </w:p>
    <w:p w14:paraId="2814D472" w14:textId="3CE652B3" w:rsidR="00AC35D6" w:rsidRPr="005A6BA1" w:rsidRDefault="00AC35D6" w:rsidP="005A6BA1">
      <w:pPr>
        <w:pStyle w:val="BodyText"/>
      </w:pPr>
      <w:r w:rsidRPr="005A6BA1">
        <w:t xml:space="preserve">Common errors </w:t>
      </w:r>
      <w:r w:rsidR="0056579D">
        <w:t>included</w:t>
      </w:r>
      <w:r w:rsidRPr="005A6BA1">
        <w:t>:</w:t>
      </w:r>
    </w:p>
    <w:p w14:paraId="0F17F296" w14:textId="6AFF62A2" w:rsidR="00AC35D6" w:rsidRPr="005A6BA1" w:rsidRDefault="00D968A3" w:rsidP="005A6BA1">
      <w:pPr>
        <w:pStyle w:val="Bullet"/>
      </w:pPr>
      <w:r>
        <w:t>m</w:t>
      </w:r>
      <w:r w:rsidR="00AC35D6" w:rsidRPr="005A6BA1">
        <w:t>isidentifying camera angles, particularly confusing low angle (camera looking up) and high angle (camera looking down)</w:t>
      </w:r>
    </w:p>
    <w:p w14:paraId="46F95795" w14:textId="6277D73D" w:rsidR="00AC35D6" w:rsidRPr="005A6BA1" w:rsidRDefault="00D968A3" w:rsidP="005A6BA1">
      <w:pPr>
        <w:pStyle w:val="Bullet"/>
      </w:pPr>
      <w:r>
        <w:t>n</w:t>
      </w:r>
      <w:r w:rsidR="00AC35D6" w:rsidRPr="005A6BA1">
        <w:t xml:space="preserve">aming a code without describing how it was </w:t>
      </w:r>
      <w:r w:rsidR="68C16B49" w:rsidRPr="005A6BA1">
        <w:t xml:space="preserve">applied to convey meaning in the film </w:t>
      </w:r>
    </w:p>
    <w:p w14:paraId="0EDA5939" w14:textId="2A8918B3" w:rsidR="00AC35D6" w:rsidRPr="005A6BA1" w:rsidRDefault="00D968A3" w:rsidP="005A6BA1">
      <w:pPr>
        <w:pStyle w:val="Bullet"/>
      </w:pPr>
      <w:r>
        <w:t>u</w:t>
      </w:r>
      <w:r w:rsidR="00AC35D6" w:rsidRPr="005A6BA1">
        <w:t>sing general language</w:t>
      </w:r>
      <w:r w:rsidR="002268D2">
        <w:t xml:space="preserve"> </w:t>
      </w:r>
      <w:r w:rsidR="00031B11" w:rsidRPr="005A6BA1">
        <w:t>rather than media-specific language</w:t>
      </w:r>
      <w:r w:rsidR="0035746B">
        <w:t>.</w:t>
      </w:r>
    </w:p>
    <w:p w14:paraId="73EF0B5F" w14:textId="4E138A87" w:rsidR="00031B11" w:rsidRPr="005A6BA1" w:rsidRDefault="00B026D0" w:rsidP="005A6BA1">
      <w:pPr>
        <w:pStyle w:val="BodyText"/>
      </w:pPr>
      <w:r>
        <w:t>The following is an example of a high-scoring</w:t>
      </w:r>
      <w:r w:rsidRPr="0035746B">
        <w:t xml:space="preserve"> </w:t>
      </w:r>
      <w:r w:rsidR="002268D2" w:rsidRPr="0035746B">
        <w:t>r</w:t>
      </w:r>
      <w:r w:rsidR="00324565" w:rsidRPr="0035746B">
        <w:t>esponse</w:t>
      </w:r>
      <w:r w:rsidR="00324565" w:rsidRPr="005A6BA1">
        <w:t>:</w:t>
      </w:r>
    </w:p>
    <w:p w14:paraId="46567035" w14:textId="2BBBF565" w:rsidR="00324565" w:rsidRPr="005A6BA1" w:rsidRDefault="00324565" w:rsidP="005A6BA1">
      <w:pPr>
        <w:pStyle w:val="Studentsample"/>
      </w:pPr>
      <w:r w:rsidRPr="005A6BA1">
        <w:t>The media code of camera technique is utilised by framing the subject within a low angle shot. This makes the creature appear larger and more imposing over the audience, conveying the insinuation that he is a threat to the characters and increasing fear and suspense in audiences.</w:t>
      </w:r>
    </w:p>
    <w:p w14:paraId="6AA9E145" w14:textId="20C60364" w:rsidR="00031B11" w:rsidRPr="005A6BA1" w:rsidRDefault="00031B11" w:rsidP="000E289F">
      <w:pPr>
        <w:pStyle w:val="Heading2"/>
      </w:pPr>
      <w:r w:rsidRPr="005A6BA1">
        <w:t>Question 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864"/>
      </w:tblGrid>
      <w:tr w:rsidR="001D1E1C" w:rsidRPr="00141A4D" w14:paraId="0F491433" w14:textId="77777777" w:rsidTr="0056219F">
        <w:trPr>
          <w:cnfStyle w:val="100000000000" w:firstRow="1" w:lastRow="0" w:firstColumn="0" w:lastColumn="0" w:oddVBand="0" w:evenVBand="0" w:oddHBand="0" w:evenHBand="0" w:firstRowFirstColumn="0" w:firstRowLastColumn="0" w:lastRowFirstColumn="0" w:lastRowLastColumn="0"/>
        </w:trPr>
        <w:tc>
          <w:tcPr>
            <w:tcW w:w="599" w:type="dxa"/>
          </w:tcPr>
          <w:p w14:paraId="7D1FC8AC" w14:textId="77777777" w:rsidR="001D1E1C" w:rsidRPr="00141A4D" w:rsidRDefault="001D1E1C" w:rsidP="000E289F">
            <w:pPr>
              <w:pStyle w:val="Tablecondensedheading"/>
              <w:rPr>
                <w:lang w:val="en-AU"/>
              </w:rPr>
            </w:pPr>
            <w:r w:rsidRPr="00141A4D">
              <w:rPr>
                <w:lang w:val="en-AU"/>
              </w:rPr>
              <w:t>Mark</w:t>
            </w:r>
          </w:p>
        </w:tc>
        <w:tc>
          <w:tcPr>
            <w:tcW w:w="576" w:type="dxa"/>
          </w:tcPr>
          <w:p w14:paraId="47626279" w14:textId="77777777" w:rsidR="001D1E1C" w:rsidRPr="00141A4D" w:rsidRDefault="001D1E1C" w:rsidP="000E289F">
            <w:pPr>
              <w:pStyle w:val="Tablecondensedheading"/>
              <w:rPr>
                <w:lang w:val="en-AU"/>
              </w:rPr>
            </w:pPr>
            <w:r w:rsidRPr="00141A4D">
              <w:rPr>
                <w:lang w:val="en-AU"/>
              </w:rPr>
              <w:t>0</w:t>
            </w:r>
          </w:p>
        </w:tc>
        <w:tc>
          <w:tcPr>
            <w:tcW w:w="576" w:type="dxa"/>
          </w:tcPr>
          <w:p w14:paraId="24689CB1" w14:textId="77777777" w:rsidR="001D1E1C" w:rsidRPr="00141A4D" w:rsidRDefault="001D1E1C" w:rsidP="000E289F">
            <w:pPr>
              <w:pStyle w:val="Tablecondensedheading"/>
              <w:rPr>
                <w:lang w:val="en-AU"/>
              </w:rPr>
            </w:pPr>
            <w:r w:rsidRPr="00141A4D">
              <w:rPr>
                <w:lang w:val="en-AU"/>
              </w:rPr>
              <w:t>1</w:t>
            </w:r>
          </w:p>
        </w:tc>
        <w:tc>
          <w:tcPr>
            <w:tcW w:w="576" w:type="dxa"/>
          </w:tcPr>
          <w:p w14:paraId="5C4FF8E2" w14:textId="77777777" w:rsidR="001D1E1C" w:rsidRPr="00141A4D" w:rsidRDefault="001D1E1C" w:rsidP="000E289F">
            <w:pPr>
              <w:pStyle w:val="Tablecondensedheading"/>
              <w:rPr>
                <w:lang w:val="en-AU"/>
              </w:rPr>
            </w:pPr>
            <w:r w:rsidRPr="00141A4D">
              <w:rPr>
                <w:lang w:val="en-AU"/>
              </w:rPr>
              <w:t>2</w:t>
            </w:r>
          </w:p>
        </w:tc>
        <w:tc>
          <w:tcPr>
            <w:tcW w:w="576" w:type="dxa"/>
          </w:tcPr>
          <w:p w14:paraId="5A5EE5B7" w14:textId="0CF8B112" w:rsidR="001D1E1C" w:rsidRPr="00141A4D" w:rsidRDefault="001D1E1C" w:rsidP="000E289F">
            <w:pPr>
              <w:pStyle w:val="Tablecondensedheading"/>
              <w:rPr>
                <w:lang w:val="en-AU"/>
              </w:rPr>
            </w:pPr>
            <w:r>
              <w:rPr>
                <w:lang w:val="en-AU"/>
              </w:rPr>
              <w:t>3</w:t>
            </w:r>
          </w:p>
        </w:tc>
        <w:tc>
          <w:tcPr>
            <w:tcW w:w="576" w:type="dxa"/>
          </w:tcPr>
          <w:p w14:paraId="6FDF915B" w14:textId="5E363F4E" w:rsidR="001D1E1C" w:rsidRPr="00141A4D" w:rsidRDefault="001D1E1C" w:rsidP="000E289F">
            <w:pPr>
              <w:pStyle w:val="Tablecondensedheading"/>
              <w:rPr>
                <w:lang w:val="en-AU"/>
              </w:rPr>
            </w:pPr>
            <w:r>
              <w:rPr>
                <w:lang w:val="en-AU"/>
              </w:rPr>
              <w:t>4</w:t>
            </w:r>
          </w:p>
        </w:tc>
        <w:tc>
          <w:tcPr>
            <w:tcW w:w="576" w:type="dxa"/>
          </w:tcPr>
          <w:p w14:paraId="030BD3FE" w14:textId="7BBFBA81" w:rsidR="001D1E1C" w:rsidRPr="00141A4D" w:rsidRDefault="001D1E1C" w:rsidP="000E289F">
            <w:pPr>
              <w:pStyle w:val="Tablecondensedheading"/>
              <w:rPr>
                <w:lang w:val="en-AU"/>
              </w:rPr>
            </w:pPr>
            <w:r>
              <w:rPr>
                <w:lang w:val="en-AU"/>
              </w:rPr>
              <w:t>5</w:t>
            </w:r>
          </w:p>
        </w:tc>
        <w:tc>
          <w:tcPr>
            <w:tcW w:w="864" w:type="dxa"/>
          </w:tcPr>
          <w:p w14:paraId="77D05B3C" w14:textId="77777777" w:rsidR="001D1E1C" w:rsidRPr="00141A4D" w:rsidRDefault="001D1E1C" w:rsidP="000E289F">
            <w:pPr>
              <w:pStyle w:val="Tablecondensedheading"/>
              <w:rPr>
                <w:lang w:val="en-AU"/>
              </w:rPr>
            </w:pPr>
            <w:r w:rsidRPr="00141A4D">
              <w:rPr>
                <w:lang w:val="en-AU"/>
              </w:rPr>
              <w:t>Average</w:t>
            </w:r>
          </w:p>
        </w:tc>
      </w:tr>
      <w:tr w:rsidR="001D1E1C" w:rsidRPr="00141A4D" w14:paraId="5E507577" w14:textId="77777777" w:rsidTr="0056219F">
        <w:tc>
          <w:tcPr>
            <w:tcW w:w="599" w:type="dxa"/>
          </w:tcPr>
          <w:p w14:paraId="01989544" w14:textId="77777777" w:rsidR="001D1E1C" w:rsidRPr="00141A4D" w:rsidRDefault="001D1E1C" w:rsidP="000E289F">
            <w:pPr>
              <w:pStyle w:val="Tablecondensed"/>
              <w:rPr>
                <w:lang w:val="en-AU"/>
              </w:rPr>
            </w:pPr>
            <w:r w:rsidRPr="00141A4D">
              <w:rPr>
                <w:lang w:val="en-AU"/>
              </w:rPr>
              <w:t>%</w:t>
            </w:r>
          </w:p>
        </w:tc>
        <w:tc>
          <w:tcPr>
            <w:tcW w:w="576" w:type="dxa"/>
          </w:tcPr>
          <w:p w14:paraId="55A2EFAC" w14:textId="5C5F9CE8" w:rsidR="001D1E1C" w:rsidRPr="00141A4D" w:rsidRDefault="001D1E1C" w:rsidP="000E289F">
            <w:pPr>
              <w:pStyle w:val="Tablecondensed"/>
              <w:rPr>
                <w:lang w:val="en-AU"/>
              </w:rPr>
            </w:pPr>
            <w:r>
              <w:rPr>
                <w:lang w:val="en-AU"/>
              </w:rPr>
              <w:t>2</w:t>
            </w:r>
          </w:p>
        </w:tc>
        <w:tc>
          <w:tcPr>
            <w:tcW w:w="576" w:type="dxa"/>
          </w:tcPr>
          <w:p w14:paraId="66D18C80" w14:textId="6B9DD412" w:rsidR="001D1E1C" w:rsidRPr="00141A4D" w:rsidRDefault="001D1E1C" w:rsidP="000E289F">
            <w:pPr>
              <w:pStyle w:val="Tablecondensed"/>
              <w:rPr>
                <w:lang w:val="en-AU"/>
              </w:rPr>
            </w:pPr>
            <w:r>
              <w:rPr>
                <w:lang w:val="en-AU"/>
              </w:rPr>
              <w:t>3</w:t>
            </w:r>
          </w:p>
        </w:tc>
        <w:tc>
          <w:tcPr>
            <w:tcW w:w="576" w:type="dxa"/>
          </w:tcPr>
          <w:p w14:paraId="1007E8D7" w14:textId="49428ADC" w:rsidR="001D1E1C" w:rsidRPr="00141A4D" w:rsidRDefault="001D1E1C" w:rsidP="000E289F">
            <w:pPr>
              <w:pStyle w:val="Tablecondensed"/>
              <w:rPr>
                <w:lang w:val="en-AU"/>
              </w:rPr>
            </w:pPr>
            <w:r>
              <w:rPr>
                <w:lang w:val="en-AU"/>
              </w:rPr>
              <w:t>14</w:t>
            </w:r>
          </w:p>
        </w:tc>
        <w:tc>
          <w:tcPr>
            <w:tcW w:w="576" w:type="dxa"/>
          </w:tcPr>
          <w:p w14:paraId="534F43D6" w14:textId="13A56B4B" w:rsidR="001D1E1C" w:rsidRDefault="001D1E1C" w:rsidP="000E289F">
            <w:pPr>
              <w:pStyle w:val="Tablecondensed"/>
              <w:rPr>
                <w:lang w:val="en-AU"/>
              </w:rPr>
            </w:pPr>
            <w:r>
              <w:rPr>
                <w:lang w:val="en-AU"/>
              </w:rPr>
              <w:t>32</w:t>
            </w:r>
          </w:p>
        </w:tc>
        <w:tc>
          <w:tcPr>
            <w:tcW w:w="576" w:type="dxa"/>
          </w:tcPr>
          <w:p w14:paraId="77DA36B5" w14:textId="05DFD14A" w:rsidR="001D1E1C" w:rsidRDefault="001D1E1C" w:rsidP="000E289F">
            <w:pPr>
              <w:pStyle w:val="Tablecondensed"/>
              <w:rPr>
                <w:lang w:val="en-AU"/>
              </w:rPr>
            </w:pPr>
            <w:r>
              <w:rPr>
                <w:lang w:val="en-AU"/>
              </w:rPr>
              <w:t>32</w:t>
            </w:r>
          </w:p>
        </w:tc>
        <w:tc>
          <w:tcPr>
            <w:tcW w:w="576" w:type="dxa"/>
          </w:tcPr>
          <w:p w14:paraId="1A7C2785" w14:textId="5A707E80" w:rsidR="001D1E1C" w:rsidRPr="00141A4D" w:rsidRDefault="001D1E1C" w:rsidP="000E289F">
            <w:pPr>
              <w:pStyle w:val="Tablecondensed"/>
              <w:rPr>
                <w:lang w:val="en-AU"/>
              </w:rPr>
            </w:pPr>
            <w:r>
              <w:rPr>
                <w:lang w:val="en-AU"/>
              </w:rPr>
              <w:t>18</w:t>
            </w:r>
          </w:p>
        </w:tc>
        <w:tc>
          <w:tcPr>
            <w:tcW w:w="864" w:type="dxa"/>
          </w:tcPr>
          <w:p w14:paraId="2804E1A0" w14:textId="39D165FE" w:rsidR="001D1E1C" w:rsidRPr="00141A4D" w:rsidRDefault="001D1E1C" w:rsidP="000E289F">
            <w:pPr>
              <w:pStyle w:val="Tablecondensed"/>
              <w:rPr>
                <w:lang w:val="en-AU"/>
              </w:rPr>
            </w:pPr>
            <w:r>
              <w:rPr>
                <w:lang w:val="en-AU"/>
              </w:rPr>
              <w:t>3.4</w:t>
            </w:r>
          </w:p>
        </w:tc>
      </w:tr>
    </w:tbl>
    <w:p w14:paraId="65F89E60" w14:textId="103E7E87" w:rsidR="008C207E" w:rsidRDefault="00315121" w:rsidP="001D1E1C">
      <w:pPr>
        <w:pStyle w:val="BodyText"/>
      </w:pPr>
      <w:r>
        <w:t>Student</w:t>
      </w:r>
      <w:r w:rsidRPr="63237150">
        <w:t xml:space="preserve">s </w:t>
      </w:r>
      <w:r w:rsidR="00031B11" w:rsidRPr="63237150">
        <w:t xml:space="preserve">were required to </w:t>
      </w:r>
      <w:r w:rsidR="00031B11" w:rsidRPr="005A6BA1">
        <w:t>discuss</w:t>
      </w:r>
      <w:r w:rsidR="00031B11" w:rsidRPr="001D1E1C">
        <w:t xml:space="preserve"> h</w:t>
      </w:r>
      <w:r w:rsidR="00031B11" w:rsidRPr="63237150">
        <w:t xml:space="preserve">ow the construction of one representation in their chosen media narrative reflects or challenges one view or value held in the society in which it was produced. Responses </w:t>
      </w:r>
      <w:r w:rsidR="008C207E">
        <w:t xml:space="preserve">required an understanding </w:t>
      </w:r>
      <w:r w:rsidR="008C207E" w:rsidRPr="63237150">
        <w:t xml:space="preserve">of the construction of </w:t>
      </w:r>
      <w:r w:rsidR="008C207E">
        <w:t>m</w:t>
      </w:r>
      <w:r w:rsidR="008C207E" w:rsidRPr="63237150">
        <w:t xml:space="preserve">edia narratives and </w:t>
      </w:r>
      <w:r w:rsidR="008C207E">
        <w:t>m</w:t>
      </w:r>
      <w:r w:rsidR="008C207E" w:rsidRPr="63237150">
        <w:t xml:space="preserve">edia contexts as defined </w:t>
      </w:r>
      <w:r w:rsidR="008C207E">
        <w:t xml:space="preserve">in the </w:t>
      </w:r>
      <w:hyperlink r:id="rId9" w:history="1">
        <w:r w:rsidR="008C207E" w:rsidRPr="00D968A3">
          <w:rPr>
            <w:rStyle w:val="Hyperlink"/>
          </w:rPr>
          <w:t>VCE Media Study Design</w:t>
        </w:r>
      </w:hyperlink>
      <w:r w:rsidR="008C207E" w:rsidRPr="0035746B">
        <w:rPr>
          <w:rStyle w:val="Emphasis"/>
        </w:rPr>
        <w:t>.</w:t>
      </w:r>
      <w:r w:rsidR="008C207E">
        <w:t xml:space="preserve"> </w:t>
      </w:r>
    </w:p>
    <w:p w14:paraId="17669A19" w14:textId="66714B13" w:rsidR="008C207E" w:rsidRPr="005A6BA1" w:rsidRDefault="00D35016" w:rsidP="00B83F42">
      <w:pPr>
        <w:pStyle w:val="BodyText"/>
      </w:pPr>
      <w:r>
        <w:t>Successful</w:t>
      </w:r>
      <w:r w:rsidR="008C207E">
        <w:t xml:space="preserve"> responses included one </w:t>
      </w:r>
      <w:r w:rsidR="00031B11" w:rsidRPr="63237150">
        <w:t>specific representation</w:t>
      </w:r>
      <w:r w:rsidR="008C207E" w:rsidRPr="005A6BA1">
        <w:t xml:space="preserve"> in a chosen media narrative such as character, setting or idea; </w:t>
      </w:r>
      <w:r w:rsidR="00031B11" w:rsidRPr="63237150">
        <w:t>the society and time of production</w:t>
      </w:r>
      <w:r w:rsidR="0035746B">
        <w:t>;</w:t>
      </w:r>
      <w:r w:rsidR="00031B11" w:rsidRPr="63237150">
        <w:t xml:space="preserve"> a specific view or value fro</w:t>
      </w:r>
      <w:r w:rsidR="00D61CE3" w:rsidRPr="63237150">
        <w:t>m</w:t>
      </w:r>
      <w:r w:rsidR="00031B11" w:rsidRPr="63237150">
        <w:t xml:space="preserve"> th</w:t>
      </w:r>
      <w:r w:rsidR="008C207E">
        <w:t>at</w:t>
      </w:r>
      <w:r w:rsidR="00031B11" w:rsidRPr="63237150">
        <w:t xml:space="preserve"> society</w:t>
      </w:r>
      <w:r w:rsidR="0035746B">
        <w:t>;</w:t>
      </w:r>
      <w:r w:rsidR="00031B11" w:rsidRPr="63237150">
        <w:t xml:space="preserve"> whether the representation reflected or challenged it</w:t>
      </w:r>
      <w:r w:rsidR="0035746B">
        <w:t>;</w:t>
      </w:r>
      <w:r w:rsidR="00031B11" w:rsidRPr="63237150">
        <w:t xml:space="preserve"> and how the representation was constructed through </w:t>
      </w:r>
      <w:r w:rsidR="001D1E1C">
        <w:t>m</w:t>
      </w:r>
      <w:r w:rsidR="2122486E" w:rsidRPr="63237150">
        <w:t xml:space="preserve">edia </w:t>
      </w:r>
      <w:r w:rsidR="00031B11" w:rsidRPr="63237150">
        <w:t xml:space="preserve">codes and </w:t>
      </w:r>
      <w:r w:rsidR="00B026D0">
        <w:t xml:space="preserve">narrative </w:t>
      </w:r>
      <w:r w:rsidR="00031B11" w:rsidRPr="63237150">
        <w:t>conventions</w:t>
      </w:r>
      <w:r w:rsidR="00031B11" w:rsidRPr="00090777">
        <w:t>.</w:t>
      </w:r>
      <w:r w:rsidR="00031B11" w:rsidRPr="63237150">
        <w:t xml:space="preserve"> </w:t>
      </w:r>
    </w:p>
    <w:p w14:paraId="06352A3D" w14:textId="215F758C" w:rsidR="00031B11" w:rsidRPr="005A6BA1" w:rsidRDefault="00031B11" w:rsidP="005A6BA1">
      <w:pPr>
        <w:pStyle w:val="BodyText"/>
      </w:pPr>
      <w:r w:rsidRPr="005A6BA1">
        <w:t xml:space="preserve">High-scoring responses </w:t>
      </w:r>
      <w:r w:rsidR="00234B89">
        <w:t>include</w:t>
      </w:r>
      <w:r w:rsidRPr="005A6BA1">
        <w:t>d:</w:t>
      </w:r>
    </w:p>
    <w:p w14:paraId="5F24D549" w14:textId="68856730" w:rsidR="00031B11" w:rsidRPr="005A6BA1" w:rsidRDefault="00D968A3" w:rsidP="005A6BA1">
      <w:pPr>
        <w:pStyle w:val="Bullet"/>
      </w:pPr>
      <w:r>
        <w:t>c</w:t>
      </w:r>
      <w:r w:rsidR="00031B11" w:rsidRPr="005A6BA1">
        <w:t xml:space="preserve">lear identification of a representation, which could </w:t>
      </w:r>
      <w:r w:rsidR="00D61CE3" w:rsidRPr="005A6BA1">
        <w:t>include</w:t>
      </w:r>
      <w:r w:rsidR="00031B11" w:rsidRPr="005A6BA1">
        <w:t xml:space="preserve"> a character</w:t>
      </w:r>
      <w:r w:rsidR="00D61CE3" w:rsidRPr="005A6BA1">
        <w:t xml:space="preserve"> (e.g. the working-class mother)</w:t>
      </w:r>
      <w:r w:rsidR="00031B11" w:rsidRPr="005A6BA1">
        <w:t xml:space="preserve">, </w:t>
      </w:r>
      <w:r w:rsidR="00D61CE3" w:rsidRPr="005A6BA1">
        <w:t>setting (e.g. suburban America) or idea (e.g. the American Dream)</w:t>
      </w:r>
    </w:p>
    <w:p w14:paraId="61043889" w14:textId="60D4864F" w:rsidR="00AD0455" w:rsidRDefault="00D968A3" w:rsidP="00C10A8C">
      <w:pPr>
        <w:pStyle w:val="Bullet"/>
      </w:pPr>
      <w:r>
        <w:t>u</w:t>
      </w:r>
      <w:r w:rsidR="1276B783" w:rsidRPr="005A6BA1">
        <w:t>nderstanding</w:t>
      </w:r>
      <w:r w:rsidR="0072616A" w:rsidRPr="005A6BA1">
        <w:t xml:space="preserve"> </w:t>
      </w:r>
      <w:r w:rsidR="00047274">
        <w:t xml:space="preserve">of </w:t>
      </w:r>
      <w:r w:rsidR="0072616A" w:rsidRPr="005A6BA1">
        <w:t xml:space="preserve">how the representation was constructed through specific codes and </w:t>
      </w:r>
      <w:r w:rsidR="009D74E8" w:rsidRPr="005A6BA1">
        <w:t>conventions</w:t>
      </w:r>
    </w:p>
    <w:p w14:paraId="382BC2B0" w14:textId="543177CA" w:rsidR="0072616A" w:rsidRPr="005A6BA1" w:rsidRDefault="00D968A3" w:rsidP="005A6BA1">
      <w:pPr>
        <w:pStyle w:val="Bullet"/>
      </w:pPr>
      <w:r>
        <w:t>c</w:t>
      </w:r>
      <w:r w:rsidR="0072616A" w:rsidRPr="005A6BA1">
        <w:t>lear understanding of a specific view or value from the time and society of the production, and explanation of how the representation reflects or chall</w:t>
      </w:r>
      <w:r w:rsidR="008F7A4F" w:rsidRPr="005A6BA1">
        <w:t>e</w:t>
      </w:r>
      <w:r w:rsidR="0072616A" w:rsidRPr="005A6BA1">
        <w:t xml:space="preserve">nges it (e.g. </w:t>
      </w:r>
      <w:r w:rsidR="005C6F9E" w:rsidRPr="005A6BA1">
        <w:t>‘</w:t>
      </w:r>
      <w:r w:rsidR="0072616A" w:rsidRPr="005A6BA1">
        <w:t xml:space="preserve">In 1950s America, dominant ideology promoted women’s primary role as homemakers. The narrative reflects this view </w:t>
      </w:r>
      <w:r w:rsidR="008F7A4F" w:rsidRPr="005A6BA1">
        <w:t>b</w:t>
      </w:r>
      <w:r w:rsidR="0072616A" w:rsidRPr="005A6BA1">
        <w:t>y showing the mother finding fulfilment only through family</w:t>
      </w:r>
      <w:r w:rsidR="005C6F9E" w:rsidRPr="005A6BA1">
        <w:t>’</w:t>
      </w:r>
      <w:r w:rsidR="0072616A" w:rsidRPr="005A6BA1">
        <w:t>)</w:t>
      </w:r>
      <w:r w:rsidR="00234B89">
        <w:t>.</w:t>
      </w:r>
    </w:p>
    <w:p w14:paraId="245352B6" w14:textId="08CD5A3A" w:rsidR="0072616A" w:rsidRPr="005A6BA1" w:rsidRDefault="0072616A" w:rsidP="005A6BA1">
      <w:pPr>
        <w:pStyle w:val="BodyText"/>
      </w:pPr>
      <w:r w:rsidRPr="005A6BA1">
        <w:t xml:space="preserve">Common errors </w:t>
      </w:r>
      <w:r w:rsidR="0056579D">
        <w:t>included</w:t>
      </w:r>
      <w:r w:rsidRPr="005A6BA1">
        <w:t>:</w:t>
      </w:r>
    </w:p>
    <w:p w14:paraId="5860E9C8" w14:textId="490B0E61" w:rsidR="00031B11" w:rsidRPr="005A6BA1" w:rsidRDefault="00D968A3" w:rsidP="005A6BA1">
      <w:pPr>
        <w:pStyle w:val="Bullet"/>
      </w:pPr>
      <w:r>
        <w:t>b</w:t>
      </w:r>
      <w:r w:rsidR="0072616A" w:rsidRPr="005A6BA1">
        <w:t>eing too vague about views or values</w:t>
      </w:r>
      <w:r w:rsidR="5BA09566" w:rsidRPr="005A6BA1">
        <w:t xml:space="preserve"> </w:t>
      </w:r>
    </w:p>
    <w:p w14:paraId="1FD14E09" w14:textId="483378A1" w:rsidR="0072616A" w:rsidRPr="005A6BA1" w:rsidRDefault="00D968A3" w:rsidP="005A6BA1">
      <w:pPr>
        <w:pStyle w:val="Bullet"/>
      </w:pPr>
      <w:r>
        <w:t>d</w:t>
      </w:r>
      <w:r w:rsidR="0072616A" w:rsidRPr="005A6BA1">
        <w:t>iscussing general themes rather than specific representations</w:t>
      </w:r>
    </w:p>
    <w:p w14:paraId="37D330A0" w14:textId="79A786B6" w:rsidR="0072616A" w:rsidRPr="005A6BA1" w:rsidRDefault="00D968A3" w:rsidP="005A6BA1">
      <w:pPr>
        <w:pStyle w:val="Bullet"/>
      </w:pPr>
      <w:r>
        <w:t>f</w:t>
      </w:r>
      <w:r w:rsidR="008F7A4F" w:rsidRPr="005A6BA1">
        <w:t xml:space="preserve">ocusing too much on </w:t>
      </w:r>
      <w:r w:rsidR="008F7A4F" w:rsidRPr="00234B89">
        <w:rPr>
          <w:rStyle w:val="Bold"/>
        </w:rPr>
        <w:t>either</w:t>
      </w:r>
      <w:r w:rsidR="008F7A4F" w:rsidRPr="005A6BA1">
        <w:t xml:space="preserve"> the representation </w:t>
      </w:r>
      <w:r w:rsidR="00234B89" w:rsidRPr="00234B89">
        <w:rPr>
          <w:rStyle w:val="Bold"/>
        </w:rPr>
        <w:t>or</w:t>
      </w:r>
      <w:r w:rsidR="008F7A4F" w:rsidRPr="005A6BA1">
        <w:t xml:space="preserve"> the view/value without balancing both</w:t>
      </w:r>
      <w:r w:rsidR="00AD0455">
        <w:t>;</w:t>
      </w:r>
      <w:r w:rsidR="00E050DC" w:rsidRPr="005A6BA1">
        <w:t xml:space="preserve"> </w:t>
      </w:r>
      <w:r w:rsidR="008F7A4F" w:rsidRPr="005A6BA1">
        <w:t xml:space="preserve">for example, describing the representation in detail </w:t>
      </w:r>
      <w:r w:rsidR="00AD0455">
        <w:t>but</w:t>
      </w:r>
      <w:r w:rsidR="584B60E5" w:rsidRPr="005A6BA1">
        <w:t xml:space="preserve"> providing an outline of </w:t>
      </w:r>
      <w:r w:rsidR="008F7A4F" w:rsidRPr="005A6BA1">
        <w:t>the view/value, or discussing the historical context at length without analysing the representation itself.</w:t>
      </w:r>
    </w:p>
    <w:p w14:paraId="35C105E0" w14:textId="1BFFE4B4" w:rsidR="008F7A4F" w:rsidRPr="005A6BA1" w:rsidRDefault="00B026D0" w:rsidP="005A6BA1">
      <w:pPr>
        <w:pStyle w:val="BodyText"/>
      </w:pPr>
      <w:r>
        <w:t>The following is an example of a high-scoring</w:t>
      </w:r>
      <w:r w:rsidR="00324565" w:rsidRPr="005A6BA1">
        <w:t xml:space="preserve"> </w:t>
      </w:r>
      <w:r w:rsidR="00AD0455">
        <w:t>r</w:t>
      </w:r>
      <w:r w:rsidR="00324565" w:rsidRPr="005A6BA1">
        <w:t>esponse:</w:t>
      </w:r>
    </w:p>
    <w:p w14:paraId="304F2A83" w14:textId="2584FBAD" w:rsidR="00D96A4C" w:rsidRPr="005A6BA1" w:rsidRDefault="00D96A4C" w:rsidP="005A6BA1">
      <w:pPr>
        <w:pStyle w:val="Studentsample"/>
      </w:pPr>
      <w:r w:rsidRPr="005A6BA1">
        <w:t xml:space="preserve">The construction of the representation of refugees/immigrants in </w:t>
      </w:r>
      <w:r w:rsidRPr="00635AB1">
        <w:t>Children of Men</w:t>
      </w:r>
      <w:r w:rsidRPr="005A6BA1">
        <w:t xml:space="preserve"> strongly challenges the dominant views society held at the time of 2006. During the early 2000s in England, xenophobia was a highly prevalent value due to events like 9/11 and the London 7/7 bombings that both incited widespread surrounding the </w:t>
      </w:r>
      <w:r w:rsidR="005C6F9E" w:rsidRPr="005A6BA1">
        <w:t>‘</w:t>
      </w:r>
      <w:r w:rsidRPr="005A6BA1">
        <w:t>war on terror</w:t>
      </w:r>
      <w:r w:rsidR="005C6F9E" w:rsidRPr="005A6BA1">
        <w:t>’</w:t>
      </w:r>
      <w:r w:rsidRPr="005A6BA1">
        <w:t xml:space="preserve">. However, in the film Cuarón portrays refugees represented as a highly sympathetic and open minded one. This is evident in the representation of the immigrants in Bexhill Detention Centre where, as the camera follows Theo through the camp in an extended one take, for a moment the camera strays from Theo, lingering in a high angle on a mother in the camp holding the deceased body of her son as she cries in grief. This up close, intimate and highly confrontational imagery of refugees as people to be empathised with, people with families and connections, was highly juxtaposing of 2006 apathy towards treatment of immigrants. </w:t>
      </w:r>
    </w:p>
    <w:p w14:paraId="7D58540A" w14:textId="77777777" w:rsidR="004F6214" w:rsidRDefault="004F6214" w:rsidP="004F6214">
      <w:pPr>
        <w:pStyle w:val="BodyText"/>
      </w:pPr>
      <w:r>
        <w:br w:type="page"/>
      </w:r>
    </w:p>
    <w:p w14:paraId="5C3AF106" w14:textId="513BC744" w:rsidR="008F7A4F" w:rsidRPr="005A6BA1" w:rsidRDefault="008F7A4F" w:rsidP="000E289F">
      <w:pPr>
        <w:pStyle w:val="Heading2"/>
      </w:pPr>
      <w:r w:rsidRPr="005A6BA1">
        <w:t xml:space="preserve">Question 3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864"/>
      </w:tblGrid>
      <w:tr w:rsidR="00AD0455" w:rsidRPr="00141A4D" w14:paraId="396BD28D" w14:textId="77777777" w:rsidTr="0063752C">
        <w:trPr>
          <w:cnfStyle w:val="100000000000" w:firstRow="1" w:lastRow="0" w:firstColumn="0" w:lastColumn="0" w:oddVBand="0" w:evenVBand="0" w:oddHBand="0" w:evenHBand="0" w:firstRowFirstColumn="0" w:firstRowLastColumn="0" w:lastRowFirstColumn="0" w:lastRowLastColumn="0"/>
        </w:trPr>
        <w:tc>
          <w:tcPr>
            <w:tcW w:w="599" w:type="dxa"/>
          </w:tcPr>
          <w:p w14:paraId="416473E7" w14:textId="77777777" w:rsidR="00AD0455" w:rsidRPr="00141A4D" w:rsidRDefault="00AD0455" w:rsidP="000E289F">
            <w:pPr>
              <w:pStyle w:val="Tablecondensedheading"/>
              <w:rPr>
                <w:lang w:val="en-AU"/>
              </w:rPr>
            </w:pPr>
            <w:r w:rsidRPr="00141A4D">
              <w:rPr>
                <w:lang w:val="en-AU"/>
              </w:rPr>
              <w:t>Mark</w:t>
            </w:r>
          </w:p>
        </w:tc>
        <w:tc>
          <w:tcPr>
            <w:tcW w:w="576" w:type="dxa"/>
          </w:tcPr>
          <w:p w14:paraId="45BF3B9C" w14:textId="77777777" w:rsidR="00AD0455" w:rsidRPr="00141A4D" w:rsidRDefault="00AD0455" w:rsidP="000E289F">
            <w:pPr>
              <w:pStyle w:val="Tablecondensedheading"/>
              <w:rPr>
                <w:lang w:val="en-AU"/>
              </w:rPr>
            </w:pPr>
            <w:r w:rsidRPr="00141A4D">
              <w:rPr>
                <w:lang w:val="en-AU"/>
              </w:rPr>
              <w:t>0</w:t>
            </w:r>
          </w:p>
        </w:tc>
        <w:tc>
          <w:tcPr>
            <w:tcW w:w="576" w:type="dxa"/>
          </w:tcPr>
          <w:p w14:paraId="545EAF94" w14:textId="77777777" w:rsidR="00AD0455" w:rsidRPr="00141A4D" w:rsidRDefault="00AD0455" w:rsidP="000E289F">
            <w:pPr>
              <w:pStyle w:val="Tablecondensedheading"/>
              <w:rPr>
                <w:lang w:val="en-AU"/>
              </w:rPr>
            </w:pPr>
            <w:r w:rsidRPr="00141A4D">
              <w:rPr>
                <w:lang w:val="en-AU"/>
              </w:rPr>
              <w:t>1</w:t>
            </w:r>
          </w:p>
        </w:tc>
        <w:tc>
          <w:tcPr>
            <w:tcW w:w="576" w:type="dxa"/>
          </w:tcPr>
          <w:p w14:paraId="4F82ADC9" w14:textId="77777777" w:rsidR="00AD0455" w:rsidRPr="00141A4D" w:rsidRDefault="00AD0455" w:rsidP="000E289F">
            <w:pPr>
              <w:pStyle w:val="Tablecondensedheading"/>
              <w:rPr>
                <w:lang w:val="en-AU"/>
              </w:rPr>
            </w:pPr>
            <w:r w:rsidRPr="00141A4D">
              <w:rPr>
                <w:lang w:val="en-AU"/>
              </w:rPr>
              <w:t>2</w:t>
            </w:r>
          </w:p>
        </w:tc>
        <w:tc>
          <w:tcPr>
            <w:tcW w:w="576" w:type="dxa"/>
          </w:tcPr>
          <w:p w14:paraId="6351DCDF" w14:textId="77777777" w:rsidR="00AD0455" w:rsidRPr="00141A4D" w:rsidRDefault="00AD0455" w:rsidP="000E289F">
            <w:pPr>
              <w:pStyle w:val="Tablecondensedheading"/>
              <w:rPr>
                <w:lang w:val="en-AU"/>
              </w:rPr>
            </w:pPr>
            <w:r>
              <w:rPr>
                <w:lang w:val="en-AU"/>
              </w:rPr>
              <w:t>3</w:t>
            </w:r>
          </w:p>
        </w:tc>
        <w:tc>
          <w:tcPr>
            <w:tcW w:w="576" w:type="dxa"/>
          </w:tcPr>
          <w:p w14:paraId="56934395" w14:textId="77777777" w:rsidR="00AD0455" w:rsidRPr="00141A4D" w:rsidRDefault="00AD0455" w:rsidP="000E289F">
            <w:pPr>
              <w:pStyle w:val="Tablecondensedheading"/>
              <w:rPr>
                <w:lang w:val="en-AU"/>
              </w:rPr>
            </w:pPr>
            <w:r>
              <w:rPr>
                <w:lang w:val="en-AU"/>
              </w:rPr>
              <w:t>4</w:t>
            </w:r>
          </w:p>
        </w:tc>
        <w:tc>
          <w:tcPr>
            <w:tcW w:w="576" w:type="dxa"/>
          </w:tcPr>
          <w:p w14:paraId="3F8DA8C7" w14:textId="1614BB4E" w:rsidR="00AD0455" w:rsidRDefault="00AB7532" w:rsidP="000E289F">
            <w:pPr>
              <w:pStyle w:val="Tablecondensedheading"/>
              <w:rPr>
                <w:lang w:val="en-AU"/>
              </w:rPr>
            </w:pPr>
            <w:r>
              <w:rPr>
                <w:lang w:val="en-AU"/>
              </w:rPr>
              <w:t>5</w:t>
            </w:r>
          </w:p>
        </w:tc>
        <w:tc>
          <w:tcPr>
            <w:tcW w:w="576" w:type="dxa"/>
          </w:tcPr>
          <w:p w14:paraId="6944CC34" w14:textId="54C0AC3A" w:rsidR="00AD0455" w:rsidRDefault="00AB7532" w:rsidP="000E289F">
            <w:pPr>
              <w:pStyle w:val="Tablecondensedheading"/>
              <w:rPr>
                <w:lang w:val="en-AU"/>
              </w:rPr>
            </w:pPr>
            <w:r>
              <w:rPr>
                <w:lang w:val="en-AU"/>
              </w:rPr>
              <w:t>6</w:t>
            </w:r>
          </w:p>
        </w:tc>
        <w:tc>
          <w:tcPr>
            <w:tcW w:w="576" w:type="dxa"/>
          </w:tcPr>
          <w:p w14:paraId="28F29DD1" w14:textId="64D1AB6B" w:rsidR="00AD0455" w:rsidRDefault="00AB7532" w:rsidP="000E289F">
            <w:pPr>
              <w:pStyle w:val="Tablecondensedheading"/>
              <w:rPr>
                <w:lang w:val="en-AU"/>
              </w:rPr>
            </w:pPr>
            <w:r>
              <w:rPr>
                <w:lang w:val="en-AU"/>
              </w:rPr>
              <w:t>7</w:t>
            </w:r>
          </w:p>
        </w:tc>
        <w:tc>
          <w:tcPr>
            <w:tcW w:w="576" w:type="dxa"/>
          </w:tcPr>
          <w:p w14:paraId="6A948C89" w14:textId="73910BAE" w:rsidR="00AD0455" w:rsidRPr="00141A4D" w:rsidRDefault="00AB7532" w:rsidP="000E289F">
            <w:pPr>
              <w:pStyle w:val="Tablecondensedheading"/>
              <w:rPr>
                <w:lang w:val="en-AU"/>
              </w:rPr>
            </w:pPr>
            <w:r>
              <w:rPr>
                <w:lang w:val="en-AU"/>
              </w:rPr>
              <w:t>8</w:t>
            </w:r>
          </w:p>
        </w:tc>
        <w:tc>
          <w:tcPr>
            <w:tcW w:w="864" w:type="dxa"/>
          </w:tcPr>
          <w:p w14:paraId="5FE042B4" w14:textId="77777777" w:rsidR="00AD0455" w:rsidRPr="00141A4D" w:rsidRDefault="00AD0455" w:rsidP="000E289F">
            <w:pPr>
              <w:pStyle w:val="Tablecondensedheading"/>
              <w:rPr>
                <w:lang w:val="en-AU"/>
              </w:rPr>
            </w:pPr>
            <w:r w:rsidRPr="00141A4D">
              <w:rPr>
                <w:lang w:val="en-AU"/>
              </w:rPr>
              <w:t>Average</w:t>
            </w:r>
          </w:p>
        </w:tc>
      </w:tr>
      <w:tr w:rsidR="00AD0455" w:rsidRPr="00141A4D" w14:paraId="0C5B483E" w14:textId="77777777" w:rsidTr="0063752C">
        <w:tc>
          <w:tcPr>
            <w:tcW w:w="599" w:type="dxa"/>
          </w:tcPr>
          <w:p w14:paraId="787938EC" w14:textId="77777777" w:rsidR="00AD0455" w:rsidRPr="00141A4D" w:rsidRDefault="00AD0455" w:rsidP="000E289F">
            <w:pPr>
              <w:pStyle w:val="Tablecondensed"/>
              <w:rPr>
                <w:lang w:val="en-AU"/>
              </w:rPr>
            </w:pPr>
            <w:r w:rsidRPr="00141A4D">
              <w:rPr>
                <w:lang w:val="en-AU"/>
              </w:rPr>
              <w:t>%</w:t>
            </w:r>
          </w:p>
        </w:tc>
        <w:tc>
          <w:tcPr>
            <w:tcW w:w="576" w:type="dxa"/>
          </w:tcPr>
          <w:p w14:paraId="5D899D6F" w14:textId="7EAE6070" w:rsidR="00AD0455" w:rsidRPr="00141A4D" w:rsidRDefault="00AB7532" w:rsidP="000E289F">
            <w:pPr>
              <w:pStyle w:val="Tablecondensed"/>
              <w:rPr>
                <w:lang w:val="en-AU"/>
              </w:rPr>
            </w:pPr>
            <w:r>
              <w:rPr>
                <w:lang w:val="en-AU"/>
              </w:rPr>
              <w:t>3</w:t>
            </w:r>
          </w:p>
        </w:tc>
        <w:tc>
          <w:tcPr>
            <w:tcW w:w="576" w:type="dxa"/>
          </w:tcPr>
          <w:p w14:paraId="03699427" w14:textId="59348E7C" w:rsidR="00AD0455" w:rsidRPr="00141A4D" w:rsidRDefault="00AB7532" w:rsidP="000E289F">
            <w:pPr>
              <w:pStyle w:val="Tablecondensed"/>
              <w:rPr>
                <w:lang w:val="en-AU"/>
              </w:rPr>
            </w:pPr>
            <w:r>
              <w:rPr>
                <w:lang w:val="en-AU"/>
              </w:rPr>
              <w:t>2</w:t>
            </w:r>
          </w:p>
        </w:tc>
        <w:tc>
          <w:tcPr>
            <w:tcW w:w="576" w:type="dxa"/>
          </w:tcPr>
          <w:p w14:paraId="04655412" w14:textId="158BCAC7" w:rsidR="00AD0455" w:rsidRPr="00141A4D" w:rsidRDefault="00AB7532" w:rsidP="000E289F">
            <w:pPr>
              <w:pStyle w:val="Tablecondensed"/>
              <w:rPr>
                <w:lang w:val="en-AU"/>
              </w:rPr>
            </w:pPr>
            <w:r>
              <w:rPr>
                <w:lang w:val="en-AU"/>
              </w:rPr>
              <w:t>6</w:t>
            </w:r>
          </w:p>
        </w:tc>
        <w:tc>
          <w:tcPr>
            <w:tcW w:w="576" w:type="dxa"/>
          </w:tcPr>
          <w:p w14:paraId="3E56D6FC" w14:textId="4B3A11AC" w:rsidR="00AD0455" w:rsidRDefault="00AB7532" w:rsidP="000E289F">
            <w:pPr>
              <w:pStyle w:val="Tablecondensed"/>
              <w:rPr>
                <w:lang w:val="en-AU"/>
              </w:rPr>
            </w:pPr>
            <w:r>
              <w:rPr>
                <w:lang w:val="en-AU"/>
              </w:rPr>
              <w:t>10</w:t>
            </w:r>
          </w:p>
        </w:tc>
        <w:tc>
          <w:tcPr>
            <w:tcW w:w="576" w:type="dxa"/>
          </w:tcPr>
          <w:p w14:paraId="24824DFA" w14:textId="3C5B3182" w:rsidR="00AD0455" w:rsidRDefault="00AB7532" w:rsidP="000E289F">
            <w:pPr>
              <w:pStyle w:val="Tablecondensed"/>
              <w:rPr>
                <w:lang w:val="en-AU"/>
              </w:rPr>
            </w:pPr>
            <w:r>
              <w:rPr>
                <w:lang w:val="en-AU"/>
              </w:rPr>
              <w:t>20</w:t>
            </w:r>
          </w:p>
        </w:tc>
        <w:tc>
          <w:tcPr>
            <w:tcW w:w="576" w:type="dxa"/>
          </w:tcPr>
          <w:p w14:paraId="2291EB91" w14:textId="1335BA2A" w:rsidR="00AD0455" w:rsidRDefault="00AB7532" w:rsidP="000E289F">
            <w:pPr>
              <w:pStyle w:val="Tablecondensed"/>
              <w:rPr>
                <w:lang w:val="en-AU"/>
              </w:rPr>
            </w:pPr>
            <w:r>
              <w:rPr>
                <w:lang w:val="en-AU"/>
              </w:rPr>
              <w:t>20</w:t>
            </w:r>
          </w:p>
        </w:tc>
        <w:tc>
          <w:tcPr>
            <w:tcW w:w="576" w:type="dxa"/>
          </w:tcPr>
          <w:p w14:paraId="2B1BAF84" w14:textId="1C41C5A6" w:rsidR="00AD0455" w:rsidRDefault="00AB7532" w:rsidP="000E289F">
            <w:pPr>
              <w:pStyle w:val="Tablecondensed"/>
              <w:rPr>
                <w:lang w:val="en-AU"/>
              </w:rPr>
            </w:pPr>
            <w:r>
              <w:rPr>
                <w:lang w:val="en-AU"/>
              </w:rPr>
              <w:t>19</w:t>
            </w:r>
          </w:p>
        </w:tc>
        <w:tc>
          <w:tcPr>
            <w:tcW w:w="576" w:type="dxa"/>
          </w:tcPr>
          <w:p w14:paraId="6C607E84" w14:textId="2EAF5A6D" w:rsidR="00AD0455" w:rsidRDefault="00AB7532" w:rsidP="000E289F">
            <w:pPr>
              <w:pStyle w:val="Tablecondensed"/>
              <w:rPr>
                <w:lang w:val="en-AU"/>
              </w:rPr>
            </w:pPr>
            <w:r>
              <w:rPr>
                <w:lang w:val="en-AU"/>
              </w:rPr>
              <w:t>14</w:t>
            </w:r>
          </w:p>
        </w:tc>
        <w:tc>
          <w:tcPr>
            <w:tcW w:w="576" w:type="dxa"/>
          </w:tcPr>
          <w:p w14:paraId="35F62DC9" w14:textId="096A8853" w:rsidR="00AD0455" w:rsidRPr="00141A4D" w:rsidRDefault="00AB7532" w:rsidP="000E289F">
            <w:pPr>
              <w:pStyle w:val="Tablecondensed"/>
              <w:rPr>
                <w:lang w:val="en-AU"/>
              </w:rPr>
            </w:pPr>
            <w:r>
              <w:rPr>
                <w:lang w:val="en-AU"/>
              </w:rPr>
              <w:t>6</w:t>
            </w:r>
          </w:p>
        </w:tc>
        <w:tc>
          <w:tcPr>
            <w:tcW w:w="864" w:type="dxa"/>
          </w:tcPr>
          <w:p w14:paraId="40475A2D" w14:textId="22A2F580" w:rsidR="00AD0455" w:rsidRPr="00141A4D" w:rsidRDefault="00AB7532" w:rsidP="000E289F">
            <w:pPr>
              <w:pStyle w:val="Tablecondensed"/>
              <w:rPr>
                <w:lang w:val="en-AU"/>
              </w:rPr>
            </w:pPr>
            <w:r>
              <w:rPr>
                <w:lang w:val="en-AU"/>
              </w:rPr>
              <w:t>4.9</w:t>
            </w:r>
          </w:p>
        </w:tc>
      </w:tr>
    </w:tbl>
    <w:p w14:paraId="40D0086B" w14:textId="364A10D1" w:rsidR="00AB7532" w:rsidRDefault="008F7A4F" w:rsidP="00AB7532">
      <w:pPr>
        <w:pStyle w:val="BodyText"/>
      </w:pPr>
      <w:r w:rsidRPr="63237150">
        <w:t xml:space="preserve">This question required </w:t>
      </w:r>
      <w:r w:rsidR="00315121">
        <w:t>students</w:t>
      </w:r>
      <w:r w:rsidR="00315121" w:rsidRPr="63237150">
        <w:t xml:space="preserve"> </w:t>
      </w:r>
      <w:r w:rsidRPr="63237150">
        <w:t xml:space="preserve">to </w:t>
      </w:r>
      <w:r w:rsidRPr="005A6BA1">
        <w:t xml:space="preserve">analyse </w:t>
      </w:r>
      <w:r w:rsidRPr="63237150">
        <w:t xml:space="preserve">how </w:t>
      </w:r>
      <w:r w:rsidR="00E050DC" w:rsidRPr="63237150">
        <w:t>audiences</w:t>
      </w:r>
      <w:r w:rsidRPr="63237150">
        <w:t xml:space="preserve"> from two different contexts may engage with or read an aspect of the media narrative. For this </w:t>
      </w:r>
      <w:r w:rsidR="3E5287E7" w:rsidRPr="63237150">
        <w:t>question,</w:t>
      </w:r>
      <w:r w:rsidRPr="63237150">
        <w:t xml:space="preserve"> responses needed to break down the different contextual components</w:t>
      </w:r>
      <w:r w:rsidR="00E050DC" w:rsidRPr="63237150">
        <w:t xml:space="preserve"> and explain the relationships between these contexts and how audiences interpreted the narrative.</w:t>
      </w:r>
      <w:r w:rsidR="00AB7532">
        <w:t xml:space="preserve"> </w:t>
      </w:r>
    </w:p>
    <w:p w14:paraId="46826692" w14:textId="6CCACEA6" w:rsidR="005D6E84" w:rsidRPr="005A6BA1" w:rsidRDefault="005D6E84" w:rsidP="005A6BA1">
      <w:pPr>
        <w:pStyle w:val="BodyText"/>
      </w:pPr>
      <w:r w:rsidRPr="005A6BA1">
        <w:t>Successful responses included</w:t>
      </w:r>
      <w:r w:rsidR="00AB7532">
        <w:t xml:space="preserve"> t</w:t>
      </w:r>
      <w:r w:rsidRPr="005A6BA1">
        <w:t>wo specific contexts</w:t>
      </w:r>
      <w:r w:rsidR="00AB7532">
        <w:t xml:space="preserve">, </w:t>
      </w:r>
      <w:r w:rsidR="1ED05373" w:rsidRPr="005A6BA1">
        <w:t xml:space="preserve">such as </w:t>
      </w:r>
      <w:r w:rsidRPr="005A6BA1">
        <w:t xml:space="preserve">two </w:t>
      </w:r>
      <w:r w:rsidR="46FC2A0B" w:rsidRPr="005A6BA1">
        <w:t xml:space="preserve">different </w:t>
      </w:r>
      <w:r w:rsidRPr="005A6BA1">
        <w:t>time periods</w:t>
      </w:r>
      <w:r w:rsidR="53191AB7" w:rsidRPr="005A6BA1">
        <w:t xml:space="preserve"> or </w:t>
      </w:r>
      <w:r w:rsidRPr="005A6BA1">
        <w:t>two cultural contexts</w:t>
      </w:r>
      <w:r w:rsidR="00AB7532">
        <w:t>; f</w:t>
      </w:r>
      <w:r w:rsidRPr="005A6BA1">
        <w:t xml:space="preserve">ocus on one aspect of the narrative </w:t>
      </w:r>
      <w:r w:rsidR="44A52FAE" w:rsidRPr="005A6BA1">
        <w:t xml:space="preserve">such as </w:t>
      </w:r>
      <w:r w:rsidRPr="005A6BA1">
        <w:t>a scene, sequence, character or representation</w:t>
      </w:r>
      <w:r w:rsidR="00AB7532">
        <w:t>; and h</w:t>
      </w:r>
      <w:r w:rsidRPr="005A6BA1">
        <w:t>ow each context shapes audience reading</w:t>
      </w:r>
      <w:r w:rsidR="3540E2D0" w:rsidRPr="005A6BA1">
        <w:t xml:space="preserve"> or engagement</w:t>
      </w:r>
      <w:r w:rsidR="00AB7532">
        <w:t>.</w:t>
      </w:r>
    </w:p>
    <w:p w14:paraId="13F318C5" w14:textId="70B24CA4" w:rsidR="00E050DC" w:rsidRPr="005A6BA1" w:rsidRDefault="00E050DC" w:rsidP="005A6BA1">
      <w:pPr>
        <w:pStyle w:val="BodyText"/>
      </w:pPr>
      <w:r w:rsidRPr="005A6BA1">
        <w:t xml:space="preserve">High-scoring responses </w:t>
      </w:r>
      <w:r w:rsidR="00234B89">
        <w:t>included</w:t>
      </w:r>
      <w:r w:rsidRPr="005A6BA1">
        <w:t>:</w:t>
      </w:r>
    </w:p>
    <w:p w14:paraId="536BE407" w14:textId="2AE7E63C" w:rsidR="00E050DC" w:rsidRPr="005A6BA1" w:rsidRDefault="00635AB1" w:rsidP="005A6BA1">
      <w:pPr>
        <w:pStyle w:val="Bullet"/>
      </w:pPr>
      <w:r>
        <w:t>i</w:t>
      </w:r>
      <w:r w:rsidR="00AB7532">
        <w:t>dentification of t</w:t>
      </w:r>
      <w:r w:rsidR="00E050DC" w:rsidRPr="005A6BA1">
        <w:t xml:space="preserve">wo specific contexts </w:t>
      </w:r>
      <w:r w:rsidR="0021311E">
        <w:t>and</w:t>
      </w:r>
      <w:r w:rsidR="008A1C5D">
        <w:t xml:space="preserve"> explanation of the key characteristics of each context that shape audience reception</w:t>
      </w:r>
      <w:r w:rsidR="00E050DC" w:rsidRPr="005A6BA1">
        <w:t xml:space="preserve">. </w:t>
      </w:r>
      <w:r w:rsidR="003D1682" w:rsidRPr="005A6BA1">
        <w:t xml:space="preserve">Examples </w:t>
      </w:r>
      <w:r w:rsidR="00BD1F9E">
        <w:t xml:space="preserve">could </w:t>
      </w:r>
      <w:r w:rsidR="003D1682" w:rsidRPr="005A6BA1">
        <w:t>include</w:t>
      </w:r>
      <w:r w:rsidR="00E050DC" w:rsidRPr="005A6BA1">
        <w:t xml:space="preserve"> </w:t>
      </w:r>
      <w:r w:rsidR="3F20BDE2" w:rsidRPr="005A6BA1">
        <w:t xml:space="preserve">an analysis of audiences from </w:t>
      </w:r>
      <w:r w:rsidR="00E050DC" w:rsidRPr="005A6BA1">
        <w:t xml:space="preserve">two different historical </w:t>
      </w:r>
      <w:r w:rsidR="6FCE88FC" w:rsidRPr="005A6BA1">
        <w:t xml:space="preserve">contexts </w:t>
      </w:r>
      <w:r w:rsidR="00E050DC" w:rsidRPr="005A6BA1">
        <w:t xml:space="preserve">(e.g. </w:t>
      </w:r>
      <w:r w:rsidR="005C6F9E" w:rsidRPr="005A6BA1">
        <w:t>‘</w:t>
      </w:r>
      <w:r w:rsidR="00E050DC" w:rsidRPr="005A6BA1">
        <w:t>audiences in 1975 vs audiences in 2025</w:t>
      </w:r>
      <w:r w:rsidR="005C6F9E" w:rsidRPr="005A6BA1">
        <w:t>’</w:t>
      </w:r>
      <w:r w:rsidR="00E050DC" w:rsidRPr="005A6BA1">
        <w:t>)</w:t>
      </w:r>
      <w:r w:rsidR="003D1682" w:rsidRPr="005A6BA1">
        <w:t xml:space="preserve">, different cultural contexts (e.g. </w:t>
      </w:r>
      <w:r w:rsidR="0035746B">
        <w:t>‘</w:t>
      </w:r>
      <w:r w:rsidR="003D1682" w:rsidRPr="005A6BA1">
        <w:t>Australian audiences vs South Korean audiences</w:t>
      </w:r>
      <w:r w:rsidR="0035746B">
        <w:t>’</w:t>
      </w:r>
      <w:r w:rsidR="003D1682" w:rsidRPr="005A6BA1">
        <w:t xml:space="preserve">), or through two different contexts altogether (e.g. </w:t>
      </w:r>
      <w:r w:rsidR="0035746B">
        <w:t>‘</w:t>
      </w:r>
      <w:r w:rsidR="003D1682" w:rsidRPr="005A6BA1">
        <w:t>American audiences immediately post 9/11 vs audiences viewing in a cinema during original release</w:t>
      </w:r>
      <w:r w:rsidR="0035746B">
        <w:t>’</w:t>
      </w:r>
      <w:r w:rsidR="003D1682" w:rsidRPr="005A6BA1">
        <w:t>)</w:t>
      </w:r>
    </w:p>
    <w:p w14:paraId="3D899158" w14:textId="1D6694FA" w:rsidR="003D1682" w:rsidRPr="005A6BA1" w:rsidRDefault="00635AB1" w:rsidP="005A6BA1">
      <w:pPr>
        <w:pStyle w:val="Bullet"/>
      </w:pPr>
      <w:r>
        <w:t>e</w:t>
      </w:r>
      <w:r w:rsidR="003D1682" w:rsidRPr="005A6BA1">
        <w:t>xplicit links between these contextual factors and the different ways audiences would engage with or r</w:t>
      </w:r>
      <w:r w:rsidR="0026544F" w:rsidRPr="005A6BA1">
        <w:t>e</w:t>
      </w:r>
      <w:r w:rsidR="003D1682" w:rsidRPr="005A6BA1">
        <w:t>ad a specific aspect of the t</w:t>
      </w:r>
      <w:r w:rsidR="0026544F" w:rsidRPr="005A6BA1">
        <w:t>ext by explain</w:t>
      </w:r>
      <w:r w:rsidR="00BD1F9E">
        <w:t>ing</w:t>
      </w:r>
      <w:r w:rsidR="0026544F" w:rsidRPr="005A6BA1">
        <w:t xml:space="preserve"> how context shapes reading of a particular scene, sequence, character or representation rather than the narrative generally (</w:t>
      </w:r>
      <w:r>
        <w:t>f</w:t>
      </w:r>
      <w:r w:rsidR="0035746B">
        <w:t>or example,</w:t>
      </w:r>
      <w:r w:rsidR="0026544F" w:rsidRPr="005A6BA1">
        <w:t xml:space="preserve"> </w:t>
      </w:r>
      <w:r w:rsidR="005C6F9E" w:rsidRPr="005A6BA1">
        <w:t>‘</w:t>
      </w:r>
      <w:r w:rsidR="0026544F" w:rsidRPr="005A6BA1">
        <w:t xml:space="preserve">American audiences in 2017 would read the auction scene in </w:t>
      </w:r>
      <w:r w:rsidR="0026544F" w:rsidRPr="005A6BA1">
        <w:rPr>
          <w:rStyle w:val="Emphasis"/>
        </w:rPr>
        <w:t xml:space="preserve">Get Out </w:t>
      </w:r>
      <w:r w:rsidR="0026544F" w:rsidRPr="005A6BA1">
        <w:t>as commentary on contemporary systemic racism because the Black Lives Matter movement had made racial injustice highly visible in the</w:t>
      </w:r>
      <w:r w:rsidR="00BD1F9E">
        <w:t>ir</w:t>
      </w:r>
      <w:r w:rsidR="0026544F" w:rsidRPr="005A6BA1">
        <w:t xml:space="preserve"> context,</w:t>
      </w:r>
      <w:r w:rsidR="00BD1F9E">
        <w:t xml:space="preserve"> whereas</w:t>
      </w:r>
      <w:r w:rsidR="0026544F" w:rsidRPr="005A6BA1">
        <w:t xml:space="preserve"> international audiences in 2025 might read the same scene more as a horror genre convention, their distance making the racial context less immediately resonant</w:t>
      </w:r>
      <w:r w:rsidR="005C6F9E" w:rsidRPr="005A6BA1">
        <w:t>’</w:t>
      </w:r>
      <w:r w:rsidR="0026544F" w:rsidRPr="005A6BA1">
        <w:t>)</w:t>
      </w:r>
      <w:r w:rsidR="00BD1F9E">
        <w:t>.</w:t>
      </w:r>
    </w:p>
    <w:p w14:paraId="1C46D946" w14:textId="036DEA7B" w:rsidR="0026544F" w:rsidRPr="005A6BA1" w:rsidRDefault="0026544F" w:rsidP="005A6BA1">
      <w:pPr>
        <w:pStyle w:val="BodyText"/>
      </w:pPr>
      <w:r w:rsidRPr="005A6BA1">
        <w:t xml:space="preserve">Common errors </w:t>
      </w:r>
      <w:r w:rsidR="0056579D">
        <w:t>included</w:t>
      </w:r>
      <w:r w:rsidRPr="005A6BA1">
        <w:t>:</w:t>
      </w:r>
    </w:p>
    <w:p w14:paraId="7A9508A5" w14:textId="2AC911E1" w:rsidR="0026544F" w:rsidRPr="005A6BA1" w:rsidRDefault="00635AB1" w:rsidP="005A6BA1">
      <w:pPr>
        <w:pStyle w:val="Bullet"/>
      </w:pPr>
      <w:r>
        <w:t>b</w:t>
      </w:r>
      <w:r w:rsidR="0026544F" w:rsidRPr="005A6BA1">
        <w:t xml:space="preserve">eing too general about </w:t>
      </w:r>
      <w:r w:rsidR="6A089959" w:rsidRPr="005A6BA1">
        <w:t xml:space="preserve">the audience of the </w:t>
      </w:r>
      <w:r w:rsidR="0026544F" w:rsidRPr="005A6BA1">
        <w:t xml:space="preserve">context (e.g. </w:t>
      </w:r>
      <w:r w:rsidR="005C6F9E" w:rsidRPr="005A6BA1">
        <w:t>‘</w:t>
      </w:r>
      <w:r w:rsidR="0026544F" w:rsidRPr="005A6BA1">
        <w:t>modern audiences</w:t>
      </w:r>
      <w:r w:rsidR="005C6F9E" w:rsidRPr="005A6BA1">
        <w:t>’</w:t>
      </w:r>
      <w:r w:rsidR="0026544F" w:rsidRPr="005A6BA1">
        <w:t>)</w:t>
      </w:r>
    </w:p>
    <w:p w14:paraId="16298192" w14:textId="7EBFAA1E" w:rsidR="0026544F" w:rsidRPr="005A6BA1" w:rsidRDefault="00635AB1" w:rsidP="005A6BA1">
      <w:pPr>
        <w:pStyle w:val="Bullet"/>
      </w:pPr>
      <w:r>
        <w:t>d</w:t>
      </w:r>
      <w:r w:rsidR="0026544F" w:rsidRPr="005A6BA1">
        <w:t>iscussing context at length without connecting it back to how audiences would read the narrative</w:t>
      </w:r>
    </w:p>
    <w:p w14:paraId="636571FA" w14:textId="19EE48BF" w:rsidR="0026544F" w:rsidRPr="005A6BA1" w:rsidRDefault="00635AB1" w:rsidP="005A6BA1">
      <w:pPr>
        <w:pStyle w:val="Bullet"/>
      </w:pPr>
      <w:r>
        <w:t>d</w:t>
      </w:r>
      <w:r w:rsidR="0026544F" w:rsidRPr="005A6BA1">
        <w:t>iscussing the whole narrative rather than focusing on a specific aspect (scene, character, sequence or representation)</w:t>
      </w:r>
      <w:r w:rsidR="00032AE3">
        <w:t>.</w:t>
      </w:r>
    </w:p>
    <w:p w14:paraId="7E8A2C00" w14:textId="4EF0E1AA" w:rsidR="00833A34" w:rsidRPr="005A6BA1" w:rsidRDefault="00B026D0" w:rsidP="005A6BA1">
      <w:pPr>
        <w:pStyle w:val="BodyText"/>
      </w:pPr>
      <w:r>
        <w:t>The following is an example of a high-scoring</w:t>
      </w:r>
      <w:r w:rsidR="00D96A4C" w:rsidRPr="005A6BA1">
        <w:t xml:space="preserve"> </w:t>
      </w:r>
      <w:r w:rsidR="0035746B">
        <w:t>r</w:t>
      </w:r>
      <w:r w:rsidR="00D96A4C" w:rsidRPr="005A6BA1">
        <w:t>esponse:</w:t>
      </w:r>
    </w:p>
    <w:p w14:paraId="50765BF7" w14:textId="77777777" w:rsidR="00D96A4C" w:rsidRPr="005A6BA1" w:rsidRDefault="00D96A4C" w:rsidP="005A6BA1">
      <w:pPr>
        <w:pStyle w:val="Studentsample"/>
      </w:pPr>
      <w:r w:rsidRPr="005A6BA1">
        <w:t>Australian audiences may read The Dry as a relatable aspect of their own lives. Rural Australian audiences watching The Dry on streaming at home may read the film as an emotional resonant expose of modern farming life. Released during the lingering restrictions of COVID-19 in 2021, Australian audiences watching from home may feel a deeper connection with the themes of isolation in the film, such as through Aaron Falk often captured as the sole subject in wide shots to portray his emotional distance. Additionally, the mise en scene of conforming of the town's citizens, primarily made up of working class and farming characters, often evokes a sense of rural challenges and drought. Therefore Australian audiences may see themselves in the characters, engaging with The Dry with a sense of relatability.</w:t>
      </w:r>
    </w:p>
    <w:p w14:paraId="2F0C3EA2" w14:textId="1A856229" w:rsidR="00BA51C9" w:rsidRPr="005A6BA1" w:rsidRDefault="00D96A4C" w:rsidP="0035746B">
      <w:pPr>
        <w:pStyle w:val="Studentsample"/>
      </w:pPr>
      <w:r w:rsidRPr="005A6BA1">
        <w:t>Conversely, American audiences watching The Dry at the cinema may read the film as theatrical and escapist. The environment of a cinema lends itself towards escapism, with a dark environment that removes surrounding distractions, allowing audiences to immerse themselves in the unfamiliar landscape of the Australian outback. The stylised cinematography and slow pacing further emphasise the film's difference from the mainstream crime thrillers of the US, positioning the film as a unique cultural text that offers novelty rather than direct relatability.</w:t>
      </w:r>
    </w:p>
    <w:p w14:paraId="503CCDBD" w14:textId="75F7CBF4" w:rsidR="00833A34" w:rsidRPr="005A6BA1" w:rsidRDefault="00833A34" w:rsidP="000E289F">
      <w:pPr>
        <w:pStyle w:val="Heading2"/>
      </w:pPr>
      <w:r w:rsidRPr="005A6BA1">
        <w:t>Question 4</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BA51C9" w:rsidRPr="00141A4D" w14:paraId="5210B3DD" w14:textId="77777777" w:rsidTr="002A6C77">
        <w:trPr>
          <w:cnfStyle w:val="100000000000" w:firstRow="1" w:lastRow="0" w:firstColumn="0" w:lastColumn="0" w:oddVBand="0" w:evenVBand="0" w:oddHBand="0" w:evenHBand="0" w:firstRowFirstColumn="0" w:firstRowLastColumn="0" w:lastRowFirstColumn="0" w:lastRowLastColumn="0"/>
        </w:trPr>
        <w:tc>
          <w:tcPr>
            <w:tcW w:w="599" w:type="dxa"/>
          </w:tcPr>
          <w:p w14:paraId="3A8CF88D" w14:textId="77777777" w:rsidR="00BA51C9" w:rsidRPr="00141A4D" w:rsidRDefault="00BA51C9" w:rsidP="000E289F">
            <w:pPr>
              <w:pStyle w:val="Tablecondensedheading"/>
              <w:rPr>
                <w:lang w:val="en-AU"/>
              </w:rPr>
            </w:pPr>
            <w:r w:rsidRPr="00141A4D">
              <w:rPr>
                <w:lang w:val="en-AU"/>
              </w:rPr>
              <w:t>Mark</w:t>
            </w:r>
          </w:p>
        </w:tc>
        <w:tc>
          <w:tcPr>
            <w:tcW w:w="576" w:type="dxa"/>
          </w:tcPr>
          <w:p w14:paraId="4D27FF6E" w14:textId="77777777" w:rsidR="00BA51C9" w:rsidRPr="00141A4D" w:rsidRDefault="00BA51C9" w:rsidP="000E289F">
            <w:pPr>
              <w:pStyle w:val="Tablecondensedheading"/>
              <w:rPr>
                <w:lang w:val="en-AU"/>
              </w:rPr>
            </w:pPr>
            <w:r w:rsidRPr="00141A4D">
              <w:rPr>
                <w:lang w:val="en-AU"/>
              </w:rPr>
              <w:t>0</w:t>
            </w:r>
          </w:p>
        </w:tc>
        <w:tc>
          <w:tcPr>
            <w:tcW w:w="576" w:type="dxa"/>
          </w:tcPr>
          <w:p w14:paraId="127F005F" w14:textId="77777777" w:rsidR="00BA51C9" w:rsidRPr="00141A4D" w:rsidRDefault="00BA51C9" w:rsidP="000E289F">
            <w:pPr>
              <w:pStyle w:val="Tablecondensedheading"/>
              <w:rPr>
                <w:lang w:val="en-AU"/>
              </w:rPr>
            </w:pPr>
            <w:r w:rsidRPr="00141A4D">
              <w:rPr>
                <w:lang w:val="en-AU"/>
              </w:rPr>
              <w:t>1</w:t>
            </w:r>
          </w:p>
        </w:tc>
        <w:tc>
          <w:tcPr>
            <w:tcW w:w="576" w:type="dxa"/>
          </w:tcPr>
          <w:p w14:paraId="2D3DF516" w14:textId="77777777" w:rsidR="00BA51C9" w:rsidRPr="00141A4D" w:rsidRDefault="00BA51C9" w:rsidP="000E289F">
            <w:pPr>
              <w:pStyle w:val="Tablecondensedheading"/>
              <w:rPr>
                <w:lang w:val="en-AU"/>
              </w:rPr>
            </w:pPr>
            <w:r w:rsidRPr="00141A4D">
              <w:rPr>
                <w:lang w:val="en-AU"/>
              </w:rPr>
              <w:t>2</w:t>
            </w:r>
          </w:p>
        </w:tc>
        <w:tc>
          <w:tcPr>
            <w:tcW w:w="576" w:type="dxa"/>
          </w:tcPr>
          <w:p w14:paraId="3CF005CA" w14:textId="77777777" w:rsidR="00BA51C9" w:rsidRPr="00141A4D" w:rsidRDefault="00BA51C9" w:rsidP="000E289F">
            <w:pPr>
              <w:pStyle w:val="Tablecondensedheading"/>
              <w:rPr>
                <w:lang w:val="en-AU"/>
              </w:rPr>
            </w:pPr>
            <w:r>
              <w:rPr>
                <w:lang w:val="en-AU"/>
              </w:rPr>
              <w:t>3</w:t>
            </w:r>
          </w:p>
        </w:tc>
        <w:tc>
          <w:tcPr>
            <w:tcW w:w="576" w:type="dxa"/>
          </w:tcPr>
          <w:p w14:paraId="5F1AE415" w14:textId="77777777" w:rsidR="00BA51C9" w:rsidRPr="00141A4D" w:rsidRDefault="00BA51C9" w:rsidP="000E289F">
            <w:pPr>
              <w:pStyle w:val="Tablecondensedheading"/>
              <w:rPr>
                <w:lang w:val="en-AU"/>
              </w:rPr>
            </w:pPr>
            <w:r>
              <w:rPr>
                <w:lang w:val="en-AU"/>
              </w:rPr>
              <w:t>4</w:t>
            </w:r>
          </w:p>
        </w:tc>
        <w:tc>
          <w:tcPr>
            <w:tcW w:w="864" w:type="dxa"/>
          </w:tcPr>
          <w:p w14:paraId="744D3C56" w14:textId="77777777" w:rsidR="00BA51C9" w:rsidRPr="00141A4D" w:rsidRDefault="00BA51C9" w:rsidP="000E289F">
            <w:pPr>
              <w:pStyle w:val="Tablecondensedheading"/>
              <w:rPr>
                <w:lang w:val="en-AU"/>
              </w:rPr>
            </w:pPr>
            <w:r w:rsidRPr="00141A4D">
              <w:rPr>
                <w:lang w:val="en-AU"/>
              </w:rPr>
              <w:t>Average</w:t>
            </w:r>
          </w:p>
        </w:tc>
      </w:tr>
      <w:tr w:rsidR="00BA51C9" w:rsidRPr="00141A4D" w14:paraId="1E379AFD" w14:textId="77777777" w:rsidTr="002A6C77">
        <w:tc>
          <w:tcPr>
            <w:tcW w:w="599" w:type="dxa"/>
          </w:tcPr>
          <w:p w14:paraId="65D1129B" w14:textId="77777777" w:rsidR="00BA51C9" w:rsidRPr="00141A4D" w:rsidRDefault="00BA51C9" w:rsidP="000E289F">
            <w:pPr>
              <w:pStyle w:val="Tablecondensed"/>
              <w:rPr>
                <w:lang w:val="en-AU"/>
              </w:rPr>
            </w:pPr>
            <w:r w:rsidRPr="00141A4D">
              <w:rPr>
                <w:lang w:val="en-AU"/>
              </w:rPr>
              <w:t>%</w:t>
            </w:r>
          </w:p>
        </w:tc>
        <w:tc>
          <w:tcPr>
            <w:tcW w:w="576" w:type="dxa"/>
          </w:tcPr>
          <w:p w14:paraId="20C39EAD" w14:textId="6CAE0BED" w:rsidR="00BA51C9" w:rsidRPr="00141A4D" w:rsidRDefault="00BA51C9" w:rsidP="000E289F">
            <w:pPr>
              <w:pStyle w:val="Tablecondensed"/>
              <w:rPr>
                <w:lang w:val="en-AU"/>
              </w:rPr>
            </w:pPr>
            <w:r>
              <w:rPr>
                <w:lang w:val="en-AU"/>
              </w:rPr>
              <w:t>0.9</w:t>
            </w:r>
          </w:p>
        </w:tc>
        <w:tc>
          <w:tcPr>
            <w:tcW w:w="576" w:type="dxa"/>
          </w:tcPr>
          <w:p w14:paraId="0BAB0893" w14:textId="07FD040A" w:rsidR="00BA51C9" w:rsidRPr="00141A4D" w:rsidRDefault="00BA51C9" w:rsidP="000E289F">
            <w:pPr>
              <w:pStyle w:val="Tablecondensed"/>
              <w:rPr>
                <w:lang w:val="en-AU"/>
              </w:rPr>
            </w:pPr>
            <w:r>
              <w:rPr>
                <w:lang w:val="en-AU"/>
              </w:rPr>
              <w:t>3</w:t>
            </w:r>
          </w:p>
        </w:tc>
        <w:tc>
          <w:tcPr>
            <w:tcW w:w="576" w:type="dxa"/>
          </w:tcPr>
          <w:p w14:paraId="3B74ABF2" w14:textId="31A55D85" w:rsidR="00BA51C9" w:rsidRPr="00141A4D" w:rsidRDefault="00BA51C9" w:rsidP="000E289F">
            <w:pPr>
              <w:pStyle w:val="Tablecondensed"/>
              <w:rPr>
                <w:lang w:val="en-AU"/>
              </w:rPr>
            </w:pPr>
            <w:r>
              <w:rPr>
                <w:lang w:val="en-AU"/>
              </w:rPr>
              <w:t>18</w:t>
            </w:r>
          </w:p>
        </w:tc>
        <w:tc>
          <w:tcPr>
            <w:tcW w:w="576" w:type="dxa"/>
          </w:tcPr>
          <w:p w14:paraId="05F533C4" w14:textId="7B87F684" w:rsidR="00BA51C9" w:rsidRDefault="00BA51C9" w:rsidP="000E289F">
            <w:pPr>
              <w:pStyle w:val="Tablecondensed"/>
              <w:rPr>
                <w:lang w:val="en-AU"/>
              </w:rPr>
            </w:pPr>
            <w:r>
              <w:rPr>
                <w:lang w:val="en-AU"/>
              </w:rPr>
              <w:t>39</w:t>
            </w:r>
          </w:p>
        </w:tc>
        <w:tc>
          <w:tcPr>
            <w:tcW w:w="576" w:type="dxa"/>
          </w:tcPr>
          <w:p w14:paraId="2ACF994E" w14:textId="70291981" w:rsidR="00BA51C9" w:rsidRDefault="00BA51C9" w:rsidP="000E289F">
            <w:pPr>
              <w:pStyle w:val="Tablecondensed"/>
              <w:rPr>
                <w:lang w:val="en-AU"/>
              </w:rPr>
            </w:pPr>
            <w:r>
              <w:rPr>
                <w:lang w:val="en-AU"/>
              </w:rPr>
              <w:t>39</w:t>
            </w:r>
          </w:p>
        </w:tc>
        <w:tc>
          <w:tcPr>
            <w:tcW w:w="864" w:type="dxa"/>
          </w:tcPr>
          <w:p w14:paraId="1EBB9B0A" w14:textId="6713F9A9" w:rsidR="00BA51C9" w:rsidRPr="00141A4D" w:rsidRDefault="00BA51C9" w:rsidP="000E289F">
            <w:pPr>
              <w:pStyle w:val="Tablecondensed"/>
              <w:rPr>
                <w:lang w:val="en-AU"/>
              </w:rPr>
            </w:pPr>
            <w:r>
              <w:rPr>
                <w:lang w:val="en-AU"/>
              </w:rPr>
              <w:t>3.1</w:t>
            </w:r>
          </w:p>
        </w:tc>
      </w:tr>
    </w:tbl>
    <w:p w14:paraId="40370A30" w14:textId="358545C4" w:rsidR="00833A34" w:rsidRPr="005A6BA1" w:rsidRDefault="00315121" w:rsidP="005A6BA1">
      <w:pPr>
        <w:pStyle w:val="BodyText"/>
      </w:pPr>
      <w:r>
        <w:t>Student</w:t>
      </w:r>
      <w:r w:rsidRPr="005A6BA1">
        <w:t xml:space="preserve">s </w:t>
      </w:r>
      <w:r w:rsidR="00833A34" w:rsidRPr="005A6BA1">
        <w:t xml:space="preserve">were required to outline one idea for a media production in response to the ABC’s five-year plan through brainstorming. </w:t>
      </w:r>
      <w:r w:rsidR="00331F7D">
        <w:t>This question introduced a new assessment format for VCE Media, requiring students to brainstorm and outline a media production idea using a structured prof</w:t>
      </w:r>
      <w:r w:rsidR="008A1C5D">
        <w:t>o</w:t>
      </w:r>
      <w:r w:rsidR="00331F7D">
        <w:t xml:space="preserve">rma with designated boxes for key production elements. Responses needed to provide sufficient detail in all </w:t>
      </w:r>
      <w:r w:rsidR="008A1C5D">
        <w:t xml:space="preserve">the </w:t>
      </w:r>
      <w:r w:rsidR="00331F7D">
        <w:t>boxes of the prof</w:t>
      </w:r>
      <w:r w:rsidR="008A1C5D">
        <w:t>o</w:t>
      </w:r>
      <w:r w:rsidR="00331F7D">
        <w:t xml:space="preserve">rma that together </w:t>
      </w:r>
      <w:r w:rsidR="008A1C5D">
        <w:t xml:space="preserve">would </w:t>
      </w:r>
      <w:r w:rsidR="00331F7D">
        <w:t xml:space="preserve">demonstrate a cohesive idea. </w:t>
      </w:r>
      <w:r w:rsidR="008A1C5D">
        <w:t xml:space="preserve">The responses were assessed on the </w:t>
      </w:r>
      <w:r w:rsidR="00331F7D">
        <w:t>quality, specificity and alignment of information</w:t>
      </w:r>
      <w:r w:rsidR="008A1C5D">
        <w:t xml:space="preserve"> in the boxes</w:t>
      </w:r>
    </w:p>
    <w:p w14:paraId="0730355A" w14:textId="31C131A2" w:rsidR="00032AE3" w:rsidRPr="005A6BA1" w:rsidRDefault="00833A34" w:rsidP="005A6BA1">
      <w:pPr>
        <w:pStyle w:val="BodyText"/>
      </w:pPr>
      <w:r w:rsidRPr="005A6BA1">
        <w:t xml:space="preserve">High-scoring responses </w:t>
      </w:r>
      <w:r w:rsidR="00234B89">
        <w:t>included</w:t>
      </w:r>
      <w:r w:rsidR="00032AE3">
        <w:t>:</w:t>
      </w:r>
    </w:p>
    <w:p w14:paraId="5713E7BF" w14:textId="65698700" w:rsidR="001B3D2D" w:rsidRPr="005A6BA1" w:rsidRDefault="00635AB1" w:rsidP="005A6BA1">
      <w:pPr>
        <w:pStyle w:val="Bullet"/>
      </w:pPr>
      <w:r>
        <w:t>a</w:t>
      </w:r>
      <w:r w:rsidR="001B3D2D" w:rsidRPr="005A6BA1">
        <w:t xml:space="preserve"> c</w:t>
      </w:r>
      <w:r w:rsidR="00833A34" w:rsidRPr="005A6BA1">
        <w:t>lear</w:t>
      </w:r>
      <w:r w:rsidR="00032AE3">
        <w:t xml:space="preserve"> </w:t>
      </w:r>
      <w:r w:rsidR="00833A34" w:rsidRPr="005A6BA1">
        <w:t xml:space="preserve">and specific </w:t>
      </w:r>
      <w:r w:rsidR="001B3D2D" w:rsidRPr="005A6BA1">
        <w:t>title that reflected the content and attracted the target audience</w:t>
      </w:r>
    </w:p>
    <w:p w14:paraId="067E0C89" w14:textId="0FC8D1E7" w:rsidR="001B3D2D" w:rsidRPr="005A6BA1" w:rsidRDefault="00635AB1" w:rsidP="005A6BA1">
      <w:pPr>
        <w:pStyle w:val="Bullet"/>
      </w:pPr>
      <w:r>
        <w:t>p</w:t>
      </w:r>
      <w:r w:rsidR="001B3D2D" w:rsidRPr="005A6BA1">
        <w:t>recise identification of media form</w:t>
      </w:r>
      <w:r w:rsidR="0EAFF374" w:rsidRPr="005A6BA1">
        <w:t xml:space="preserve"> </w:t>
      </w:r>
      <w:r>
        <w:t>(</w:t>
      </w:r>
      <w:r w:rsidR="0EAFF374" w:rsidRPr="005A6BA1">
        <w:t>for example</w:t>
      </w:r>
      <w:r>
        <w:t>,</w:t>
      </w:r>
      <w:r w:rsidR="0EAFF374" w:rsidRPr="005A6BA1">
        <w:t xml:space="preserve"> </w:t>
      </w:r>
      <w:r w:rsidR="005C6F9E" w:rsidRPr="005A6BA1">
        <w:t>‘</w:t>
      </w:r>
      <w:r w:rsidR="65A7072F" w:rsidRPr="005A6BA1">
        <w:t xml:space="preserve">a </w:t>
      </w:r>
      <w:r w:rsidR="001B3D2D" w:rsidRPr="005A6BA1">
        <w:t>six-episode podcast series</w:t>
      </w:r>
      <w:r w:rsidR="005C6F9E" w:rsidRPr="005A6BA1">
        <w:t>’</w:t>
      </w:r>
      <w:r>
        <w:t>)</w:t>
      </w:r>
      <w:r w:rsidR="001B3D2D" w:rsidRPr="005A6BA1">
        <w:t xml:space="preserve">, specific genre/style </w:t>
      </w:r>
      <w:r>
        <w:t>(</w:t>
      </w:r>
      <w:r w:rsidR="4CEC901B" w:rsidRPr="005A6BA1">
        <w:t>for example</w:t>
      </w:r>
      <w:r w:rsidR="001B3D2D" w:rsidRPr="005A6BA1">
        <w:t xml:space="preserve"> </w:t>
      </w:r>
      <w:r w:rsidR="005C6F9E" w:rsidRPr="005A6BA1">
        <w:t>‘</w:t>
      </w:r>
      <w:r w:rsidR="24FE35D6" w:rsidRPr="005A6BA1">
        <w:t xml:space="preserve">a </w:t>
      </w:r>
      <w:r w:rsidR="001B3D2D" w:rsidRPr="005A6BA1">
        <w:t>narrative documentary with interview segments</w:t>
      </w:r>
      <w:r w:rsidR="005C6F9E" w:rsidRPr="005A6BA1">
        <w:t>’</w:t>
      </w:r>
      <w:r>
        <w:t>)</w:t>
      </w:r>
      <w:r w:rsidR="001B3D2D" w:rsidRPr="005A6BA1">
        <w:t>, and well</w:t>
      </w:r>
      <w:r w:rsidR="00032AE3">
        <w:t>-</w:t>
      </w:r>
      <w:r w:rsidR="001B3D2D" w:rsidRPr="005A6BA1">
        <w:t xml:space="preserve">defined target audience with demographic details </w:t>
      </w:r>
      <w:r>
        <w:t>(</w:t>
      </w:r>
      <w:r w:rsidR="309E0B87" w:rsidRPr="005A6BA1">
        <w:t>for example</w:t>
      </w:r>
      <w:r w:rsidR="001B3D2D" w:rsidRPr="005A6BA1">
        <w:t xml:space="preserve"> </w:t>
      </w:r>
      <w:r w:rsidR="005C6F9E" w:rsidRPr="005A6BA1">
        <w:t>‘</w:t>
      </w:r>
      <w:r w:rsidR="001B3D2D" w:rsidRPr="005A6BA1">
        <w:t>Australian 16</w:t>
      </w:r>
      <w:r w:rsidR="00032AE3">
        <w:t>–</w:t>
      </w:r>
      <w:r w:rsidR="001B3D2D" w:rsidRPr="005A6BA1">
        <w:t>25 year olds interested in climate activism</w:t>
      </w:r>
      <w:r w:rsidR="005C6F9E" w:rsidRPr="005A6BA1">
        <w:t>’</w:t>
      </w:r>
      <w:r>
        <w:t>)</w:t>
      </w:r>
    </w:p>
    <w:p w14:paraId="19618367" w14:textId="26295686" w:rsidR="001B3D2D" w:rsidRPr="005A6BA1" w:rsidRDefault="00635AB1" w:rsidP="005A6BA1">
      <w:pPr>
        <w:pStyle w:val="Bullet"/>
      </w:pPr>
      <w:r>
        <w:t>e</w:t>
      </w:r>
      <w:r w:rsidR="001B3D2D" w:rsidRPr="005A6BA1">
        <w:t>xplicit links to specific elements of the ABC’s five-year plan</w:t>
      </w:r>
      <w:r w:rsidR="00032AE3">
        <w:t>.</w:t>
      </w:r>
    </w:p>
    <w:p w14:paraId="51ACC1BD" w14:textId="1AE910B9" w:rsidR="001B3D2D" w:rsidRPr="005A6BA1" w:rsidRDefault="001B3D2D" w:rsidP="005A6BA1">
      <w:pPr>
        <w:pStyle w:val="BodyText"/>
      </w:pPr>
      <w:r w:rsidRPr="005A6BA1">
        <w:t xml:space="preserve">Common errors </w:t>
      </w:r>
      <w:r w:rsidR="0056579D">
        <w:t>included</w:t>
      </w:r>
      <w:r w:rsidRPr="005A6BA1">
        <w:t>:</w:t>
      </w:r>
    </w:p>
    <w:p w14:paraId="040878E5" w14:textId="7A334BF7" w:rsidR="00032AE3" w:rsidRPr="005A6BA1" w:rsidRDefault="00635AB1" w:rsidP="005A6BA1">
      <w:pPr>
        <w:pStyle w:val="Bullet"/>
      </w:pPr>
      <w:r>
        <w:t>m</w:t>
      </w:r>
      <w:r w:rsidR="001B3D2D" w:rsidRPr="005A6BA1">
        <w:t>isreading what the ABC does, creating products that would advertise the ABC’s five-year plan itself, rather than media content that fulfils the plan’s goals</w:t>
      </w:r>
      <w:r w:rsidR="7CE60D65" w:rsidRPr="005A6BA1">
        <w:t xml:space="preserve">, </w:t>
      </w:r>
      <w:r w:rsidR="00032AE3" w:rsidRPr="00032AE3">
        <w:t>e.g.</w:t>
      </w:r>
      <w:r w:rsidR="7CE60D65" w:rsidRPr="005A6BA1">
        <w:t xml:space="preserve"> </w:t>
      </w:r>
      <w:r w:rsidR="005C6F9E" w:rsidRPr="005A6BA1">
        <w:t>‘</w:t>
      </w:r>
      <w:r w:rsidR="001B3D2D" w:rsidRPr="005A6BA1">
        <w:t>A documentary about the ABC’s five-year plan</w:t>
      </w:r>
      <w:r w:rsidR="005C6F9E" w:rsidRPr="005A6BA1">
        <w:t>’</w:t>
      </w:r>
      <w:r w:rsidR="001B3D2D" w:rsidRPr="005A6BA1">
        <w:t xml:space="preserve"> instead of content that addresses the </w:t>
      </w:r>
      <w:r w:rsidR="5803430F" w:rsidRPr="005A6BA1">
        <w:t xml:space="preserve">goals of the plan </w:t>
      </w:r>
    </w:p>
    <w:p w14:paraId="368A1834" w14:textId="2D89C71F" w:rsidR="001B3D2D" w:rsidRPr="005A6BA1" w:rsidRDefault="00635AB1" w:rsidP="005A6BA1">
      <w:pPr>
        <w:pStyle w:val="Bullet"/>
      </w:pPr>
      <w:r>
        <w:t>a</w:t>
      </w:r>
      <w:r w:rsidR="67B32B3B" w:rsidRPr="005A6BA1">
        <w:t xml:space="preserve"> lack of </w:t>
      </w:r>
      <w:r w:rsidR="001B3D2D" w:rsidRPr="005A6BA1">
        <w:t xml:space="preserve">specific details </w:t>
      </w:r>
      <w:r w:rsidR="00032AE3">
        <w:t>about</w:t>
      </w:r>
      <w:r w:rsidR="00032AE3" w:rsidRPr="005A6BA1">
        <w:t xml:space="preserve"> </w:t>
      </w:r>
      <w:r w:rsidR="001B3D2D" w:rsidRPr="005A6BA1">
        <w:t>the title, audience</w:t>
      </w:r>
      <w:r w:rsidR="569484AC" w:rsidRPr="005A6BA1">
        <w:t xml:space="preserve"> </w:t>
      </w:r>
      <w:r w:rsidR="00032AE3">
        <w:t>profile</w:t>
      </w:r>
      <w:r w:rsidR="001B3D2D" w:rsidRPr="005A6BA1">
        <w:t xml:space="preserve"> or links to the plan</w:t>
      </w:r>
    </w:p>
    <w:p w14:paraId="4BD195C8" w14:textId="19A8CC20" w:rsidR="008F7A4F" w:rsidRPr="005A6BA1" w:rsidRDefault="00635AB1" w:rsidP="005A6BA1">
      <w:pPr>
        <w:pStyle w:val="Bullet"/>
      </w:pPr>
      <w:r>
        <w:t>t</w:t>
      </w:r>
      <w:r w:rsidR="001B3D2D" w:rsidRPr="005A6BA1">
        <w:t xml:space="preserve">rying to address all aspects of the five-year plan rather than choosing specific elements to address well. </w:t>
      </w:r>
      <w:r w:rsidR="00833A34" w:rsidRPr="005A6BA1">
        <w:t xml:space="preserve"> </w:t>
      </w:r>
    </w:p>
    <w:p w14:paraId="5A31C892" w14:textId="21D140C8" w:rsidR="0026544F" w:rsidRPr="005A6BA1" w:rsidRDefault="00B026D0" w:rsidP="005A6BA1">
      <w:pPr>
        <w:pStyle w:val="BodyText"/>
      </w:pPr>
      <w:r>
        <w:t>The following is an example of a high-scoring</w:t>
      </w:r>
      <w:r w:rsidR="00D96A4C" w:rsidRPr="005A6BA1">
        <w:t xml:space="preserve"> </w:t>
      </w:r>
      <w:r w:rsidR="0035746B">
        <w:t>r</w:t>
      </w:r>
      <w:r w:rsidR="00D96A4C" w:rsidRPr="005A6BA1">
        <w:t>esponse:</w:t>
      </w:r>
    </w:p>
    <w:p w14:paraId="75475396" w14:textId="77777777" w:rsidR="00D96A4C" w:rsidRPr="005A6BA1" w:rsidRDefault="00D96A4C" w:rsidP="005A6BA1">
      <w:pPr>
        <w:pStyle w:val="Studentsample"/>
      </w:pPr>
      <w:r w:rsidRPr="005A6BA1">
        <w:t>Title: Our Australian Store</w:t>
      </w:r>
    </w:p>
    <w:p w14:paraId="4C5EA37E" w14:textId="6109BC31" w:rsidR="00D96A4C" w:rsidRPr="005A6BA1" w:rsidRDefault="00D96A4C" w:rsidP="005A6BA1">
      <w:pPr>
        <w:pStyle w:val="Studentsample"/>
      </w:pPr>
      <w:r w:rsidRPr="005A6BA1">
        <w:t>Idea: A documentary on all the local small businesses around Australia and the eclectic charm of their owners.</w:t>
      </w:r>
    </w:p>
    <w:p w14:paraId="65B2F84E" w14:textId="77777777" w:rsidR="00D96A4C" w:rsidRPr="005A6BA1" w:rsidRDefault="00D96A4C" w:rsidP="005A6BA1">
      <w:pPr>
        <w:pStyle w:val="Studentsample"/>
      </w:pPr>
      <w:r w:rsidRPr="005A6BA1">
        <w:t>Media form: TV series (limited series, 10 episodes)</w:t>
      </w:r>
    </w:p>
    <w:p w14:paraId="1DECB8E1" w14:textId="77777777" w:rsidR="00D96A4C" w:rsidRPr="005A6BA1" w:rsidRDefault="00D96A4C" w:rsidP="005A6BA1">
      <w:pPr>
        <w:pStyle w:val="Studentsample"/>
      </w:pPr>
      <w:r w:rsidRPr="005A6BA1">
        <w:rPr>
          <w:lang w:val="fr-FR"/>
        </w:rPr>
        <w:t>Style and genre: Observational, cinéma vérité documentary</w:t>
      </w:r>
    </w:p>
    <w:p w14:paraId="4B9729A4" w14:textId="664C71E2" w:rsidR="00032AE3" w:rsidRPr="005A6BA1" w:rsidRDefault="00D96A4C" w:rsidP="005A6BA1">
      <w:pPr>
        <w:pStyle w:val="Studentsample"/>
      </w:pPr>
      <w:r w:rsidRPr="005A6BA1">
        <w:t>Audiences: Aged 18–65, working class Australians and small business owners.</w:t>
      </w:r>
    </w:p>
    <w:p w14:paraId="4E85DF6E" w14:textId="1DB9C8D7" w:rsidR="00E82BB5" w:rsidRPr="005A6BA1" w:rsidRDefault="00E82BB5" w:rsidP="000E289F">
      <w:pPr>
        <w:pStyle w:val="Heading2"/>
      </w:pPr>
      <w:r w:rsidRPr="005A6BA1">
        <w:t>Question 5</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032AE3" w:rsidRPr="00141A4D" w14:paraId="000429AF" w14:textId="77777777" w:rsidTr="002A6C77">
        <w:trPr>
          <w:cnfStyle w:val="100000000000" w:firstRow="1" w:lastRow="0" w:firstColumn="0" w:lastColumn="0" w:oddVBand="0" w:evenVBand="0" w:oddHBand="0" w:evenHBand="0" w:firstRowFirstColumn="0" w:firstRowLastColumn="0" w:lastRowFirstColumn="0" w:lastRowLastColumn="0"/>
        </w:trPr>
        <w:tc>
          <w:tcPr>
            <w:tcW w:w="599" w:type="dxa"/>
          </w:tcPr>
          <w:p w14:paraId="09DCA777" w14:textId="77777777" w:rsidR="00032AE3" w:rsidRPr="00141A4D" w:rsidRDefault="00032AE3" w:rsidP="000E289F">
            <w:pPr>
              <w:pStyle w:val="Tablecondensedheading"/>
              <w:rPr>
                <w:lang w:val="en-AU"/>
              </w:rPr>
            </w:pPr>
            <w:r w:rsidRPr="00141A4D">
              <w:rPr>
                <w:lang w:val="en-AU"/>
              </w:rPr>
              <w:t>Mark</w:t>
            </w:r>
          </w:p>
        </w:tc>
        <w:tc>
          <w:tcPr>
            <w:tcW w:w="576" w:type="dxa"/>
          </w:tcPr>
          <w:p w14:paraId="71112D56" w14:textId="77777777" w:rsidR="00032AE3" w:rsidRPr="00141A4D" w:rsidRDefault="00032AE3" w:rsidP="000E289F">
            <w:pPr>
              <w:pStyle w:val="Tablecondensedheading"/>
              <w:rPr>
                <w:lang w:val="en-AU"/>
              </w:rPr>
            </w:pPr>
            <w:r w:rsidRPr="00141A4D">
              <w:rPr>
                <w:lang w:val="en-AU"/>
              </w:rPr>
              <w:t>0</w:t>
            </w:r>
          </w:p>
        </w:tc>
        <w:tc>
          <w:tcPr>
            <w:tcW w:w="576" w:type="dxa"/>
          </w:tcPr>
          <w:p w14:paraId="3B053A6A" w14:textId="77777777" w:rsidR="00032AE3" w:rsidRPr="00141A4D" w:rsidRDefault="00032AE3" w:rsidP="000E289F">
            <w:pPr>
              <w:pStyle w:val="Tablecondensedheading"/>
              <w:rPr>
                <w:lang w:val="en-AU"/>
              </w:rPr>
            </w:pPr>
            <w:r w:rsidRPr="00141A4D">
              <w:rPr>
                <w:lang w:val="en-AU"/>
              </w:rPr>
              <w:t>1</w:t>
            </w:r>
          </w:p>
        </w:tc>
        <w:tc>
          <w:tcPr>
            <w:tcW w:w="576" w:type="dxa"/>
          </w:tcPr>
          <w:p w14:paraId="529EBAB7" w14:textId="77777777" w:rsidR="00032AE3" w:rsidRPr="00141A4D" w:rsidRDefault="00032AE3" w:rsidP="000E289F">
            <w:pPr>
              <w:pStyle w:val="Tablecondensedheading"/>
              <w:rPr>
                <w:lang w:val="en-AU"/>
              </w:rPr>
            </w:pPr>
            <w:r w:rsidRPr="00141A4D">
              <w:rPr>
                <w:lang w:val="en-AU"/>
              </w:rPr>
              <w:t>2</w:t>
            </w:r>
          </w:p>
        </w:tc>
        <w:tc>
          <w:tcPr>
            <w:tcW w:w="576" w:type="dxa"/>
          </w:tcPr>
          <w:p w14:paraId="2E6DDFE3" w14:textId="77777777" w:rsidR="00032AE3" w:rsidRPr="00141A4D" w:rsidRDefault="00032AE3" w:rsidP="000E289F">
            <w:pPr>
              <w:pStyle w:val="Tablecondensedheading"/>
              <w:rPr>
                <w:lang w:val="en-AU"/>
              </w:rPr>
            </w:pPr>
            <w:r>
              <w:rPr>
                <w:lang w:val="en-AU"/>
              </w:rPr>
              <w:t>3</w:t>
            </w:r>
          </w:p>
        </w:tc>
        <w:tc>
          <w:tcPr>
            <w:tcW w:w="576" w:type="dxa"/>
          </w:tcPr>
          <w:p w14:paraId="4832E666" w14:textId="77777777" w:rsidR="00032AE3" w:rsidRPr="00141A4D" w:rsidRDefault="00032AE3" w:rsidP="000E289F">
            <w:pPr>
              <w:pStyle w:val="Tablecondensedheading"/>
              <w:rPr>
                <w:lang w:val="en-AU"/>
              </w:rPr>
            </w:pPr>
            <w:r>
              <w:rPr>
                <w:lang w:val="en-AU"/>
              </w:rPr>
              <w:t>4</w:t>
            </w:r>
          </w:p>
        </w:tc>
        <w:tc>
          <w:tcPr>
            <w:tcW w:w="864" w:type="dxa"/>
          </w:tcPr>
          <w:p w14:paraId="63BDB636" w14:textId="77777777" w:rsidR="00032AE3" w:rsidRPr="00141A4D" w:rsidRDefault="00032AE3" w:rsidP="000E289F">
            <w:pPr>
              <w:pStyle w:val="Tablecondensedheading"/>
              <w:rPr>
                <w:lang w:val="en-AU"/>
              </w:rPr>
            </w:pPr>
            <w:r w:rsidRPr="00141A4D">
              <w:rPr>
                <w:lang w:val="en-AU"/>
              </w:rPr>
              <w:t>Average</w:t>
            </w:r>
          </w:p>
        </w:tc>
      </w:tr>
      <w:tr w:rsidR="00032AE3" w:rsidRPr="00141A4D" w14:paraId="6C666716" w14:textId="77777777" w:rsidTr="002A6C77">
        <w:tc>
          <w:tcPr>
            <w:tcW w:w="599" w:type="dxa"/>
          </w:tcPr>
          <w:p w14:paraId="3ABFDFEA" w14:textId="77777777" w:rsidR="00032AE3" w:rsidRPr="00141A4D" w:rsidRDefault="00032AE3" w:rsidP="000E289F">
            <w:pPr>
              <w:pStyle w:val="Tablecondensed"/>
              <w:rPr>
                <w:lang w:val="en-AU"/>
              </w:rPr>
            </w:pPr>
            <w:r w:rsidRPr="00141A4D">
              <w:rPr>
                <w:lang w:val="en-AU"/>
              </w:rPr>
              <w:t>%</w:t>
            </w:r>
          </w:p>
        </w:tc>
        <w:tc>
          <w:tcPr>
            <w:tcW w:w="576" w:type="dxa"/>
          </w:tcPr>
          <w:p w14:paraId="6DFDD678" w14:textId="5AFE8CF4" w:rsidR="00032AE3" w:rsidRPr="00141A4D" w:rsidRDefault="007351DA" w:rsidP="000E289F">
            <w:pPr>
              <w:pStyle w:val="Tablecondensed"/>
              <w:rPr>
                <w:lang w:val="en-AU"/>
              </w:rPr>
            </w:pPr>
            <w:r>
              <w:rPr>
                <w:lang w:val="en-AU"/>
              </w:rPr>
              <w:t>6</w:t>
            </w:r>
          </w:p>
        </w:tc>
        <w:tc>
          <w:tcPr>
            <w:tcW w:w="576" w:type="dxa"/>
          </w:tcPr>
          <w:p w14:paraId="3E19A5B7" w14:textId="0034AE72" w:rsidR="00032AE3" w:rsidRPr="00141A4D" w:rsidRDefault="007351DA" w:rsidP="000E289F">
            <w:pPr>
              <w:pStyle w:val="Tablecondensed"/>
              <w:rPr>
                <w:lang w:val="en-AU"/>
              </w:rPr>
            </w:pPr>
            <w:r>
              <w:rPr>
                <w:lang w:val="en-AU"/>
              </w:rPr>
              <w:t>13</w:t>
            </w:r>
          </w:p>
        </w:tc>
        <w:tc>
          <w:tcPr>
            <w:tcW w:w="576" w:type="dxa"/>
          </w:tcPr>
          <w:p w14:paraId="78F73B83" w14:textId="0CF1AC19" w:rsidR="00032AE3" w:rsidRPr="00141A4D" w:rsidRDefault="007351DA" w:rsidP="000E289F">
            <w:pPr>
              <w:pStyle w:val="Tablecondensed"/>
              <w:rPr>
                <w:lang w:val="en-AU"/>
              </w:rPr>
            </w:pPr>
            <w:r>
              <w:rPr>
                <w:lang w:val="en-AU"/>
              </w:rPr>
              <w:t>32</w:t>
            </w:r>
          </w:p>
        </w:tc>
        <w:tc>
          <w:tcPr>
            <w:tcW w:w="576" w:type="dxa"/>
          </w:tcPr>
          <w:p w14:paraId="3FB30F38" w14:textId="5D867600" w:rsidR="00032AE3" w:rsidRDefault="007351DA" w:rsidP="000E289F">
            <w:pPr>
              <w:pStyle w:val="Tablecondensed"/>
              <w:rPr>
                <w:lang w:val="en-AU"/>
              </w:rPr>
            </w:pPr>
            <w:r>
              <w:rPr>
                <w:lang w:val="en-AU"/>
              </w:rPr>
              <w:t>34</w:t>
            </w:r>
          </w:p>
        </w:tc>
        <w:tc>
          <w:tcPr>
            <w:tcW w:w="576" w:type="dxa"/>
          </w:tcPr>
          <w:p w14:paraId="535BB048" w14:textId="7637197B" w:rsidR="00032AE3" w:rsidRDefault="007351DA" w:rsidP="000E289F">
            <w:pPr>
              <w:pStyle w:val="Tablecondensed"/>
              <w:rPr>
                <w:lang w:val="en-AU"/>
              </w:rPr>
            </w:pPr>
            <w:r>
              <w:rPr>
                <w:lang w:val="en-AU"/>
              </w:rPr>
              <w:t>15</w:t>
            </w:r>
          </w:p>
        </w:tc>
        <w:tc>
          <w:tcPr>
            <w:tcW w:w="864" w:type="dxa"/>
          </w:tcPr>
          <w:p w14:paraId="7F86AB4B" w14:textId="686C8B56" w:rsidR="00032AE3" w:rsidRPr="00141A4D" w:rsidRDefault="007351DA" w:rsidP="000E289F">
            <w:pPr>
              <w:pStyle w:val="Tablecondensed"/>
              <w:rPr>
                <w:lang w:val="en-AU"/>
              </w:rPr>
            </w:pPr>
            <w:r>
              <w:rPr>
                <w:lang w:val="en-AU"/>
              </w:rPr>
              <w:t>2.4</w:t>
            </w:r>
          </w:p>
        </w:tc>
      </w:tr>
    </w:tbl>
    <w:p w14:paraId="7422F332" w14:textId="63B36C03" w:rsidR="00E82BB5" w:rsidRPr="005A6BA1" w:rsidRDefault="5CFAE089" w:rsidP="005A6BA1">
      <w:pPr>
        <w:pStyle w:val="BodyText"/>
      </w:pPr>
      <w:r w:rsidRPr="005A6BA1">
        <w:t xml:space="preserve">Students </w:t>
      </w:r>
      <w:r w:rsidR="00E82BB5" w:rsidRPr="005A6BA1">
        <w:t>were required to describe an ex</w:t>
      </w:r>
      <w:r w:rsidR="007351DA">
        <w:t>p</w:t>
      </w:r>
      <w:r w:rsidR="00E82BB5" w:rsidRPr="005A6BA1">
        <w:t xml:space="preserve">eriment to develop one specific skill </w:t>
      </w:r>
      <w:r w:rsidR="007351DA">
        <w:t>in</w:t>
      </w:r>
      <w:r w:rsidR="00E82BB5" w:rsidRPr="005A6BA1">
        <w:t xml:space="preserve"> the use of equipment, media technologies or processes appropriate to the media form proposed in Question 4. Responses needed to identify a specific skill</w:t>
      </w:r>
      <w:r w:rsidR="00273A70" w:rsidRPr="005A6BA1">
        <w:t xml:space="preserve"> and</w:t>
      </w:r>
      <w:r w:rsidR="00E82BB5" w:rsidRPr="005A6BA1">
        <w:t xml:space="preserve"> explain a detailed experiment with clear variables being tested</w:t>
      </w:r>
      <w:r w:rsidR="00273A70" w:rsidRPr="005A6BA1">
        <w:t>.</w:t>
      </w:r>
      <w:r w:rsidR="3C329CA7" w:rsidRPr="005A6BA1">
        <w:t xml:space="preserve"> </w:t>
      </w:r>
    </w:p>
    <w:p w14:paraId="3558D625" w14:textId="4D620A26" w:rsidR="005D6E84" w:rsidRPr="005A6BA1" w:rsidRDefault="005D6E84" w:rsidP="005A6BA1">
      <w:pPr>
        <w:pStyle w:val="BodyText"/>
      </w:pPr>
      <w:r w:rsidRPr="005A6BA1">
        <w:t>Successful responses included</w:t>
      </w:r>
      <w:r w:rsidR="007351DA">
        <w:t xml:space="preserve"> o</w:t>
      </w:r>
      <w:r w:rsidRPr="005A6BA1">
        <w:t>ne specific skill to develop</w:t>
      </w:r>
      <w:r w:rsidR="3C9A497A" w:rsidRPr="005A6BA1">
        <w:t xml:space="preserve">, </w:t>
      </w:r>
      <w:r w:rsidR="007351DA">
        <w:t>a</w:t>
      </w:r>
      <w:r w:rsidRPr="005A6BA1">
        <w:t>n experiment with clear variables being tested</w:t>
      </w:r>
      <w:r w:rsidR="40FE6190" w:rsidRPr="005A6BA1">
        <w:t xml:space="preserve">, </w:t>
      </w:r>
      <w:r w:rsidR="007351DA">
        <w:t xml:space="preserve">and how </w:t>
      </w:r>
      <w:r w:rsidRPr="005A6BA1">
        <w:t>you will test it / evaluate the results</w:t>
      </w:r>
      <w:r w:rsidR="007351DA">
        <w:t>.</w:t>
      </w:r>
    </w:p>
    <w:p w14:paraId="75A41EF7" w14:textId="00FBA905" w:rsidR="00E82BB5" w:rsidRPr="005A6BA1" w:rsidRDefault="00E82BB5" w:rsidP="005A6BA1">
      <w:pPr>
        <w:pStyle w:val="BodyText"/>
      </w:pPr>
      <w:r w:rsidRPr="005A6BA1">
        <w:t xml:space="preserve">High-scoring responses </w:t>
      </w:r>
      <w:r w:rsidR="00234B89">
        <w:t>included</w:t>
      </w:r>
      <w:r w:rsidRPr="005A6BA1">
        <w:t>:</w:t>
      </w:r>
    </w:p>
    <w:p w14:paraId="7D8290B0" w14:textId="05639857" w:rsidR="00E82BB5" w:rsidRPr="005A6BA1" w:rsidRDefault="004D7AF0" w:rsidP="005A6BA1">
      <w:pPr>
        <w:pStyle w:val="Bullet"/>
      </w:pPr>
      <w:r>
        <w:t>c</w:t>
      </w:r>
      <w:r w:rsidR="00E82BB5" w:rsidRPr="005A6BA1">
        <w:t>lear identification of one specific skill to be developed</w:t>
      </w:r>
      <w:r>
        <w:t>;</w:t>
      </w:r>
      <w:r w:rsidR="286D32BB" w:rsidRPr="005A6BA1">
        <w:t xml:space="preserve"> for example, </w:t>
      </w:r>
      <w:r w:rsidR="005C6F9E" w:rsidRPr="005A6BA1">
        <w:t>‘</w:t>
      </w:r>
      <w:r w:rsidR="00E82BB5" w:rsidRPr="005A6BA1">
        <w:t>developing audio interview techniques to capture clear dialogue in noisy environments</w:t>
      </w:r>
      <w:r w:rsidR="005C6F9E" w:rsidRPr="005A6BA1">
        <w:t>’</w:t>
      </w:r>
    </w:p>
    <w:p w14:paraId="74519967" w14:textId="6FA87AE2" w:rsidR="00273A70" w:rsidRPr="005A6BA1" w:rsidRDefault="004D7AF0" w:rsidP="005A6BA1">
      <w:pPr>
        <w:pStyle w:val="Bullet"/>
      </w:pPr>
      <w:r>
        <w:t>a</w:t>
      </w:r>
      <w:r w:rsidR="00E82BB5" w:rsidRPr="005A6BA1">
        <w:t xml:space="preserve"> detailed, well-structured experiment with clear variables being tested</w:t>
      </w:r>
      <w:r>
        <w:t>;</w:t>
      </w:r>
      <w:r w:rsidR="248108A3" w:rsidRPr="005A6BA1">
        <w:t xml:space="preserve"> for example, </w:t>
      </w:r>
      <w:r w:rsidR="00E82BB5" w:rsidRPr="005A6BA1">
        <w:t>testing three different microphone setups in the same conditions to isolate the impact on microphone choice</w:t>
      </w:r>
      <w:r w:rsidR="376B65C3" w:rsidRPr="005A6BA1">
        <w:t xml:space="preserve">, </w:t>
      </w:r>
      <w:r w:rsidR="00273A70" w:rsidRPr="005A6BA1">
        <w:t>and/or how the experiment would be evaluated.</w:t>
      </w:r>
    </w:p>
    <w:p w14:paraId="5962643D" w14:textId="2D7F358D" w:rsidR="00273A70" w:rsidRPr="005A6BA1" w:rsidRDefault="00273A70" w:rsidP="005A6BA1">
      <w:pPr>
        <w:pStyle w:val="BodyText"/>
      </w:pPr>
      <w:r w:rsidRPr="005A6BA1">
        <w:t xml:space="preserve">Common errors </w:t>
      </w:r>
      <w:r w:rsidR="0056579D">
        <w:t>included</w:t>
      </w:r>
      <w:r w:rsidRPr="005A6BA1">
        <w:t>:</w:t>
      </w:r>
    </w:p>
    <w:p w14:paraId="221A1303" w14:textId="2CD0E456" w:rsidR="00E82BB5" w:rsidRPr="005A6BA1" w:rsidRDefault="004D7AF0" w:rsidP="005A6BA1">
      <w:pPr>
        <w:pStyle w:val="Bullet"/>
      </w:pPr>
      <w:r>
        <w:t>a</w:t>
      </w:r>
      <w:r w:rsidR="4D1467C7" w:rsidRPr="005A6BA1">
        <w:t xml:space="preserve"> vague description of </w:t>
      </w:r>
      <w:r w:rsidR="00273A70" w:rsidRPr="005A6BA1">
        <w:t>the skill</w:t>
      </w:r>
      <w:r>
        <w:t>;</w:t>
      </w:r>
      <w:r w:rsidR="7627BD31" w:rsidRPr="005A6BA1">
        <w:t xml:space="preserve"> for example</w:t>
      </w:r>
      <w:r w:rsidR="007351DA">
        <w:t>,</w:t>
      </w:r>
      <w:r w:rsidR="7627BD31" w:rsidRPr="005A6BA1">
        <w:t xml:space="preserve"> </w:t>
      </w:r>
      <w:r w:rsidR="005C6F9E" w:rsidRPr="005A6BA1">
        <w:t>‘</w:t>
      </w:r>
      <w:r w:rsidR="00273A70" w:rsidRPr="005A6BA1">
        <w:t>I want to get better at using the camera</w:t>
      </w:r>
      <w:r w:rsidR="005C6F9E" w:rsidRPr="005A6BA1">
        <w:t>’</w:t>
      </w:r>
      <w:r w:rsidR="00273A70" w:rsidRPr="005A6BA1">
        <w:t xml:space="preserve"> rather than </w:t>
      </w:r>
      <w:r w:rsidR="005C6F9E" w:rsidRPr="005A6BA1">
        <w:t>‘</w:t>
      </w:r>
      <w:r w:rsidR="00273A70" w:rsidRPr="005A6BA1">
        <w:t>develop my ability to use manual focus to create smooth focus pulls</w:t>
      </w:r>
      <w:r w:rsidR="005C6F9E" w:rsidRPr="005A6BA1">
        <w:t>’</w:t>
      </w:r>
      <w:r w:rsidR="00273A70" w:rsidRPr="005A6BA1">
        <w:t xml:space="preserve">, or </w:t>
      </w:r>
      <w:r w:rsidR="288CBECE" w:rsidRPr="005A6BA1">
        <w:t xml:space="preserve">not identifying </w:t>
      </w:r>
      <w:r w:rsidR="00273A70" w:rsidRPr="005A6BA1">
        <w:t>a specific skill at all</w:t>
      </w:r>
    </w:p>
    <w:p w14:paraId="7BDE5D6D" w14:textId="64D47535" w:rsidR="00273A70" w:rsidRPr="005A6BA1" w:rsidRDefault="004D7AF0" w:rsidP="005A6BA1">
      <w:pPr>
        <w:pStyle w:val="Bullet"/>
      </w:pPr>
      <w:r>
        <w:t>l</w:t>
      </w:r>
      <w:r w:rsidR="00273A70" w:rsidRPr="005A6BA1">
        <w:t xml:space="preserve">isting actions </w:t>
      </w:r>
      <w:r w:rsidR="7747F017" w:rsidRPr="005A6BA1">
        <w:t xml:space="preserve">in using equipment, technologies or processes </w:t>
      </w:r>
      <w:r w:rsidR="00273A70" w:rsidRPr="005A6BA1">
        <w:t>without explaining what is being tested, how it is being tested or how the results will be evaluated</w:t>
      </w:r>
    </w:p>
    <w:p w14:paraId="6C55AC8C" w14:textId="45A15469" w:rsidR="00273A70" w:rsidRPr="005A6BA1" w:rsidRDefault="004D7AF0" w:rsidP="005A6BA1">
      <w:pPr>
        <w:pStyle w:val="Bullet"/>
      </w:pPr>
      <w:r>
        <w:t>u</w:t>
      </w:r>
      <w:r w:rsidR="00273A70" w:rsidRPr="005A6BA1">
        <w:t>sing general rather than speciali</w:t>
      </w:r>
      <w:r w:rsidR="00230FBF" w:rsidRPr="005A6BA1">
        <w:t>s</w:t>
      </w:r>
      <w:r w:rsidR="00273A70" w:rsidRPr="005A6BA1">
        <w:t>ed media language.</w:t>
      </w:r>
    </w:p>
    <w:p w14:paraId="14FE1095" w14:textId="72DB84C7" w:rsidR="00D96A4C" w:rsidRPr="005A6BA1" w:rsidRDefault="00B026D0" w:rsidP="005A6BA1">
      <w:pPr>
        <w:pStyle w:val="BodyText"/>
      </w:pPr>
      <w:r>
        <w:t>The following is an example of a high-scoring</w:t>
      </w:r>
      <w:r w:rsidR="00D96A4C" w:rsidRPr="005A6BA1">
        <w:t xml:space="preserve"> </w:t>
      </w:r>
      <w:r w:rsidR="00303D19">
        <w:t>r</w:t>
      </w:r>
      <w:r w:rsidR="00D96A4C" w:rsidRPr="005A6BA1">
        <w:t>esponse:</w:t>
      </w:r>
    </w:p>
    <w:p w14:paraId="1D7606E5" w14:textId="59301809" w:rsidR="00BB512B" w:rsidRPr="00BB512B" w:rsidRDefault="00D96A4C" w:rsidP="00BB512B">
      <w:pPr>
        <w:pStyle w:val="Studentsample"/>
      </w:pPr>
      <w:r w:rsidRPr="005A6BA1">
        <w:t>In order to improve accuracy and audio, I would first conduct an experiment investigating the impact of microphone placement on clarity of dialogue. The experiment would involve a short, 30 second scene of two character dialogue recorded first with microphones clipped to the collars of each subject, then again with the use of a single boom microphone above their heads</w:t>
      </w:r>
      <w:r w:rsidR="002E4A7F" w:rsidRPr="005A6BA1">
        <w:t>…</w:t>
      </w:r>
      <w:r w:rsidRPr="005A6BA1">
        <w:t xml:space="preserve"> Then, both clips would be sent to an audience for feedback forms, assessing audio clarity and selecting which microphone placement sounded clearer to them. The results would then be used to inform the best mic placement when shooting dialogue for the ABC.</w:t>
      </w:r>
    </w:p>
    <w:p w14:paraId="3613E47F" w14:textId="518FCFAD" w:rsidR="00230FBF" w:rsidRPr="005A6BA1" w:rsidRDefault="00230FBF" w:rsidP="00BB512B">
      <w:pPr>
        <w:pStyle w:val="Heading2"/>
      </w:pPr>
      <w:r w:rsidRPr="005A6BA1">
        <w:t>Question 6</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864"/>
      </w:tblGrid>
      <w:tr w:rsidR="00AA7969" w:rsidRPr="00141A4D" w14:paraId="14C26FA3" w14:textId="77777777" w:rsidTr="002A6C77">
        <w:trPr>
          <w:cnfStyle w:val="100000000000" w:firstRow="1" w:lastRow="0" w:firstColumn="0" w:lastColumn="0" w:oddVBand="0" w:evenVBand="0" w:oddHBand="0" w:evenHBand="0" w:firstRowFirstColumn="0" w:firstRowLastColumn="0" w:lastRowFirstColumn="0" w:lastRowLastColumn="0"/>
        </w:trPr>
        <w:tc>
          <w:tcPr>
            <w:tcW w:w="599" w:type="dxa"/>
          </w:tcPr>
          <w:p w14:paraId="7C2F0947" w14:textId="77777777" w:rsidR="00AA7969" w:rsidRPr="00141A4D" w:rsidRDefault="00AA7969" w:rsidP="000E289F">
            <w:pPr>
              <w:pStyle w:val="Tablecondensedheading"/>
              <w:rPr>
                <w:lang w:val="en-AU"/>
              </w:rPr>
            </w:pPr>
            <w:r w:rsidRPr="00141A4D">
              <w:rPr>
                <w:lang w:val="en-AU"/>
              </w:rPr>
              <w:t>Mark</w:t>
            </w:r>
          </w:p>
        </w:tc>
        <w:tc>
          <w:tcPr>
            <w:tcW w:w="576" w:type="dxa"/>
          </w:tcPr>
          <w:p w14:paraId="3383DFEE" w14:textId="77777777" w:rsidR="00AA7969" w:rsidRPr="00141A4D" w:rsidRDefault="00AA7969" w:rsidP="000E289F">
            <w:pPr>
              <w:pStyle w:val="Tablecondensedheading"/>
              <w:rPr>
                <w:lang w:val="en-AU"/>
              </w:rPr>
            </w:pPr>
            <w:r w:rsidRPr="00141A4D">
              <w:rPr>
                <w:lang w:val="en-AU"/>
              </w:rPr>
              <w:t>0</w:t>
            </w:r>
          </w:p>
        </w:tc>
        <w:tc>
          <w:tcPr>
            <w:tcW w:w="576" w:type="dxa"/>
          </w:tcPr>
          <w:p w14:paraId="6532801B" w14:textId="77777777" w:rsidR="00AA7969" w:rsidRPr="00141A4D" w:rsidRDefault="00AA7969" w:rsidP="000E289F">
            <w:pPr>
              <w:pStyle w:val="Tablecondensedheading"/>
              <w:rPr>
                <w:lang w:val="en-AU"/>
              </w:rPr>
            </w:pPr>
            <w:r w:rsidRPr="00141A4D">
              <w:rPr>
                <w:lang w:val="en-AU"/>
              </w:rPr>
              <w:t>1</w:t>
            </w:r>
          </w:p>
        </w:tc>
        <w:tc>
          <w:tcPr>
            <w:tcW w:w="576" w:type="dxa"/>
          </w:tcPr>
          <w:p w14:paraId="5D69730F" w14:textId="77777777" w:rsidR="00AA7969" w:rsidRPr="00141A4D" w:rsidRDefault="00AA7969" w:rsidP="000E289F">
            <w:pPr>
              <w:pStyle w:val="Tablecondensedheading"/>
              <w:rPr>
                <w:lang w:val="en-AU"/>
              </w:rPr>
            </w:pPr>
            <w:r w:rsidRPr="00141A4D">
              <w:rPr>
                <w:lang w:val="en-AU"/>
              </w:rPr>
              <w:t>2</w:t>
            </w:r>
          </w:p>
        </w:tc>
        <w:tc>
          <w:tcPr>
            <w:tcW w:w="576" w:type="dxa"/>
          </w:tcPr>
          <w:p w14:paraId="316FEBD4" w14:textId="77777777" w:rsidR="00AA7969" w:rsidRPr="00141A4D" w:rsidRDefault="00AA7969" w:rsidP="000E289F">
            <w:pPr>
              <w:pStyle w:val="Tablecondensedheading"/>
              <w:rPr>
                <w:lang w:val="en-AU"/>
              </w:rPr>
            </w:pPr>
            <w:r>
              <w:rPr>
                <w:lang w:val="en-AU"/>
              </w:rPr>
              <w:t>3</w:t>
            </w:r>
          </w:p>
        </w:tc>
        <w:tc>
          <w:tcPr>
            <w:tcW w:w="576" w:type="dxa"/>
          </w:tcPr>
          <w:p w14:paraId="2DB6F4A4" w14:textId="77777777" w:rsidR="00AA7969" w:rsidRPr="00141A4D" w:rsidRDefault="00AA7969" w:rsidP="000E289F">
            <w:pPr>
              <w:pStyle w:val="Tablecondensedheading"/>
              <w:rPr>
                <w:lang w:val="en-AU"/>
              </w:rPr>
            </w:pPr>
            <w:r>
              <w:rPr>
                <w:lang w:val="en-AU"/>
              </w:rPr>
              <w:t>4</w:t>
            </w:r>
          </w:p>
        </w:tc>
        <w:tc>
          <w:tcPr>
            <w:tcW w:w="576" w:type="dxa"/>
          </w:tcPr>
          <w:p w14:paraId="5ED3FC23" w14:textId="77777777" w:rsidR="00AA7969" w:rsidRDefault="00AA7969" w:rsidP="000E289F">
            <w:pPr>
              <w:pStyle w:val="Tablecondensedheading"/>
              <w:rPr>
                <w:lang w:val="en-AU"/>
              </w:rPr>
            </w:pPr>
            <w:r>
              <w:rPr>
                <w:lang w:val="en-AU"/>
              </w:rPr>
              <w:t>5</w:t>
            </w:r>
          </w:p>
        </w:tc>
        <w:tc>
          <w:tcPr>
            <w:tcW w:w="576" w:type="dxa"/>
          </w:tcPr>
          <w:p w14:paraId="057CAC46" w14:textId="77777777" w:rsidR="00AA7969" w:rsidRDefault="00AA7969" w:rsidP="000E289F">
            <w:pPr>
              <w:pStyle w:val="Tablecondensedheading"/>
              <w:rPr>
                <w:lang w:val="en-AU"/>
              </w:rPr>
            </w:pPr>
            <w:r>
              <w:rPr>
                <w:lang w:val="en-AU"/>
              </w:rPr>
              <w:t>6</w:t>
            </w:r>
          </w:p>
        </w:tc>
        <w:tc>
          <w:tcPr>
            <w:tcW w:w="576" w:type="dxa"/>
          </w:tcPr>
          <w:p w14:paraId="1AE9BFF1" w14:textId="77777777" w:rsidR="00AA7969" w:rsidRDefault="00AA7969" w:rsidP="000E289F">
            <w:pPr>
              <w:pStyle w:val="Tablecondensedheading"/>
              <w:rPr>
                <w:lang w:val="en-AU"/>
              </w:rPr>
            </w:pPr>
            <w:r>
              <w:rPr>
                <w:lang w:val="en-AU"/>
              </w:rPr>
              <w:t>7</w:t>
            </w:r>
          </w:p>
        </w:tc>
        <w:tc>
          <w:tcPr>
            <w:tcW w:w="864" w:type="dxa"/>
          </w:tcPr>
          <w:p w14:paraId="6EE9A742" w14:textId="77777777" w:rsidR="00AA7969" w:rsidRPr="00141A4D" w:rsidRDefault="00AA7969" w:rsidP="000E289F">
            <w:pPr>
              <w:pStyle w:val="Tablecondensedheading"/>
              <w:rPr>
                <w:lang w:val="en-AU"/>
              </w:rPr>
            </w:pPr>
            <w:r w:rsidRPr="00141A4D">
              <w:rPr>
                <w:lang w:val="en-AU"/>
              </w:rPr>
              <w:t>Average</w:t>
            </w:r>
          </w:p>
        </w:tc>
      </w:tr>
      <w:tr w:rsidR="00AA7969" w:rsidRPr="00141A4D" w14:paraId="7A62F7B1" w14:textId="77777777" w:rsidTr="002A6C77">
        <w:tc>
          <w:tcPr>
            <w:tcW w:w="599" w:type="dxa"/>
          </w:tcPr>
          <w:p w14:paraId="02417FFC" w14:textId="77777777" w:rsidR="00AA7969" w:rsidRPr="00141A4D" w:rsidRDefault="00AA7969" w:rsidP="000E289F">
            <w:pPr>
              <w:pStyle w:val="Tablecondensed"/>
              <w:rPr>
                <w:lang w:val="en-AU"/>
              </w:rPr>
            </w:pPr>
            <w:r w:rsidRPr="00141A4D">
              <w:rPr>
                <w:lang w:val="en-AU"/>
              </w:rPr>
              <w:t>%</w:t>
            </w:r>
          </w:p>
        </w:tc>
        <w:tc>
          <w:tcPr>
            <w:tcW w:w="576" w:type="dxa"/>
          </w:tcPr>
          <w:p w14:paraId="25D789C4" w14:textId="6E2B6B4E" w:rsidR="00AA7969" w:rsidRPr="00141A4D" w:rsidRDefault="00AA7969" w:rsidP="000E289F">
            <w:pPr>
              <w:pStyle w:val="Tablecondensed"/>
              <w:rPr>
                <w:lang w:val="en-AU"/>
              </w:rPr>
            </w:pPr>
            <w:r>
              <w:rPr>
                <w:lang w:val="en-AU"/>
              </w:rPr>
              <w:t>4</w:t>
            </w:r>
          </w:p>
        </w:tc>
        <w:tc>
          <w:tcPr>
            <w:tcW w:w="576" w:type="dxa"/>
          </w:tcPr>
          <w:p w14:paraId="58CCE5EB" w14:textId="55A817F2" w:rsidR="00AA7969" w:rsidRPr="00141A4D" w:rsidRDefault="00AA7969" w:rsidP="000E289F">
            <w:pPr>
              <w:pStyle w:val="Tablecondensed"/>
              <w:rPr>
                <w:lang w:val="en-AU"/>
              </w:rPr>
            </w:pPr>
            <w:r>
              <w:rPr>
                <w:lang w:val="en-AU"/>
              </w:rPr>
              <w:t>4</w:t>
            </w:r>
          </w:p>
        </w:tc>
        <w:tc>
          <w:tcPr>
            <w:tcW w:w="576" w:type="dxa"/>
          </w:tcPr>
          <w:p w14:paraId="479D3E50" w14:textId="7B870EC1" w:rsidR="00AA7969" w:rsidRPr="00141A4D" w:rsidRDefault="00AA7969" w:rsidP="000E289F">
            <w:pPr>
              <w:pStyle w:val="Tablecondensed"/>
              <w:rPr>
                <w:lang w:val="en-AU"/>
              </w:rPr>
            </w:pPr>
            <w:r>
              <w:rPr>
                <w:lang w:val="en-AU"/>
              </w:rPr>
              <w:t>8</w:t>
            </w:r>
          </w:p>
        </w:tc>
        <w:tc>
          <w:tcPr>
            <w:tcW w:w="576" w:type="dxa"/>
          </w:tcPr>
          <w:p w14:paraId="766C6A03" w14:textId="02AC38DE" w:rsidR="00AA7969" w:rsidRDefault="00AA7969" w:rsidP="000E289F">
            <w:pPr>
              <w:pStyle w:val="Tablecondensed"/>
              <w:rPr>
                <w:lang w:val="en-AU"/>
              </w:rPr>
            </w:pPr>
            <w:r>
              <w:rPr>
                <w:lang w:val="en-AU"/>
              </w:rPr>
              <w:t>16</w:t>
            </w:r>
          </w:p>
        </w:tc>
        <w:tc>
          <w:tcPr>
            <w:tcW w:w="576" w:type="dxa"/>
          </w:tcPr>
          <w:p w14:paraId="382BE4F5" w14:textId="43E8297E" w:rsidR="00AA7969" w:rsidRDefault="00AA7969" w:rsidP="000E289F">
            <w:pPr>
              <w:pStyle w:val="Tablecondensed"/>
              <w:rPr>
                <w:lang w:val="en-AU"/>
              </w:rPr>
            </w:pPr>
            <w:r>
              <w:rPr>
                <w:lang w:val="en-AU"/>
              </w:rPr>
              <w:t>23</w:t>
            </w:r>
          </w:p>
        </w:tc>
        <w:tc>
          <w:tcPr>
            <w:tcW w:w="576" w:type="dxa"/>
          </w:tcPr>
          <w:p w14:paraId="06FB6C31" w14:textId="2D20FD0B" w:rsidR="00AA7969" w:rsidRDefault="00AA7969" w:rsidP="000E289F">
            <w:pPr>
              <w:pStyle w:val="Tablecondensed"/>
              <w:rPr>
                <w:lang w:val="en-AU"/>
              </w:rPr>
            </w:pPr>
            <w:r>
              <w:rPr>
                <w:lang w:val="en-AU"/>
              </w:rPr>
              <w:t>22</w:t>
            </w:r>
          </w:p>
        </w:tc>
        <w:tc>
          <w:tcPr>
            <w:tcW w:w="576" w:type="dxa"/>
          </w:tcPr>
          <w:p w14:paraId="76723777" w14:textId="00900384" w:rsidR="00AA7969" w:rsidRDefault="00AA7969" w:rsidP="000E289F">
            <w:pPr>
              <w:pStyle w:val="Tablecondensed"/>
              <w:rPr>
                <w:lang w:val="en-AU"/>
              </w:rPr>
            </w:pPr>
            <w:r>
              <w:rPr>
                <w:lang w:val="en-AU"/>
              </w:rPr>
              <w:t>15</w:t>
            </w:r>
          </w:p>
        </w:tc>
        <w:tc>
          <w:tcPr>
            <w:tcW w:w="576" w:type="dxa"/>
          </w:tcPr>
          <w:p w14:paraId="16C6BBC1" w14:textId="0CA75CDB" w:rsidR="00AA7969" w:rsidRDefault="00AA7969" w:rsidP="000E289F">
            <w:pPr>
              <w:pStyle w:val="Tablecondensed"/>
              <w:rPr>
                <w:lang w:val="en-AU"/>
              </w:rPr>
            </w:pPr>
            <w:r>
              <w:rPr>
                <w:lang w:val="en-AU"/>
              </w:rPr>
              <w:t>7</w:t>
            </w:r>
          </w:p>
        </w:tc>
        <w:tc>
          <w:tcPr>
            <w:tcW w:w="864" w:type="dxa"/>
          </w:tcPr>
          <w:p w14:paraId="49B9DD13" w14:textId="7AEA6F89" w:rsidR="00AA7969" w:rsidRPr="00141A4D" w:rsidRDefault="00AA7969" w:rsidP="000E289F">
            <w:pPr>
              <w:pStyle w:val="Tablecondensed"/>
              <w:rPr>
                <w:lang w:val="en-AU"/>
              </w:rPr>
            </w:pPr>
            <w:r>
              <w:rPr>
                <w:lang w:val="en-AU"/>
              </w:rPr>
              <w:t>4.1</w:t>
            </w:r>
          </w:p>
        </w:tc>
      </w:tr>
    </w:tbl>
    <w:p w14:paraId="38D495DC" w14:textId="52367AA3" w:rsidR="00E82BB5" w:rsidRPr="005A6BA1" w:rsidRDefault="004B58EE" w:rsidP="005A6BA1">
      <w:pPr>
        <w:pStyle w:val="BodyText"/>
      </w:pPr>
      <w:r>
        <w:t>Students</w:t>
      </w:r>
      <w:r w:rsidRPr="005A6BA1">
        <w:t xml:space="preserve"> </w:t>
      </w:r>
      <w:r w:rsidR="00230FBF" w:rsidRPr="005A6BA1">
        <w:t>were required to explain the narrative of the proposed production from Question 4 and how it will help achieve the intention of the AB</w:t>
      </w:r>
      <w:r w:rsidR="00012272" w:rsidRPr="005A6BA1">
        <w:t>C’</w:t>
      </w:r>
      <w:r w:rsidR="00230FBF" w:rsidRPr="005A6BA1">
        <w:t>s five-year plan. Responses needed to present a complete narrative with</w:t>
      </w:r>
      <w:r w:rsidR="00AA7969">
        <w:t xml:space="preserve"> a</w:t>
      </w:r>
      <w:r w:rsidR="00230FBF" w:rsidRPr="005A6BA1">
        <w:t xml:space="preserve"> clear cause and effect structure, and explicitly connect </w:t>
      </w:r>
      <w:r w:rsidR="00234B89">
        <w:t xml:space="preserve">it to </w:t>
      </w:r>
      <w:r w:rsidR="00230FBF" w:rsidRPr="005A6BA1">
        <w:t>achiev</w:t>
      </w:r>
      <w:r w:rsidR="0011486B">
        <w:t>ing</w:t>
      </w:r>
      <w:r w:rsidR="00230FBF" w:rsidRPr="005A6BA1">
        <w:t xml:space="preserve"> the ABC’s goals.</w:t>
      </w:r>
    </w:p>
    <w:p w14:paraId="43654838" w14:textId="64547028" w:rsidR="00230FBF" w:rsidRDefault="00230FBF" w:rsidP="005A6BA1">
      <w:pPr>
        <w:pStyle w:val="BodyText"/>
      </w:pPr>
      <w:r w:rsidRPr="005A6BA1">
        <w:t xml:space="preserve">High-scoring responses </w:t>
      </w:r>
      <w:r w:rsidR="00234B89">
        <w:t>include</w:t>
      </w:r>
      <w:r w:rsidRPr="005A6BA1">
        <w:t>d:</w:t>
      </w:r>
    </w:p>
    <w:p w14:paraId="19424A7A" w14:textId="7BA53E93" w:rsidR="0054517B" w:rsidRDefault="00800CD8" w:rsidP="00371BFE">
      <w:pPr>
        <w:pStyle w:val="Bullet"/>
      </w:pPr>
      <w:r>
        <w:t>a</w:t>
      </w:r>
      <w:r w:rsidR="00371BFE">
        <w:t xml:space="preserve"> complete narrative with clear cause-and-effect relationships between characters</w:t>
      </w:r>
      <w:r w:rsidR="0011486B">
        <w:t xml:space="preserve">, </w:t>
      </w:r>
      <w:r w:rsidR="00371BFE">
        <w:t>or plot development</w:t>
      </w:r>
      <w:r w:rsidR="0011486B">
        <w:t xml:space="preserve">; </w:t>
      </w:r>
      <w:r w:rsidR="00371BFE">
        <w:t>for example, how plot events lead to other events or how events cause character change</w:t>
      </w:r>
    </w:p>
    <w:p w14:paraId="517AA293" w14:textId="7C3809FC" w:rsidR="00371BFE" w:rsidRPr="005A6BA1" w:rsidRDefault="00800CD8" w:rsidP="00771EC7">
      <w:pPr>
        <w:pStyle w:val="Bullet"/>
      </w:pPr>
      <w:r>
        <w:t>c</w:t>
      </w:r>
      <w:r w:rsidR="00371BFE">
        <w:t>onnective language such as ‘this leads to</w:t>
      </w:r>
      <w:r w:rsidR="00906A4F">
        <w:t>’</w:t>
      </w:r>
      <w:r w:rsidR="00371BFE">
        <w:t xml:space="preserve">, </w:t>
      </w:r>
      <w:r w:rsidR="00906A4F">
        <w:t>‘</w:t>
      </w:r>
      <w:r w:rsidR="00371BFE">
        <w:t>as a result</w:t>
      </w:r>
      <w:r w:rsidR="00906A4F">
        <w:t>’</w:t>
      </w:r>
      <w:r w:rsidR="00371BFE">
        <w:t xml:space="preserve">, </w:t>
      </w:r>
      <w:r w:rsidR="00906A4F">
        <w:t>‘</w:t>
      </w:r>
      <w:r w:rsidR="00371BFE">
        <w:t>because of this</w:t>
      </w:r>
      <w:r w:rsidR="00906A4F">
        <w:t>’</w:t>
      </w:r>
    </w:p>
    <w:p w14:paraId="444E8E25" w14:textId="0CE4077B" w:rsidR="00230FBF" w:rsidRPr="005A6BA1" w:rsidRDefault="00800CD8" w:rsidP="005A6BA1">
      <w:pPr>
        <w:pStyle w:val="Bullet"/>
      </w:pPr>
      <w:r>
        <w:t>e</w:t>
      </w:r>
      <w:r w:rsidR="00012272" w:rsidRPr="005A6BA1">
        <w:t>xplicit connections between the narrative and how it achieves specific goals from the ABC’s five-year plan</w:t>
      </w:r>
      <w:r w:rsidR="00315121">
        <w:t>.</w:t>
      </w:r>
    </w:p>
    <w:p w14:paraId="6D64CFBA" w14:textId="22FFA1C6" w:rsidR="00012272" w:rsidRPr="005A6BA1" w:rsidRDefault="00012272" w:rsidP="005A6BA1">
      <w:pPr>
        <w:pStyle w:val="BodyText"/>
      </w:pPr>
      <w:r w:rsidRPr="005A6BA1">
        <w:t xml:space="preserve">Common errors </w:t>
      </w:r>
      <w:r w:rsidR="0056579D">
        <w:t>included</w:t>
      </w:r>
      <w:r w:rsidRPr="005A6BA1">
        <w:t>:</w:t>
      </w:r>
    </w:p>
    <w:p w14:paraId="266BF446" w14:textId="1832E7B0" w:rsidR="00012272" w:rsidRPr="005A6BA1" w:rsidRDefault="00800CD8" w:rsidP="005A6BA1">
      <w:pPr>
        <w:pStyle w:val="Bullet"/>
      </w:pPr>
      <w:r>
        <w:t>d</w:t>
      </w:r>
      <w:r w:rsidR="00012272" w:rsidRPr="005A6BA1">
        <w:t>escribing content or topic</w:t>
      </w:r>
      <w:r w:rsidR="3E41552D" w:rsidRPr="005A6BA1">
        <w:t>s</w:t>
      </w:r>
      <w:r w:rsidR="00012272" w:rsidRPr="005A6BA1">
        <w:t xml:space="preserve"> rather than </w:t>
      </w:r>
      <w:r w:rsidR="1B01F04E" w:rsidRPr="005A6BA1">
        <w:t xml:space="preserve">a </w:t>
      </w:r>
      <w:r w:rsidR="00012272" w:rsidRPr="005A6BA1">
        <w:t>narrative with cause and effect</w:t>
      </w:r>
      <w:r>
        <w:t>;</w:t>
      </w:r>
      <w:r w:rsidR="7256B5C5" w:rsidRPr="005A6BA1">
        <w:t xml:space="preserve"> for example</w:t>
      </w:r>
      <w:r w:rsidR="00315121">
        <w:t>,</w:t>
      </w:r>
      <w:r w:rsidR="7256B5C5" w:rsidRPr="005A6BA1">
        <w:t xml:space="preserve"> </w:t>
      </w:r>
      <w:r w:rsidR="005C6F9E" w:rsidRPr="005A6BA1">
        <w:t>‘</w:t>
      </w:r>
      <w:r w:rsidR="00012272" w:rsidRPr="005A6BA1">
        <w:t>My documentary will cover climate change</w:t>
      </w:r>
      <w:r w:rsidR="005C6F9E" w:rsidRPr="005A6BA1">
        <w:t>’</w:t>
      </w:r>
    </w:p>
    <w:p w14:paraId="45B89FD5" w14:textId="33DC4C16" w:rsidR="00012272" w:rsidRPr="005A6BA1" w:rsidRDefault="00800CD8" w:rsidP="005A6BA1">
      <w:pPr>
        <w:pStyle w:val="Bullet"/>
      </w:pPr>
      <w:r>
        <w:t>c</w:t>
      </w:r>
      <w:r w:rsidR="00012272" w:rsidRPr="005A6BA1">
        <w:t xml:space="preserve">onfusing </w:t>
      </w:r>
      <w:r w:rsidR="57B71A87" w:rsidRPr="005A6BA1">
        <w:t xml:space="preserve">the concept of a </w:t>
      </w:r>
      <w:r w:rsidR="00012272" w:rsidRPr="005A6BA1">
        <w:t xml:space="preserve">narrative with </w:t>
      </w:r>
      <w:r w:rsidR="57679A99" w:rsidRPr="005A6BA1">
        <w:t xml:space="preserve">a </w:t>
      </w:r>
      <w:r w:rsidR="00012272" w:rsidRPr="005A6BA1">
        <w:t>theme</w:t>
      </w:r>
      <w:r w:rsidR="00315121">
        <w:t>.</w:t>
      </w:r>
      <w:r w:rsidR="6272D15E" w:rsidRPr="005A6BA1">
        <w:t xml:space="preserve"> </w:t>
      </w:r>
      <w:r w:rsidR="00371BFE">
        <w:t>Some students described what th</w:t>
      </w:r>
      <w:r w:rsidR="00906A4F">
        <w:t>e</w:t>
      </w:r>
      <w:r w:rsidR="00371BFE">
        <w:t xml:space="preserve"> production is about (its theme or central idea), rather than what happens in the production</w:t>
      </w:r>
      <w:r>
        <w:t>; f</w:t>
      </w:r>
      <w:r w:rsidR="00371BFE">
        <w:t>or example</w:t>
      </w:r>
      <w:r w:rsidR="00906A4F">
        <w:t>,</w:t>
      </w:r>
      <w:r w:rsidR="00371BFE">
        <w:t xml:space="preserve"> </w:t>
      </w:r>
      <w:r w:rsidR="0011486B">
        <w:t>‘</w:t>
      </w:r>
      <w:r w:rsidR="00371BFE">
        <w:t>The narrative is about climate change and how teenagers are not connected to nature</w:t>
      </w:r>
      <w:r w:rsidR="00906A4F">
        <w:t>’.</w:t>
      </w:r>
    </w:p>
    <w:p w14:paraId="49D0229E" w14:textId="36EE9EAD" w:rsidR="002E4A7F" w:rsidRPr="005A6BA1" w:rsidRDefault="00B026D0" w:rsidP="005A6BA1">
      <w:pPr>
        <w:pStyle w:val="BodyText"/>
      </w:pPr>
      <w:r>
        <w:t>The following is an example of a high-scoring</w:t>
      </w:r>
      <w:r w:rsidRPr="0035746B">
        <w:t xml:space="preserve"> </w:t>
      </w:r>
      <w:r w:rsidR="00303D19">
        <w:t>r</w:t>
      </w:r>
      <w:r w:rsidR="002E4A7F" w:rsidRPr="005A6BA1">
        <w:t>esponse:</w:t>
      </w:r>
    </w:p>
    <w:p w14:paraId="1C794B04" w14:textId="4C0EC292" w:rsidR="002E4A7F" w:rsidRPr="005A6BA1" w:rsidRDefault="002E4A7F" w:rsidP="005A6BA1">
      <w:pPr>
        <w:pStyle w:val="Studentsample"/>
      </w:pPr>
      <w:r w:rsidRPr="005A6BA1">
        <w:t>Each episode follows a condensed three act structure with exposition, rising action that results in a climax, and resolution to leave audiences satisfied. For instance, the pilot episode begins with an introduction to the five friends… The narrative commences with the first photography exposition for school, with a low angle shot establishing Izzy as confident and outgoing. By episode two, Izzy, George, Casey and Blake see new student Alex being picked on by a group of girls, leading to the rising action of confrontation at the drop off point. The resolution ends with Alex being invited to sit with the group, solidifying the Five Peas as a place of belonging. Through episodic deep dives into the lives, careers and sense of belonging in Australia, the narrative aligns with the ABC's aim of inclusivity and representation.</w:t>
      </w:r>
    </w:p>
    <w:p w14:paraId="13157EC4" w14:textId="0A8FBD30" w:rsidR="00012272" w:rsidRDefault="00012272" w:rsidP="000E289F">
      <w:pPr>
        <w:pStyle w:val="Heading2"/>
      </w:pPr>
      <w:r w:rsidRPr="005A6BA1">
        <w:t>Question 7</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315121" w:rsidRPr="00141A4D" w14:paraId="7C1D7379" w14:textId="77777777" w:rsidTr="002A6C77">
        <w:trPr>
          <w:cnfStyle w:val="100000000000" w:firstRow="1" w:lastRow="0" w:firstColumn="0" w:lastColumn="0" w:oddVBand="0" w:evenVBand="0" w:oddHBand="0" w:evenHBand="0" w:firstRowFirstColumn="0" w:firstRowLastColumn="0" w:lastRowFirstColumn="0" w:lastRowLastColumn="0"/>
        </w:trPr>
        <w:tc>
          <w:tcPr>
            <w:tcW w:w="599" w:type="dxa"/>
          </w:tcPr>
          <w:p w14:paraId="2CFF2054" w14:textId="77777777" w:rsidR="00315121" w:rsidRPr="00141A4D" w:rsidRDefault="00315121" w:rsidP="000E289F">
            <w:pPr>
              <w:pStyle w:val="Tablecondensedheading"/>
              <w:rPr>
                <w:lang w:val="en-AU"/>
              </w:rPr>
            </w:pPr>
            <w:r w:rsidRPr="00141A4D">
              <w:rPr>
                <w:lang w:val="en-AU"/>
              </w:rPr>
              <w:t>Mark</w:t>
            </w:r>
          </w:p>
        </w:tc>
        <w:tc>
          <w:tcPr>
            <w:tcW w:w="576" w:type="dxa"/>
          </w:tcPr>
          <w:p w14:paraId="528801F8" w14:textId="77777777" w:rsidR="00315121" w:rsidRPr="00141A4D" w:rsidRDefault="00315121" w:rsidP="000E289F">
            <w:pPr>
              <w:pStyle w:val="Tablecondensedheading"/>
              <w:rPr>
                <w:lang w:val="en-AU"/>
              </w:rPr>
            </w:pPr>
            <w:r w:rsidRPr="00141A4D">
              <w:rPr>
                <w:lang w:val="en-AU"/>
              </w:rPr>
              <w:t>0</w:t>
            </w:r>
          </w:p>
        </w:tc>
        <w:tc>
          <w:tcPr>
            <w:tcW w:w="576" w:type="dxa"/>
          </w:tcPr>
          <w:p w14:paraId="46C05D90" w14:textId="77777777" w:rsidR="00315121" w:rsidRPr="00141A4D" w:rsidRDefault="00315121" w:rsidP="000E289F">
            <w:pPr>
              <w:pStyle w:val="Tablecondensedheading"/>
              <w:rPr>
                <w:lang w:val="en-AU"/>
              </w:rPr>
            </w:pPr>
            <w:r w:rsidRPr="00141A4D">
              <w:rPr>
                <w:lang w:val="en-AU"/>
              </w:rPr>
              <w:t>1</w:t>
            </w:r>
          </w:p>
        </w:tc>
        <w:tc>
          <w:tcPr>
            <w:tcW w:w="576" w:type="dxa"/>
          </w:tcPr>
          <w:p w14:paraId="5CD22850" w14:textId="77777777" w:rsidR="00315121" w:rsidRPr="00141A4D" w:rsidRDefault="00315121" w:rsidP="000E289F">
            <w:pPr>
              <w:pStyle w:val="Tablecondensedheading"/>
              <w:rPr>
                <w:lang w:val="en-AU"/>
              </w:rPr>
            </w:pPr>
            <w:r w:rsidRPr="00141A4D">
              <w:rPr>
                <w:lang w:val="en-AU"/>
              </w:rPr>
              <w:t>2</w:t>
            </w:r>
          </w:p>
        </w:tc>
        <w:tc>
          <w:tcPr>
            <w:tcW w:w="576" w:type="dxa"/>
          </w:tcPr>
          <w:p w14:paraId="05617E73" w14:textId="77777777" w:rsidR="00315121" w:rsidRPr="00141A4D" w:rsidRDefault="00315121" w:rsidP="000E289F">
            <w:pPr>
              <w:pStyle w:val="Tablecondensedheading"/>
              <w:rPr>
                <w:lang w:val="en-AU"/>
              </w:rPr>
            </w:pPr>
            <w:r>
              <w:rPr>
                <w:lang w:val="en-AU"/>
              </w:rPr>
              <w:t>3</w:t>
            </w:r>
          </w:p>
        </w:tc>
        <w:tc>
          <w:tcPr>
            <w:tcW w:w="576" w:type="dxa"/>
          </w:tcPr>
          <w:p w14:paraId="083CBF26" w14:textId="77777777" w:rsidR="00315121" w:rsidRPr="00141A4D" w:rsidRDefault="00315121" w:rsidP="000E289F">
            <w:pPr>
              <w:pStyle w:val="Tablecondensedheading"/>
              <w:rPr>
                <w:lang w:val="en-AU"/>
              </w:rPr>
            </w:pPr>
            <w:r>
              <w:rPr>
                <w:lang w:val="en-AU"/>
              </w:rPr>
              <w:t>4</w:t>
            </w:r>
          </w:p>
        </w:tc>
        <w:tc>
          <w:tcPr>
            <w:tcW w:w="864" w:type="dxa"/>
          </w:tcPr>
          <w:p w14:paraId="1D7DBF37" w14:textId="77777777" w:rsidR="00315121" w:rsidRPr="00141A4D" w:rsidRDefault="00315121" w:rsidP="000E289F">
            <w:pPr>
              <w:pStyle w:val="Tablecondensedheading"/>
              <w:rPr>
                <w:lang w:val="en-AU"/>
              </w:rPr>
            </w:pPr>
            <w:r w:rsidRPr="00141A4D">
              <w:rPr>
                <w:lang w:val="en-AU"/>
              </w:rPr>
              <w:t>Average</w:t>
            </w:r>
          </w:p>
        </w:tc>
      </w:tr>
      <w:tr w:rsidR="00315121" w:rsidRPr="00141A4D" w14:paraId="29A845C6" w14:textId="77777777" w:rsidTr="002A6C77">
        <w:tc>
          <w:tcPr>
            <w:tcW w:w="599" w:type="dxa"/>
          </w:tcPr>
          <w:p w14:paraId="10E3E8A3" w14:textId="77777777" w:rsidR="00315121" w:rsidRPr="00141A4D" w:rsidRDefault="00315121" w:rsidP="000E289F">
            <w:pPr>
              <w:pStyle w:val="Tablecondensed"/>
              <w:rPr>
                <w:lang w:val="en-AU"/>
              </w:rPr>
            </w:pPr>
            <w:r w:rsidRPr="00141A4D">
              <w:rPr>
                <w:lang w:val="en-AU"/>
              </w:rPr>
              <w:t>%</w:t>
            </w:r>
          </w:p>
        </w:tc>
        <w:tc>
          <w:tcPr>
            <w:tcW w:w="576" w:type="dxa"/>
          </w:tcPr>
          <w:p w14:paraId="12607C7A" w14:textId="7304BEE6" w:rsidR="00315121" w:rsidRPr="00141A4D" w:rsidRDefault="00315121" w:rsidP="000E289F">
            <w:pPr>
              <w:pStyle w:val="Tablecondensed"/>
              <w:rPr>
                <w:lang w:val="en-AU"/>
              </w:rPr>
            </w:pPr>
            <w:r>
              <w:rPr>
                <w:lang w:val="en-AU"/>
              </w:rPr>
              <w:t>4</w:t>
            </w:r>
          </w:p>
        </w:tc>
        <w:tc>
          <w:tcPr>
            <w:tcW w:w="576" w:type="dxa"/>
          </w:tcPr>
          <w:p w14:paraId="1A93FDD5" w14:textId="4D9C9647" w:rsidR="00315121" w:rsidRPr="00141A4D" w:rsidRDefault="00315121" w:rsidP="000E289F">
            <w:pPr>
              <w:pStyle w:val="Tablecondensed"/>
              <w:rPr>
                <w:lang w:val="en-AU"/>
              </w:rPr>
            </w:pPr>
            <w:r>
              <w:rPr>
                <w:lang w:val="en-AU"/>
              </w:rPr>
              <w:t>17</w:t>
            </w:r>
          </w:p>
        </w:tc>
        <w:tc>
          <w:tcPr>
            <w:tcW w:w="576" w:type="dxa"/>
          </w:tcPr>
          <w:p w14:paraId="3A7D9FFB" w14:textId="3EDC2636" w:rsidR="00315121" w:rsidRPr="00141A4D" w:rsidRDefault="00315121" w:rsidP="000E289F">
            <w:pPr>
              <w:pStyle w:val="Tablecondensed"/>
              <w:rPr>
                <w:lang w:val="en-AU"/>
              </w:rPr>
            </w:pPr>
            <w:r>
              <w:rPr>
                <w:lang w:val="en-AU"/>
              </w:rPr>
              <w:t>44</w:t>
            </w:r>
          </w:p>
        </w:tc>
        <w:tc>
          <w:tcPr>
            <w:tcW w:w="576" w:type="dxa"/>
          </w:tcPr>
          <w:p w14:paraId="006F4497" w14:textId="6A486841" w:rsidR="00315121" w:rsidRDefault="00315121" w:rsidP="000E289F">
            <w:pPr>
              <w:pStyle w:val="Tablecondensed"/>
              <w:rPr>
                <w:lang w:val="en-AU"/>
              </w:rPr>
            </w:pPr>
            <w:r>
              <w:rPr>
                <w:lang w:val="en-AU"/>
              </w:rPr>
              <w:t>27</w:t>
            </w:r>
          </w:p>
        </w:tc>
        <w:tc>
          <w:tcPr>
            <w:tcW w:w="576" w:type="dxa"/>
          </w:tcPr>
          <w:p w14:paraId="47A7179E" w14:textId="5D3AC755" w:rsidR="00315121" w:rsidRDefault="00315121" w:rsidP="000E289F">
            <w:pPr>
              <w:pStyle w:val="Tablecondensed"/>
              <w:rPr>
                <w:lang w:val="en-AU"/>
              </w:rPr>
            </w:pPr>
            <w:r>
              <w:rPr>
                <w:lang w:val="en-AU"/>
              </w:rPr>
              <w:t>8</w:t>
            </w:r>
          </w:p>
        </w:tc>
        <w:tc>
          <w:tcPr>
            <w:tcW w:w="864" w:type="dxa"/>
          </w:tcPr>
          <w:p w14:paraId="7041DC2B" w14:textId="29571778" w:rsidR="00315121" w:rsidRPr="00141A4D" w:rsidRDefault="00315121" w:rsidP="000E289F">
            <w:pPr>
              <w:pStyle w:val="Tablecondensed"/>
              <w:rPr>
                <w:lang w:val="en-AU"/>
              </w:rPr>
            </w:pPr>
            <w:r>
              <w:rPr>
                <w:lang w:val="en-AU"/>
              </w:rPr>
              <w:t>2.2</w:t>
            </w:r>
          </w:p>
        </w:tc>
      </w:tr>
    </w:tbl>
    <w:p w14:paraId="1BF54F1C" w14:textId="39904F46" w:rsidR="00315121" w:rsidRDefault="00315121" w:rsidP="00315121">
      <w:pPr>
        <w:pStyle w:val="BodyText"/>
      </w:pPr>
      <w:r>
        <w:t>Student</w:t>
      </w:r>
      <w:r w:rsidR="00012272" w:rsidRPr="005A6BA1">
        <w:t xml:space="preserve">s were required to discuss how feedback could be gathered in the post-production stage and used to refine the proposed media product to ensure it engages the intended audience. </w:t>
      </w:r>
    </w:p>
    <w:p w14:paraId="037DFB11" w14:textId="69C97E4F" w:rsidR="00012272" w:rsidRPr="005A6BA1" w:rsidRDefault="00315121" w:rsidP="005A6BA1">
      <w:pPr>
        <w:pStyle w:val="BodyText"/>
      </w:pPr>
      <w:r>
        <w:t>Successful r</w:t>
      </w:r>
      <w:r w:rsidR="00012272" w:rsidRPr="005A6BA1">
        <w:t xml:space="preserve">esponses </w:t>
      </w:r>
      <w:r w:rsidR="007C2C17">
        <w:t xml:space="preserve">included </w:t>
      </w:r>
      <w:r w:rsidR="0024291C" w:rsidRPr="005A6BA1">
        <w:t>identify</w:t>
      </w:r>
      <w:r w:rsidR="007C2C17">
        <w:t>ing</w:t>
      </w:r>
      <w:r w:rsidR="00012272" w:rsidRPr="005A6BA1">
        <w:t xml:space="preserve"> specific post-production feedback methods, explain</w:t>
      </w:r>
      <w:r w:rsidR="007C2C17">
        <w:t>ing</w:t>
      </w:r>
      <w:r w:rsidR="00012272" w:rsidRPr="005A6BA1">
        <w:t xml:space="preserve"> how feedback would be gathered and how the production would be refined based on that feedback, </w:t>
      </w:r>
      <w:r w:rsidR="007C2C17">
        <w:t xml:space="preserve">and how refinements would improve </w:t>
      </w:r>
      <w:r w:rsidR="00012272" w:rsidRPr="005A6BA1">
        <w:t xml:space="preserve">audience engagement. The feedback </w:t>
      </w:r>
      <w:r w:rsidR="007C2C17">
        <w:t xml:space="preserve">needed to </w:t>
      </w:r>
      <w:r w:rsidR="00012272" w:rsidRPr="005A6BA1">
        <w:t xml:space="preserve">occur </w:t>
      </w:r>
      <w:r w:rsidR="007C2C17">
        <w:t xml:space="preserve">specifically </w:t>
      </w:r>
      <w:r w:rsidR="00012272" w:rsidRPr="005A6BA1">
        <w:t>during post-production.</w:t>
      </w:r>
    </w:p>
    <w:p w14:paraId="64BA8A18" w14:textId="3ECC89E1" w:rsidR="00012272" w:rsidRPr="005A6BA1" w:rsidRDefault="00012272" w:rsidP="005A6BA1">
      <w:pPr>
        <w:pStyle w:val="BodyText"/>
      </w:pPr>
      <w:r w:rsidRPr="005A6BA1">
        <w:t xml:space="preserve">High-scoring responses </w:t>
      </w:r>
      <w:r w:rsidR="0011486B">
        <w:t>include</w:t>
      </w:r>
      <w:r w:rsidRPr="005A6BA1">
        <w:t>d:</w:t>
      </w:r>
    </w:p>
    <w:p w14:paraId="7B4FCA89" w14:textId="21D0C65A" w:rsidR="00012272" w:rsidRPr="005A6BA1" w:rsidRDefault="00E86AD2" w:rsidP="005A6BA1">
      <w:pPr>
        <w:pStyle w:val="Bullet"/>
      </w:pPr>
      <w:r>
        <w:t>i</w:t>
      </w:r>
      <w:r w:rsidR="00012272" w:rsidRPr="005A6BA1">
        <w:t xml:space="preserve">dentification of specific post-production feedback methods </w:t>
      </w:r>
      <w:r w:rsidR="0024291C" w:rsidRPr="005A6BA1">
        <w:t>appropriate</w:t>
      </w:r>
      <w:r w:rsidR="00012272" w:rsidRPr="005A6BA1">
        <w:t xml:space="preserve"> to the media form</w:t>
      </w:r>
      <w:r>
        <w:t>;</w:t>
      </w:r>
      <w:r w:rsidR="0DA12737" w:rsidRPr="005A6BA1">
        <w:t xml:space="preserve"> for example</w:t>
      </w:r>
      <w:r w:rsidR="007C2C17">
        <w:t>,</w:t>
      </w:r>
      <w:r w:rsidR="0DA12737" w:rsidRPr="005A6BA1">
        <w:t xml:space="preserve"> </w:t>
      </w:r>
      <w:r w:rsidR="00012272" w:rsidRPr="005A6BA1">
        <w:t>rough cut screenings, focus group list</w:t>
      </w:r>
      <w:r w:rsidR="0024291C" w:rsidRPr="005A6BA1">
        <w:t>en</w:t>
      </w:r>
      <w:r w:rsidR="00012272" w:rsidRPr="005A6BA1">
        <w:t>ing sessions, A/B testing</w:t>
      </w:r>
    </w:p>
    <w:p w14:paraId="06F5AE16" w14:textId="61562224" w:rsidR="00012272" w:rsidRPr="005A6BA1" w:rsidRDefault="00E86AD2" w:rsidP="005A6BA1">
      <w:pPr>
        <w:pStyle w:val="Bullet"/>
      </w:pPr>
      <w:r>
        <w:t>e</w:t>
      </w:r>
      <w:r w:rsidR="00012272" w:rsidRPr="005A6BA1">
        <w:t>xplanation of how feedback would be gathered</w:t>
      </w:r>
      <w:r w:rsidR="007C2C17">
        <w:t>,</w:t>
      </w:r>
      <w:r w:rsidR="0E4E6FC6" w:rsidRPr="005A6BA1">
        <w:t xml:space="preserve"> such as asking </w:t>
      </w:r>
      <w:r w:rsidR="0024291C" w:rsidRPr="005A6BA1">
        <w:t>specific</w:t>
      </w:r>
      <w:r w:rsidR="00012272" w:rsidRPr="005A6BA1">
        <w:t xml:space="preserve"> questions, </w:t>
      </w:r>
      <w:r w:rsidR="548EF9E7" w:rsidRPr="005A6BA1">
        <w:t xml:space="preserve">describing </w:t>
      </w:r>
      <w:r w:rsidR="00012272" w:rsidRPr="005A6BA1">
        <w:t xml:space="preserve">aspects to </w:t>
      </w:r>
      <w:r w:rsidR="0024291C" w:rsidRPr="005A6BA1">
        <w:t xml:space="preserve">observe, </w:t>
      </w:r>
      <w:r w:rsidR="6767A474" w:rsidRPr="005A6BA1">
        <w:t xml:space="preserve">identifying </w:t>
      </w:r>
      <w:r w:rsidR="0024291C" w:rsidRPr="005A6BA1">
        <w:t>who would provide feedback</w:t>
      </w:r>
    </w:p>
    <w:p w14:paraId="058A0782" w14:textId="4068A8CD" w:rsidR="0024291C" w:rsidRPr="005A6BA1" w:rsidRDefault="00E86AD2" w:rsidP="005A6BA1">
      <w:pPr>
        <w:pStyle w:val="Bullet"/>
      </w:pPr>
      <w:r>
        <w:t>s</w:t>
      </w:r>
      <w:r w:rsidR="0024291C" w:rsidRPr="005A6BA1">
        <w:t>pecific examples of how the production would be refined based on feedback. This include</w:t>
      </w:r>
      <w:r w:rsidR="1B804EE1" w:rsidRPr="005A6BA1">
        <w:t>d</w:t>
      </w:r>
      <w:r w:rsidR="0024291C" w:rsidRPr="005A6BA1">
        <w:t xml:space="preserve"> concrete examples </w:t>
      </w:r>
      <w:r w:rsidR="00D35016" w:rsidRPr="005A6BA1">
        <w:t>such</w:t>
      </w:r>
      <w:r w:rsidR="000172AC" w:rsidRPr="005A6BA1">
        <w:t xml:space="preserve"> as </w:t>
      </w:r>
      <w:r w:rsidR="0024291C" w:rsidRPr="005A6BA1">
        <w:t>adjusting pacing, clarifying narrative</w:t>
      </w:r>
      <w:r w:rsidR="4FC9FEBC" w:rsidRPr="005A6BA1">
        <w:t xml:space="preserve"> and </w:t>
      </w:r>
      <w:r w:rsidR="0024291C" w:rsidRPr="005A6BA1">
        <w:t>improving technical clarity</w:t>
      </w:r>
    </w:p>
    <w:p w14:paraId="10CF9215" w14:textId="217ECD35" w:rsidR="002E4A7F" w:rsidRPr="005A6BA1" w:rsidRDefault="00E86AD2" w:rsidP="005A6BA1">
      <w:pPr>
        <w:pStyle w:val="Bullet"/>
      </w:pPr>
      <w:r>
        <w:t>c</w:t>
      </w:r>
      <w:r w:rsidR="0024291C" w:rsidRPr="005A6BA1">
        <w:t>lear connections between refinements and audience engagement</w:t>
      </w:r>
      <w:r>
        <w:t>;</w:t>
      </w:r>
      <w:r w:rsidR="290A5173" w:rsidRPr="005A6BA1">
        <w:t xml:space="preserve"> for example</w:t>
      </w:r>
      <w:r w:rsidR="007C2C17">
        <w:t>, e</w:t>
      </w:r>
      <w:r w:rsidR="0024291C" w:rsidRPr="005A6BA1">
        <w:t>xplaining why changes would improve engagement</w:t>
      </w:r>
      <w:r w:rsidR="6B110E3C" w:rsidRPr="005A6BA1">
        <w:t>.</w:t>
      </w:r>
    </w:p>
    <w:p w14:paraId="528A0B44" w14:textId="46B03D49" w:rsidR="0024291C" w:rsidRPr="005A6BA1" w:rsidRDefault="0024291C" w:rsidP="005A6BA1">
      <w:pPr>
        <w:pStyle w:val="BodyText"/>
      </w:pPr>
      <w:r w:rsidRPr="005A6BA1">
        <w:t xml:space="preserve">Common errors </w:t>
      </w:r>
      <w:r w:rsidR="004F6214">
        <w:t>included</w:t>
      </w:r>
      <w:r w:rsidRPr="005A6BA1">
        <w:t>:</w:t>
      </w:r>
    </w:p>
    <w:p w14:paraId="0A80ECA2" w14:textId="18933B2E" w:rsidR="0024291C" w:rsidRPr="005A6BA1" w:rsidRDefault="00E86AD2" w:rsidP="005A6BA1">
      <w:pPr>
        <w:pStyle w:val="Bullet"/>
      </w:pPr>
      <w:r>
        <w:t>d</w:t>
      </w:r>
      <w:r w:rsidR="0024291C" w:rsidRPr="005A6BA1">
        <w:t xml:space="preserve">iscussing the wrong production stage such as gathering feedback after distribution rather than during post-production </w:t>
      </w:r>
    </w:p>
    <w:p w14:paraId="3969CBFA" w14:textId="5DE782BA" w:rsidR="0024291C" w:rsidRPr="005A6BA1" w:rsidRDefault="00E86AD2" w:rsidP="005A6BA1">
      <w:pPr>
        <w:pStyle w:val="Bullet"/>
      </w:pPr>
      <w:r>
        <w:t>b</w:t>
      </w:r>
      <w:r w:rsidR="0024291C" w:rsidRPr="005A6BA1">
        <w:t>eing vague about how feedback would be gathered</w:t>
      </w:r>
      <w:r>
        <w:t>;</w:t>
      </w:r>
      <w:r w:rsidR="2276E21A" w:rsidRPr="005A6BA1">
        <w:t xml:space="preserve"> for example</w:t>
      </w:r>
      <w:r w:rsidR="007C2C17">
        <w:t>,</w:t>
      </w:r>
      <w:r w:rsidR="2276E21A" w:rsidRPr="005A6BA1">
        <w:t xml:space="preserve"> </w:t>
      </w:r>
      <w:r w:rsidR="005C6F9E" w:rsidRPr="005A6BA1">
        <w:t>‘</w:t>
      </w:r>
      <w:r w:rsidR="0024291C" w:rsidRPr="005A6BA1">
        <w:t>I will get feedback from my audience</w:t>
      </w:r>
      <w:r w:rsidR="005C6F9E" w:rsidRPr="005A6BA1">
        <w:t>’</w:t>
      </w:r>
      <w:r w:rsidR="007C2C17">
        <w:t>,</w:t>
      </w:r>
      <w:r w:rsidR="0024291C" w:rsidRPr="005A6BA1">
        <w:t xml:space="preserve"> without explaining the method, questions or process</w:t>
      </w:r>
    </w:p>
    <w:p w14:paraId="6C1E8687" w14:textId="2B307162" w:rsidR="0024291C" w:rsidRPr="005A6BA1" w:rsidRDefault="00E86AD2" w:rsidP="005A6BA1">
      <w:pPr>
        <w:pStyle w:val="Bullet"/>
      </w:pPr>
      <w:r>
        <w:t>o</w:t>
      </w:r>
      <w:r w:rsidR="3BAC6344" w:rsidRPr="005A6BA1">
        <w:t xml:space="preserve">mitting a description of </w:t>
      </w:r>
      <w:r w:rsidR="0024291C" w:rsidRPr="005A6BA1">
        <w:t>how refinement would occur</w:t>
      </w:r>
      <w:r>
        <w:t>;</w:t>
      </w:r>
      <w:r w:rsidR="4D8F2F2F" w:rsidRPr="005A6BA1">
        <w:t xml:space="preserve"> for example</w:t>
      </w:r>
      <w:r w:rsidR="007C2C17">
        <w:t xml:space="preserve">, </w:t>
      </w:r>
      <w:r w:rsidR="005C6F9E" w:rsidRPr="005A6BA1">
        <w:t>‘</w:t>
      </w:r>
      <w:r w:rsidR="0024291C" w:rsidRPr="005A6BA1">
        <w:t>I will make changes based on feedback</w:t>
      </w:r>
      <w:r w:rsidR="005C6F9E" w:rsidRPr="005A6BA1">
        <w:t>’</w:t>
      </w:r>
      <w:r w:rsidR="007C2C17">
        <w:t>.</w:t>
      </w:r>
    </w:p>
    <w:p w14:paraId="6AE8AAD2" w14:textId="7B4A214B" w:rsidR="005D6E84" w:rsidRPr="005A6BA1" w:rsidRDefault="00B026D0" w:rsidP="005A6BA1">
      <w:pPr>
        <w:pStyle w:val="BodyText"/>
      </w:pPr>
      <w:r>
        <w:t>The following is an example of a high-scoring</w:t>
      </w:r>
      <w:r w:rsidRPr="0035746B">
        <w:t xml:space="preserve"> </w:t>
      </w:r>
      <w:r w:rsidR="00FC5C01">
        <w:t>r</w:t>
      </w:r>
      <w:r w:rsidR="005D6E84" w:rsidRPr="005A6BA1">
        <w:t>esponse:</w:t>
      </w:r>
    </w:p>
    <w:p w14:paraId="7110A24E" w14:textId="756B7B84" w:rsidR="00BB133C" w:rsidRPr="005A6BA1" w:rsidRDefault="005D6E84" w:rsidP="005A6BA1">
      <w:pPr>
        <w:pStyle w:val="Studentsample"/>
      </w:pPr>
      <w:r w:rsidRPr="005A6BA1">
        <w:t xml:space="preserve">In post production a strong way to receive feedback would be through showing a cut to the intended audience and conducting a survey afterwards with curated questions to better refine the production. Such as </w:t>
      </w:r>
      <w:r w:rsidR="005C6F9E" w:rsidRPr="005A6BA1">
        <w:t>‘</w:t>
      </w:r>
      <w:r w:rsidRPr="005A6BA1">
        <w:t>Did you feel hooked in the narrative within the first five minutes?</w:t>
      </w:r>
      <w:r w:rsidR="005C6F9E" w:rsidRPr="005A6BA1">
        <w:t>’</w:t>
      </w:r>
      <w:r w:rsidRPr="005A6BA1">
        <w:t xml:space="preserve"> Utilising this feedback to then sort and define it, highlighting common issues or suggestions and then implementing them into the final cut such as re-editing the beginning to start the action sooner. This feedback identifies where engagement drops, enabling targeted refinements in the edit which strengthen narrative momentum and improve audience engagement.</w:t>
      </w:r>
    </w:p>
    <w:p w14:paraId="6483A01C" w14:textId="376E78A8" w:rsidR="00BB133C" w:rsidRDefault="00BB133C" w:rsidP="000E289F">
      <w:pPr>
        <w:pStyle w:val="Heading2"/>
      </w:pPr>
      <w:r w:rsidRPr="005A6BA1">
        <w:t>Question 8</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3C5776" w:rsidRPr="00141A4D" w14:paraId="29F9A59E" w14:textId="77777777" w:rsidTr="002A6C77">
        <w:trPr>
          <w:cnfStyle w:val="100000000000" w:firstRow="1" w:lastRow="0" w:firstColumn="0" w:lastColumn="0" w:oddVBand="0" w:evenVBand="0" w:oddHBand="0" w:evenHBand="0" w:firstRowFirstColumn="0" w:firstRowLastColumn="0" w:lastRowFirstColumn="0" w:lastRowLastColumn="0"/>
        </w:trPr>
        <w:tc>
          <w:tcPr>
            <w:tcW w:w="599" w:type="dxa"/>
          </w:tcPr>
          <w:p w14:paraId="51451E55" w14:textId="77777777" w:rsidR="003C5776" w:rsidRPr="00141A4D" w:rsidRDefault="003C5776" w:rsidP="000E289F">
            <w:pPr>
              <w:pStyle w:val="Tablecondensedheading"/>
              <w:rPr>
                <w:lang w:val="en-AU"/>
              </w:rPr>
            </w:pPr>
            <w:r w:rsidRPr="00141A4D">
              <w:rPr>
                <w:lang w:val="en-AU"/>
              </w:rPr>
              <w:t>Mark</w:t>
            </w:r>
          </w:p>
        </w:tc>
        <w:tc>
          <w:tcPr>
            <w:tcW w:w="576" w:type="dxa"/>
          </w:tcPr>
          <w:p w14:paraId="63A98BDA" w14:textId="77777777" w:rsidR="003C5776" w:rsidRPr="00141A4D" w:rsidRDefault="003C5776" w:rsidP="000E289F">
            <w:pPr>
              <w:pStyle w:val="Tablecondensedheading"/>
              <w:rPr>
                <w:lang w:val="en-AU"/>
              </w:rPr>
            </w:pPr>
            <w:r w:rsidRPr="00141A4D">
              <w:rPr>
                <w:lang w:val="en-AU"/>
              </w:rPr>
              <w:t>0</w:t>
            </w:r>
          </w:p>
        </w:tc>
        <w:tc>
          <w:tcPr>
            <w:tcW w:w="576" w:type="dxa"/>
          </w:tcPr>
          <w:p w14:paraId="7A671663" w14:textId="77777777" w:rsidR="003C5776" w:rsidRPr="00141A4D" w:rsidRDefault="003C5776" w:rsidP="000E289F">
            <w:pPr>
              <w:pStyle w:val="Tablecondensedheading"/>
              <w:rPr>
                <w:lang w:val="en-AU"/>
              </w:rPr>
            </w:pPr>
            <w:r w:rsidRPr="00141A4D">
              <w:rPr>
                <w:lang w:val="en-AU"/>
              </w:rPr>
              <w:t>1</w:t>
            </w:r>
          </w:p>
        </w:tc>
        <w:tc>
          <w:tcPr>
            <w:tcW w:w="576" w:type="dxa"/>
          </w:tcPr>
          <w:p w14:paraId="5FD2DF41" w14:textId="77777777" w:rsidR="003C5776" w:rsidRPr="00141A4D" w:rsidRDefault="003C5776" w:rsidP="000E289F">
            <w:pPr>
              <w:pStyle w:val="Tablecondensedheading"/>
              <w:rPr>
                <w:lang w:val="en-AU"/>
              </w:rPr>
            </w:pPr>
            <w:r w:rsidRPr="00141A4D">
              <w:rPr>
                <w:lang w:val="en-AU"/>
              </w:rPr>
              <w:t>2</w:t>
            </w:r>
          </w:p>
        </w:tc>
        <w:tc>
          <w:tcPr>
            <w:tcW w:w="576" w:type="dxa"/>
          </w:tcPr>
          <w:p w14:paraId="37CBB43A" w14:textId="77777777" w:rsidR="003C5776" w:rsidRPr="00141A4D" w:rsidRDefault="003C5776" w:rsidP="000E289F">
            <w:pPr>
              <w:pStyle w:val="Tablecondensedheading"/>
              <w:rPr>
                <w:lang w:val="en-AU"/>
              </w:rPr>
            </w:pPr>
            <w:r>
              <w:rPr>
                <w:lang w:val="en-AU"/>
              </w:rPr>
              <w:t>3</w:t>
            </w:r>
          </w:p>
        </w:tc>
        <w:tc>
          <w:tcPr>
            <w:tcW w:w="576" w:type="dxa"/>
          </w:tcPr>
          <w:p w14:paraId="1CCDF954" w14:textId="77777777" w:rsidR="003C5776" w:rsidRPr="00141A4D" w:rsidRDefault="003C5776" w:rsidP="000E289F">
            <w:pPr>
              <w:pStyle w:val="Tablecondensedheading"/>
              <w:rPr>
                <w:lang w:val="en-AU"/>
              </w:rPr>
            </w:pPr>
            <w:r>
              <w:rPr>
                <w:lang w:val="en-AU"/>
              </w:rPr>
              <w:t>4</w:t>
            </w:r>
          </w:p>
        </w:tc>
        <w:tc>
          <w:tcPr>
            <w:tcW w:w="864" w:type="dxa"/>
          </w:tcPr>
          <w:p w14:paraId="24E2C058" w14:textId="77777777" w:rsidR="003C5776" w:rsidRPr="00141A4D" w:rsidRDefault="003C5776" w:rsidP="000E289F">
            <w:pPr>
              <w:pStyle w:val="Tablecondensedheading"/>
              <w:rPr>
                <w:lang w:val="en-AU"/>
              </w:rPr>
            </w:pPr>
            <w:r w:rsidRPr="00141A4D">
              <w:rPr>
                <w:lang w:val="en-AU"/>
              </w:rPr>
              <w:t>Average</w:t>
            </w:r>
          </w:p>
        </w:tc>
      </w:tr>
      <w:tr w:rsidR="003C5776" w:rsidRPr="00141A4D" w14:paraId="47613126" w14:textId="77777777" w:rsidTr="002A6C77">
        <w:tc>
          <w:tcPr>
            <w:tcW w:w="599" w:type="dxa"/>
          </w:tcPr>
          <w:p w14:paraId="69537A55" w14:textId="77777777" w:rsidR="003C5776" w:rsidRPr="00141A4D" w:rsidRDefault="003C5776" w:rsidP="000E289F">
            <w:pPr>
              <w:pStyle w:val="Tablecondensed"/>
              <w:rPr>
                <w:lang w:val="en-AU"/>
              </w:rPr>
            </w:pPr>
            <w:r w:rsidRPr="00141A4D">
              <w:rPr>
                <w:lang w:val="en-AU"/>
              </w:rPr>
              <w:t>%</w:t>
            </w:r>
          </w:p>
        </w:tc>
        <w:tc>
          <w:tcPr>
            <w:tcW w:w="576" w:type="dxa"/>
          </w:tcPr>
          <w:p w14:paraId="42890A36" w14:textId="5CF6D55A" w:rsidR="003C5776" w:rsidRPr="00141A4D" w:rsidRDefault="00FC5C01" w:rsidP="000E289F">
            <w:pPr>
              <w:pStyle w:val="Tablecondensed"/>
              <w:rPr>
                <w:lang w:val="en-AU"/>
              </w:rPr>
            </w:pPr>
            <w:r>
              <w:rPr>
                <w:lang w:val="en-AU"/>
              </w:rPr>
              <w:t>4</w:t>
            </w:r>
          </w:p>
        </w:tc>
        <w:tc>
          <w:tcPr>
            <w:tcW w:w="576" w:type="dxa"/>
          </w:tcPr>
          <w:p w14:paraId="1E5992B6" w14:textId="0B6F8250" w:rsidR="003C5776" w:rsidRPr="00141A4D" w:rsidRDefault="00FC5C01" w:rsidP="000E289F">
            <w:pPr>
              <w:pStyle w:val="Tablecondensed"/>
              <w:rPr>
                <w:lang w:val="en-AU"/>
              </w:rPr>
            </w:pPr>
            <w:r>
              <w:rPr>
                <w:lang w:val="en-AU"/>
              </w:rPr>
              <w:t>9</w:t>
            </w:r>
          </w:p>
        </w:tc>
        <w:tc>
          <w:tcPr>
            <w:tcW w:w="576" w:type="dxa"/>
          </w:tcPr>
          <w:p w14:paraId="6D5E0277" w14:textId="698C9E6B" w:rsidR="003C5776" w:rsidRPr="00141A4D" w:rsidRDefault="00FC5C01" w:rsidP="000E289F">
            <w:pPr>
              <w:pStyle w:val="Tablecondensed"/>
              <w:rPr>
                <w:lang w:val="en-AU"/>
              </w:rPr>
            </w:pPr>
            <w:r>
              <w:rPr>
                <w:lang w:val="en-AU"/>
              </w:rPr>
              <w:t>32</w:t>
            </w:r>
          </w:p>
        </w:tc>
        <w:tc>
          <w:tcPr>
            <w:tcW w:w="576" w:type="dxa"/>
          </w:tcPr>
          <w:p w14:paraId="4A9191D5" w14:textId="6ACA99A5" w:rsidR="003C5776" w:rsidRDefault="00FC5C01" w:rsidP="000E289F">
            <w:pPr>
              <w:pStyle w:val="Tablecondensed"/>
              <w:rPr>
                <w:lang w:val="en-AU"/>
              </w:rPr>
            </w:pPr>
            <w:r>
              <w:rPr>
                <w:lang w:val="en-AU"/>
              </w:rPr>
              <w:t>34</w:t>
            </w:r>
          </w:p>
        </w:tc>
        <w:tc>
          <w:tcPr>
            <w:tcW w:w="576" w:type="dxa"/>
          </w:tcPr>
          <w:p w14:paraId="4D9462EF" w14:textId="1F0F732C" w:rsidR="003C5776" w:rsidRDefault="00FC5C01" w:rsidP="000E289F">
            <w:pPr>
              <w:pStyle w:val="Tablecondensed"/>
              <w:rPr>
                <w:lang w:val="en-AU"/>
              </w:rPr>
            </w:pPr>
            <w:r>
              <w:rPr>
                <w:lang w:val="en-AU"/>
              </w:rPr>
              <w:t>22</w:t>
            </w:r>
          </w:p>
        </w:tc>
        <w:tc>
          <w:tcPr>
            <w:tcW w:w="864" w:type="dxa"/>
          </w:tcPr>
          <w:p w14:paraId="50A43A66" w14:textId="1013C174" w:rsidR="003C5776" w:rsidRPr="00141A4D" w:rsidRDefault="00FC5C01" w:rsidP="000E289F">
            <w:pPr>
              <w:pStyle w:val="Tablecondensed"/>
              <w:rPr>
                <w:lang w:val="en-AU"/>
              </w:rPr>
            </w:pPr>
            <w:r>
              <w:rPr>
                <w:lang w:val="en-AU"/>
              </w:rPr>
              <w:t>2.6</w:t>
            </w:r>
          </w:p>
        </w:tc>
      </w:tr>
    </w:tbl>
    <w:p w14:paraId="344E7F0D" w14:textId="1451D1F1" w:rsidR="00BB133C" w:rsidRPr="005A6BA1" w:rsidRDefault="63AAADD7" w:rsidP="005A6BA1">
      <w:pPr>
        <w:pStyle w:val="BodyText"/>
      </w:pPr>
      <w:r w:rsidRPr="005A6BA1">
        <w:t xml:space="preserve">Students </w:t>
      </w:r>
      <w:r w:rsidR="00BB133C" w:rsidRPr="005A6BA1">
        <w:t xml:space="preserve">were required to describe one way in which audiences are able to exercise agency in the contemporary media landscape. </w:t>
      </w:r>
      <w:r w:rsidR="1C5D68BB" w:rsidRPr="005A6BA1">
        <w:t>In th</w:t>
      </w:r>
      <w:r w:rsidR="6CC4EC2F" w:rsidRPr="005A6BA1">
        <w:t>ei</w:t>
      </w:r>
      <w:r w:rsidR="1C5D68BB" w:rsidRPr="005A6BA1">
        <w:t>r responses students</w:t>
      </w:r>
      <w:r w:rsidR="00BB133C" w:rsidRPr="005A6BA1">
        <w:t xml:space="preserve"> needed to identify one specific way audiences exercise agency, provide detailed characteristics of how this agency functions, use a precise contemporary example, and demonstrate understanding of the shift from passive to active audiences. </w:t>
      </w:r>
    </w:p>
    <w:p w14:paraId="5BCDC939" w14:textId="51138E4E" w:rsidR="00BB133C" w:rsidRPr="005A6BA1" w:rsidRDefault="005C6F9E" w:rsidP="005A6BA1">
      <w:pPr>
        <w:pStyle w:val="BodyText"/>
      </w:pPr>
      <w:r w:rsidRPr="005A6BA1">
        <w:lastRenderedPageBreak/>
        <w:t>‘</w:t>
      </w:r>
      <w:r w:rsidR="00BB133C" w:rsidRPr="005A6BA1">
        <w:t>Contemporary media landscape</w:t>
      </w:r>
      <w:r w:rsidRPr="005A6BA1">
        <w:t>’</w:t>
      </w:r>
      <w:r w:rsidR="00BB133C" w:rsidRPr="005A6BA1">
        <w:t xml:space="preserve"> </w:t>
      </w:r>
      <w:r w:rsidR="00FC5C01">
        <w:t xml:space="preserve">can </w:t>
      </w:r>
      <w:r w:rsidR="00BB133C" w:rsidRPr="005A6BA1">
        <w:t xml:space="preserve">refer to the current digital platform era, characterised by social media platforms, streaming services, user-generated content and audience interactivity that distinguish it from the traditional broadcast era. While examples from throughout the digital platform era were acceptable, stronger responses used recent examples from the last five years that demonstrated current audience agency practices.  </w:t>
      </w:r>
    </w:p>
    <w:p w14:paraId="68FEBF79" w14:textId="37E5194B" w:rsidR="00BB133C" w:rsidRPr="005A6BA1" w:rsidRDefault="00521179" w:rsidP="005A6BA1">
      <w:pPr>
        <w:pStyle w:val="BodyText"/>
      </w:pPr>
      <w:r w:rsidRPr="005A6BA1">
        <w:t xml:space="preserve">High-scoring responses </w:t>
      </w:r>
      <w:r w:rsidR="0011486B">
        <w:t>included</w:t>
      </w:r>
      <w:r w:rsidRPr="005A6BA1">
        <w:t>:</w:t>
      </w:r>
    </w:p>
    <w:p w14:paraId="266F602B" w14:textId="035ADC37" w:rsidR="00521179" w:rsidRPr="005A6BA1" w:rsidRDefault="00456C9D" w:rsidP="005A6BA1">
      <w:pPr>
        <w:pStyle w:val="Bullet"/>
      </w:pPr>
      <w:r>
        <w:t>i</w:t>
      </w:r>
      <w:r w:rsidR="00521179" w:rsidRPr="005A6BA1">
        <w:t>dentification of one specific way audiences exercise agency</w:t>
      </w:r>
      <w:r>
        <w:t>;</w:t>
      </w:r>
      <w:r w:rsidR="293E10B4" w:rsidRPr="005A6BA1">
        <w:t xml:space="preserve"> for example</w:t>
      </w:r>
      <w:r>
        <w:t>,</w:t>
      </w:r>
      <w:r w:rsidR="293E10B4" w:rsidRPr="005A6BA1">
        <w:t xml:space="preserve"> </w:t>
      </w:r>
      <w:r w:rsidR="005C6F9E" w:rsidRPr="005A6BA1">
        <w:t>‘</w:t>
      </w:r>
      <w:r w:rsidR="00521179" w:rsidRPr="005A6BA1">
        <w:t>user-generated content creation of platforms like TikTok</w:t>
      </w:r>
      <w:r w:rsidR="005C6F9E" w:rsidRPr="005A6BA1">
        <w:t>’</w:t>
      </w:r>
    </w:p>
    <w:p w14:paraId="36011489" w14:textId="654BC551" w:rsidR="00521179" w:rsidRPr="00C10A8C" w:rsidRDefault="00456C9D" w:rsidP="005A6BA1">
      <w:pPr>
        <w:pStyle w:val="Bullet"/>
      </w:pPr>
      <w:r>
        <w:t>a</w:t>
      </w:r>
      <w:r w:rsidR="00521179" w:rsidRPr="005A6BA1">
        <w:t xml:space="preserve"> precise, contemporary example or case study with context</w:t>
      </w:r>
      <w:r w:rsidR="26FA95D9" w:rsidRPr="005A6BA1">
        <w:t xml:space="preserve"> to support the description, such as a </w:t>
      </w:r>
      <w:r w:rsidR="00521179" w:rsidRPr="005A6BA1">
        <w:t xml:space="preserve">specific platform, campaign, creator or instance demonstrating the agency in action. Stronger responses used detailed, specific case studies </w:t>
      </w:r>
      <w:r w:rsidR="51217511" w:rsidRPr="005A6BA1">
        <w:t xml:space="preserve">that linked to the question </w:t>
      </w:r>
      <w:r w:rsidR="00521179" w:rsidRPr="005A6BA1">
        <w:t>rather than general examples.</w:t>
      </w:r>
    </w:p>
    <w:p w14:paraId="0A2D965C" w14:textId="26DD9B9B" w:rsidR="00521179" w:rsidRPr="005A6BA1" w:rsidRDefault="00521179" w:rsidP="005A6BA1">
      <w:pPr>
        <w:pStyle w:val="BodyText"/>
      </w:pPr>
      <w:r w:rsidRPr="005A6BA1">
        <w:t xml:space="preserve">Common errors </w:t>
      </w:r>
      <w:r w:rsidR="00F431A4">
        <w:t>included</w:t>
      </w:r>
      <w:r w:rsidRPr="005A6BA1">
        <w:t>:</w:t>
      </w:r>
    </w:p>
    <w:p w14:paraId="17EFDA80" w14:textId="118314CE" w:rsidR="00521179" w:rsidRPr="005A6BA1" w:rsidRDefault="00456C9D" w:rsidP="005A6BA1">
      <w:pPr>
        <w:pStyle w:val="Bullet"/>
      </w:pPr>
      <w:r>
        <w:t>g</w:t>
      </w:r>
      <w:r w:rsidR="49067503" w:rsidRPr="005A6BA1">
        <w:t>eneral descriptions of agency</w:t>
      </w:r>
      <w:r>
        <w:t>,</w:t>
      </w:r>
      <w:r w:rsidR="49067503" w:rsidRPr="005A6BA1">
        <w:t xml:space="preserve"> such as</w:t>
      </w:r>
      <w:r w:rsidR="00521179" w:rsidRPr="005A6BA1">
        <w:t xml:space="preserve"> </w:t>
      </w:r>
      <w:r w:rsidR="005C6F9E" w:rsidRPr="005A6BA1">
        <w:t>‘</w:t>
      </w:r>
      <w:r w:rsidR="00521179" w:rsidRPr="005A6BA1">
        <w:t>Audiences can create content</w:t>
      </w:r>
      <w:r w:rsidR="005C6F9E" w:rsidRPr="005A6BA1">
        <w:t>’</w:t>
      </w:r>
    </w:p>
    <w:p w14:paraId="0719B1CD" w14:textId="6CC1E705" w:rsidR="00521179" w:rsidRPr="005A6BA1" w:rsidRDefault="00456C9D" w:rsidP="005A6BA1">
      <w:pPr>
        <w:pStyle w:val="Bullet"/>
      </w:pPr>
      <w:r>
        <w:t>d</w:t>
      </w:r>
      <w:r w:rsidR="72E24CDF" w:rsidRPr="005A6BA1">
        <w:t xml:space="preserve">iscussing examples that were not contemporary, such as </w:t>
      </w:r>
      <w:r w:rsidR="00521179" w:rsidRPr="005A6BA1">
        <w:t xml:space="preserve">discussing agency that existed in </w:t>
      </w:r>
      <w:r w:rsidR="00D576E5">
        <w:t xml:space="preserve">a </w:t>
      </w:r>
      <w:r w:rsidR="00521179" w:rsidRPr="005A6BA1">
        <w:t>broadcast era without explaining what makes it specific to the digital platform era</w:t>
      </w:r>
    </w:p>
    <w:p w14:paraId="2BE1F88B" w14:textId="5A451F61" w:rsidR="00521179" w:rsidRPr="005A6BA1" w:rsidRDefault="00456C9D" w:rsidP="005A6BA1">
      <w:pPr>
        <w:pStyle w:val="Bullet"/>
      </w:pPr>
      <w:r>
        <w:t>c</w:t>
      </w:r>
      <w:r w:rsidR="00521179" w:rsidRPr="005A6BA1">
        <w:t>onfusing agency with consumption</w:t>
      </w:r>
      <w:r>
        <w:t>;</w:t>
      </w:r>
      <w:r w:rsidR="4871ED40" w:rsidRPr="005A6BA1">
        <w:t xml:space="preserve"> for example, </w:t>
      </w:r>
      <w:r w:rsidR="639F12FF" w:rsidRPr="005A6BA1">
        <w:t>d</w:t>
      </w:r>
      <w:r w:rsidR="00521179" w:rsidRPr="005A6BA1">
        <w:t>escribing choice of what to watch rather than acting and having power or influence.</w:t>
      </w:r>
    </w:p>
    <w:p w14:paraId="4E6D3BA4" w14:textId="65EC4144" w:rsidR="00521179" w:rsidRPr="005A6BA1" w:rsidRDefault="00B026D0" w:rsidP="005A6BA1">
      <w:pPr>
        <w:pStyle w:val="BodyText"/>
      </w:pPr>
      <w:r>
        <w:t>The following is an example of a high-scoring</w:t>
      </w:r>
      <w:r w:rsidR="00AF450F" w:rsidRPr="005A6BA1">
        <w:t xml:space="preserve"> </w:t>
      </w:r>
      <w:r w:rsidR="009152DE">
        <w:t>r</w:t>
      </w:r>
      <w:r w:rsidR="00AF450F" w:rsidRPr="005A6BA1">
        <w:t>esponse:</w:t>
      </w:r>
    </w:p>
    <w:p w14:paraId="08E7F43A" w14:textId="47B0AB36" w:rsidR="00AF450F" w:rsidRPr="005A6BA1" w:rsidRDefault="00AF450F" w:rsidP="005A6BA1">
      <w:pPr>
        <w:pStyle w:val="Studentsample"/>
      </w:pPr>
      <w:r w:rsidRPr="005A6BA1">
        <w:t xml:space="preserve">In the age of </w:t>
      </w:r>
      <w:r w:rsidR="00773BC1" w:rsidRPr="005A6BA1">
        <w:t>W</w:t>
      </w:r>
      <w:r w:rsidRPr="005A6BA1">
        <w:t xml:space="preserve">eb 2.0, audiences are increasingly </w:t>
      </w:r>
      <w:r w:rsidR="00773BC1" w:rsidRPr="005A6BA1">
        <w:t>prosumers… who actively create and receive content.</w:t>
      </w:r>
      <w:r w:rsidRPr="005A6BA1">
        <w:t xml:space="preserve"> For example, after a bystander </w:t>
      </w:r>
      <w:r w:rsidR="00773BC1" w:rsidRPr="005A6BA1">
        <w:t>uploaded</w:t>
      </w:r>
      <w:r w:rsidRPr="005A6BA1">
        <w:t xml:space="preserve"> the police brutality murder of George Floyd in 2020, audiences exercised their agency through hashtag activism and content creation such as infographics. The impact of the Black Lives Matter movement was evident despite being decentralised, with #BlackLivesMatter creating a single day peak of 8 million twitter tweets. This demonstrates the capability of audiences to organise and mobilise movements without </w:t>
      </w:r>
      <w:r w:rsidR="00773BC1" w:rsidRPr="005A6BA1">
        <w:t>initial input from</w:t>
      </w:r>
      <w:r w:rsidRPr="005A6BA1">
        <w:t xml:space="preserve"> mainstream news networks.</w:t>
      </w:r>
    </w:p>
    <w:p w14:paraId="03E76AC4" w14:textId="39942A38" w:rsidR="007042E8" w:rsidRPr="005A6BA1" w:rsidRDefault="007042E8" w:rsidP="000E289F">
      <w:pPr>
        <w:pStyle w:val="Heading2"/>
      </w:pPr>
      <w:r w:rsidRPr="005A6BA1">
        <w:t>Question 9</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864"/>
      </w:tblGrid>
      <w:tr w:rsidR="00D576E5" w:rsidRPr="00141A4D" w14:paraId="621E19F0" w14:textId="77777777" w:rsidTr="006F2BF1">
        <w:trPr>
          <w:cnfStyle w:val="100000000000" w:firstRow="1" w:lastRow="0" w:firstColumn="0" w:lastColumn="0" w:oddVBand="0" w:evenVBand="0" w:oddHBand="0" w:evenHBand="0" w:firstRowFirstColumn="0" w:firstRowLastColumn="0" w:lastRowFirstColumn="0" w:lastRowLastColumn="0"/>
        </w:trPr>
        <w:tc>
          <w:tcPr>
            <w:tcW w:w="599" w:type="dxa"/>
          </w:tcPr>
          <w:p w14:paraId="57F7A867" w14:textId="77777777" w:rsidR="00D576E5" w:rsidRPr="00141A4D" w:rsidRDefault="00D576E5" w:rsidP="000E289F">
            <w:pPr>
              <w:pStyle w:val="Tablecondensedheading"/>
              <w:rPr>
                <w:lang w:val="en-AU"/>
              </w:rPr>
            </w:pPr>
            <w:r w:rsidRPr="00141A4D">
              <w:rPr>
                <w:lang w:val="en-AU"/>
              </w:rPr>
              <w:t>Mark</w:t>
            </w:r>
          </w:p>
        </w:tc>
        <w:tc>
          <w:tcPr>
            <w:tcW w:w="576" w:type="dxa"/>
          </w:tcPr>
          <w:p w14:paraId="53046988" w14:textId="77777777" w:rsidR="00D576E5" w:rsidRPr="00141A4D" w:rsidRDefault="00D576E5" w:rsidP="000E289F">
            <w:pPr>
              <w:pStyle w:val="Tablecondensedheading"/>
              <w:rPr>
                <w:lang w:val="en-AU"/>
              </w:rPr>
            </w:pPr>
            <w:r w:rsidRPr="00141A4D">
              <w:rPr>
                <w:lang w:val="en-AU"/>
              </w:rPr>
              <w:t>0</w:t>
            </w:r>
          </w:p>
        </w:tc>
        <w:tc>
          <w:tcPr>
            <w:tcW w:w="576" w:type="dxa"/>
          </w:tcPr>
          <w:p w14:paraId="6B5178BF" w14:textId="77777777" w:rsidR="00D576E5" w:rsidRPr="00141A4D" w:rsidRDefault="00D576E5" w:rsidP="000E289F">
            <w:pPr>
              <w:pStyle w:val="Tablecondensedheading"/>
              <w:rPr>
                <w:lang w:val="en-AU"/>
              </w:rPr>
            </w:pPr>
            <w:r w:rsidRPr="00141A4D">
              <w:rPr>
                <w:lang w:val="en-AU"/>
              </w:rPr>
              <w:t>1</w:t>
            </w:r>
          </w:p>
        </w:tc>
        <w:tc>
          <w:tcPr>
            <w:tcW w:w="576" w:type="dxa"/>
          </w:tcPr>
          <w:p w14:paraId="2F921845" w14:textId="77777777" w:rsidR="00D576E5" w:rsidRPr="00141A4D" w:rsidRDefault="00D576E5" w:rsidP="000E289F">
            <w:pPr>
              <w:pStyle w:val="Tablecondensedheading"/>
              <w:rPr>
                <w:lang w:val="en-AU"/>
              </w:rPr>
            </w:pPr>
            <w:r w:rsidRPr="00141A4D">
              <w:rPr>
                <w:lang w:val="en-AU"/>
              </w:rPr>
              <w:t>2</w:t>
            </w:r>
          </w:p>
        </w:tc>
        <w:tc>
          <w:tcPr>
            <w:tcW w:w="576" w:type="dxa"/>
          </w:tcPr>
          <w:p w14:paraId="2E774B70" w14:textId="68952CBF" w:rsidR="00D576E5" w:rsidRDefault="00D576E5" w:rsidP="000E289F">
            <w:pPr>
              <w:pStyle w:val="Tablecondensedheading"/>
              <w:rPr>
                <w:lang w:val="en-AU"/>
              </w:rPr>
            </w:pPr>
            <w:r>
              <w:rPr>
                <w:lang w:val="en-AU"/>
              </w:rPr>
              <w:t>3</w:t>
            </w:r>
          </w:p>
        </w:tc>
        <w:tc>
          <w:tcPr>
            <w:tcW w:w="576" w:type="dxa"/>
          </w:tcPr>
          <w:p w14:paraId="12B9E3AA" w14:textId="5A9EDD31" w:rsidR="00D576E5" w:rsidRPr="00141A4D" w:rsidRDefault="00D576E5" w:rsidP="000E289F">
            <w:pPr>
              <w:pStyle w:val="Tablecondensedheading"/>
              <w:rPr>
                <w:lang w:val="en-AU"/>
              </w:rPr>
            </w:pPr>
            <w:r>
              <w:rPr>
                <w:lang w:val="en-AU"/>
              </w:rPr>
              <w:t>4</w:t>
            </w:r>
          </w:p>
        </w:tc>
        <w:tc>
          <w:tcPr>
            <w:tcW w:w="576" w:type="dxa"/>
          </w:tcPr>
          <w:p w14:paraId="005FA703" w14:textId="25FFDA7C" w:rsidR="00D576E5" w:rsidRPr="00141A4D" w:rsidRDefault="00D576E5" w:rsidP="000E289F">
            <w:pPr>
              <w:pStyle w:val="Tablecondensedheading"/>
              <w:rPr>
                <w:lang w:val="en-AU"/>
              </w:rPr>
            </w:pPr>
            <w:r>
              <w:rPr>
                <w:lang w:val="en-AU"/>
              </w:rPr>
              <w:t>5</w:t>
            </w:r>
          </w:p>
        </w:tc>
        <w:tc>
          <w:tcPr>
            <w:tcW w:w="864" w:type="dxa"/>
          </w:tcPr>
          <w:p w14:paraId="7096BEAE" w14:textId="77777777" w:rsidR="00D576E5" w:rsidRPr="00141A4D" w:rsidRDefault="00D576E5" w:rsidP="000E289F">
            <w:pPr>
              <w:pStyle w:val="Tablecondensedheading"/>
              <w:rPr>
                <w:lang w:val="en-AU"/>
              </w:rPr>
            </w:pPr>
            <w:r w:rsidRPr="00141A4D">
              <w:rPr>
                <w:lang w:val="en-AU"/>
              </w:rPr>
              <w:t>Average</w:t>
            </w:r>
          </w:p>
        </w:tc>
      </w:tr>
      <w:tr w:rsidR="00D576E5" w:rsidRPr="00141A4D" w14:paraId="312E8A0F" w14:textId="77777777" w:rsidTr="006F2BF1">
        <w:tc>
          <w:tcPr>
            <w:tcW w:w="599" w:type="dxa"/>
          </w:tcPr>
          <w:p w14:paraId="37D5F6A9" w14:textId="77777777" w:rsidR="00D576E5" w:rsidRPr="00141A4D" w:rsidRDefault="00D576E5" w:rsidP="000E289F">
            <w:pPr>
              <w:pStyle w:val="Tablecondensed"/>
              <w:rPr>
                <w:lang w:val="en-AU"/>
              </w:rPr>
            </w:pPr>
            <w:r w:rsidRPr="00141A4D">
              <w:rPr>
                <w:lang w:val="en-AU"/>
              </w:rPr>
              <w:t>%</w:t>
            </w:r>
          </w:p>
        </w:tc>
        <w:tc>
          <w:tcPr>
            <w:tcW w:w="576" w:type="dxa"/>
          </w:tcPr>
          <w:p w14:paraId="26648F82" w14:textId="33845B74" w:rsidR="00D576E5" w:rsidRPr="00141A4D" w:rsidRDefault="00D576E5" w:rsidP="000E289F">
            <w:pPr>
              <w:pStyle w:val="Tablecondensed"/>
              <w:rPr>
                <w:lang w:val="en-AU"/>
              </w:rPr>
            </w:pPr>
            <w:r>
              <w:rPr>
                <w:lang w:val="en-AU"/>
              </w:rPr>
              <w:t>4</w:t>
            </w:r>
          </w:p>
        </w:tc>
        <w:tc>
          <w:tcPr>
            <w:tcW w:w="576" w:type="dxa"/>
          </w:tcPr>
          <w:p w14:paraId="7AE22718" w14:textId="0404F100" w:rsidR="00D576E5" w:rsidRPr="00141A4D" w:rsidRDefault="00D576E5" w:rsidP="000E289F">
            <w:pPr>
              <w:pStyle w:val="Tablecondensed"/>
              <w:rPr>
                <w:lang w:val="en-AU"/>
              </w:rPr>
            </w:pPr>
            <w:r>
              <w:rPr>
                <w:lang w:val="en-AU"/>
              </w:rPr>
              <w:t>7</w:t>
            </w:r>
          </w:p>
        </w:tc>
        <w:tc>
          <w:tcPr>
            <w:tcW w:w="576" w:type="dxa"/>
          </w:tcPr>
          <w:p w14:paraId="5102BEC0" w14:textId="6BE87861" w:rsidR="00D576E5" w:rsidRPr="00141A4D" w:rsidRDefault="00D576E5" w:rsidP="000E289F">
            <w:pPr>
              <w:pStyle w:val="Tablecondensed"/>
              <w:rPr>
                <w:lang w:val="en-AU"/>
              </w:rPr>
            </w:pPr>
            <w:r>
              <w:rPr>
                <w:lang w:val="en-AU"/>
              </w:rPr>
              <w:t>22</w:t>
            </w:r>
          </w:p>
        </w:tc>
        <w:tc>
          <w:tcPr>
            <w:tcW w:w="576" w:type="dxa"/>
          </w:tcPr>
          <w:p w14:paraId="5D86CEE3" w14:textId="2425719B" w:rsidR="00D576E5" w:rsidRDefault="00D576E5" w:rsidP="000E289F">
            <w:pPr>
              <w:pStyle w:val="Tablecondensed"/>
              <w:rPr>
                <w:lang w:val="en-AU"/>
              </w:rPr>
            </w:pPr>
            <w:r>
              <w:rPr>
                <w:lang w:val="en-AU"/>
              </w:rPr>
              <w:t>33</w:t>
            </w:r>
          </w:p>
        </w:tc>
        <w:tc>
          <w:tcPr>
            <w:tcW w:w="576" w:type="dxa"/>
          </w:tcPr>
          <w:p w14:paraId="715CAF7A" w14:textId="3C49509E" w:rsidR="00D576E5" w:rsidRDefault="00D576E5" w:rsidP="000E289F">
            <w:pPr>
              <w:pStyle w:val="Tablecondensed"/>
              <w:rPr>
                <w:lang w:val="en-AU"/>
              </w:rPr>
            </w:pPr>
            <w:r>
              <w:rPr>
                <w:lang w:val="en-AU"/>
              </w:rPr>
              <w:t>25</w:t>
            </w:r>
          </w:p>
        </w:tc>
        <w:tc>
          <w:tcPr>
            <w:tcW w:w="576" w:type="dxa"/>
          </w:tcPr>
          <w:p w14:paraId="0BC4D276" w14:textId="1AE0A1CC" w:rsidR="00D576E5" w:rsidRDefault="00D576E5" w:rsidP="000E289F">
            <w:pPr>
              <w:pStyle w:val="Tablecondensed"/>
              <w:rPr>
                <w:lang w:val="en-AU"/>
              </w:rPr>
            </w:pPr>
            <w:r>
              <w:rPr>
                <w:lang w:val="en-AU"/>
              </w:rPr>
              <w:t>9</w:t>
            </w:r>
          </w:p>
        </w:tc>
        <w:tc>
          <w:tcPr>
            <w:tcW w:w="864" w:type="dxa"/>
          </w:tcPr>
          <w:p w14:paraId="18CAA527" w14:textId="0468D02B" w:rsidR="00D576E5" w:rsidRPr="00141A4D" w:rsidRDefault="00D576E5" w:rsidP="000E289F">
            <w:pPr>
              <w:pStyle w:val="Tablecondensed"/>
              <w:rPr>
                <w:lang w:val="en-AU"/>
              </w:rPr>
            </w:pPr>
            <w:r>
              <w:rPr>
                <w:lang w:val="en-AU"/>
              </w:rPr>
              <w:t>2.9</w:t>
            </w:r>
          </w:p>
        </w:tc>
      </w:tr>
    </w:tbl>
    <w:p w14:paraId="19F9AAC4" w14:textId="53B577BF" w:rsidR="007042E8" w:rsidRPr="005A6BA1" w:rsidRDefault="00D576E5" w:rsidP="005A6BA1">
      <w:pPr>
        <w:pStyle w:val="BodyText"/>
      </w:pPr>
      <w:r>
        <w:t>Students</w:t>
      </w:r>
      <w:r w:rsidRPr="005A6BA1">
        <w:t xml:space="preserve"> </w:t>
      </w:r>
      <w:r w:rsidR="007042E8" w:rsidRPr="005A6BA1">
        <w:t xml:space="preserve">were required to analyse one contemporary example where it is claimed the media has influenced an audience, using evidence to support their response. </w:t>
      </w:r>
      <w:r w:rsidR="00C10A8C">
        <w:t>As in</w:t>
      </w:r>
      <w:r w:rsidR="007042E8" w:rsidRPr="005A6BA1">
        <w:t xml:space="preserve"> Question 8, </w:t>
      </w:r>
      <w:r w:rsidR="00C10A8C">
        <w:t>the example needed to be</w:t>
      </w:r>
      <w:r w:rsidR="007042E8" w:rsidRPr="005A6BA1">
        <w:t xml:space="preserve"> </w:t>
      </w:r>
      <w:r w:rsidR="005C6F9E" w:rsidRPr="005A6BA1">
        <w:t>‘</w:t>
      </w:r>
      <w:r w:rsidR="007042E8" w:rsidRPr="005A6BA1">
        <w:t>contemporary</w:t>
      </w:r>
      <w:r w:rsidR="005C6F9E" w:rsidRPr="005A6BA1">
        <w:t>’</w:t>
      </w:r>
      <w:r w:rsidR="00C10A8C">
        <w:t>,</w:t>
      </w:r>
      <w:r w:rsidR="00A659C9">
        <w:t xml:space="preserve"> referring to current digital platforms and technologies,</w:t>
      </w:r>
      <w:r w:rsidR="00C10A8C">
        <w:t xml:space="preserve"> with </w:t>
      </w:r>
      <w:r w:rsidR="00570262" w:rsidRPr="005A6BA1">
        <w:t>the strongest responses using recent examples (from the last few years) rather than examples from the early 2000s or earlier.</w:t>
      </w:r>
    </w:p>
    <w:p w14:paraId="5C16F683" w14:textId="0B87A522" w:rsidR="005D6E84" w:rsidRPr="005A6BA1" w:rsidRDefault="005D6E84" w:rsidP="009152DE">
      <w:pPr>
        <w:pStyle w:val="BodyText"/>
      </w:pPr>
      <w:r w:rsidRPr="005A6BA1">
        <w:t>Successful responses included</w:t>
      </w:r>
      <w:r w:rsidR="00C10A8C">
        <w:t xml:space="preserve"> o</w:t>
      </w:r>
      <w:r w:rsidRPr="005A6BA1">
        <w:t>ne specific contemporary example</w:t>
      </w:r>
      <w:r w:rsidR="00C10A8C">
        <w:t>, d</w:t>
      </w:r>
      <w:r w:rsidRPr="005A6BA1">
        <w:t>etails</w:t>
      </w:r>
      <w:r w:rsidR="4C837669" w:rsidRPr="005A6BA1">
        <w:t xml:space="preserve"> of the influence </w:t>
      </w:r>
      <w:r w:rsidR="255777A9" w:rsidRPr="005A6BA1">
        <w:t>referring</w:t>
      </w:r>
      <w:r w:rsidR="4C837669" w:rsidRPr="005A6BA1">
        <w:t xml:space="preserve"> to </w:t>
      </w:r>
      <w:r w:rsidRPr="005A6BA1">
        <w:t>who, what, which audience</w:t>
      </w:r>
      <w:r w:rsidR="000E50CF" w:rsidRPr="005A6BA1">
        <w:t xml:space="preserve"> and </w:t>
      </w:r>
      <w:r w:rsidRPr="005A6BA1">
        <w:t>when</w:t>
      </w:r>
      <w:r w:rsidR="00C10A8C">
        <w:t>, t</w:t>
      </w:r>
      <w:r w:rsidRPr="005A6BA1">
        <w:t>he nature of the influence</w:t>
      </w:r>
      <w:r w:rsidR="00C10A8C">
        <w:t>, and c</w:t>
      </w:r>
      <w:r w:rsidRPr="005A6BA1">
        <w:t xml:space="preserve">oncrete evidence </w:t>
      </w:r>
      <w:r w:rsidR="6A354B77" w:rsidRPr="005A6BA1">
        <w:t xml:space="preserve">to support the analysis such as </w:t>
      </w:r>
      <w:r w:rsidRPr="005A6BA1">
        <w:t xml:space="preserve">statistics, research </w:t>
      </w:r>
      <w:r w:rsidR="289AB1F7" w:rsidRPr="005A6BA1">
        <w:t xml:space="preserve">or </w:t>
      </w:r>
      <w:r w:rsidRPr="005A6BA1">
        <w:t>documented outcomes</w:t>
      </w:r>
      <w:r w:rsidR="00C10A8C">
        <w:t>.</w:t>
      </w:r>
    </w:p>
    <w:p w14:paraId="5BF271AC" w14:textId="25B71A0B" w:rsidR="00570262" w:rsidRPr="005A6BA1" w:rsidRDefault="00570262" w:rsidP="005A6BA1">
      <w:pPr>
        <w:pStyle w:val="BodyText"/>
      </w:pPr>
      <w:r w:rsidRPr="005A6BA1">
        <w:t xml:space="preserve">High-scoring responses </w:t>
      </w:r>
      <w:r w:rsidR="0011486B">
        <w:t>include</w:t>
      </w:r>
      <w:r w:rsidRPr="005A6BA1">
        <w:t>d:</w:t>
      </w:r>
    </w:p>
    <w:p w14:paraId="048E0EFE" w14:textId="28D1A841" w:rsidR="00570262" w:rsidRPr="005A6BA1" w:rsidRDefault="00456C9D" w:rsidP="005A6BA1">
      <w:pPr>
        <w:pStyle w:val="Bullet"/>
      </w:pPr>
      <w:r>
        <w:t>i</w:t>
      </w:r>
      <w:r w:rsidR="00570262" w:rsidRPr="005A6BA1">
        <w:t>dentification of a specific, contemporary example with clear details</w:t>
      </w:r>
      <w:r w:rsidR="634DE1A9" w:rsidRPr="005A6BA1">
        <w:t xml:space="preserve"> of </w:t>
      </w:r>
      <w:r w:rsidR="00570262" w:rsidRPr="005A6BA1">
        <w:t>who created/distributed the media</w:t>
      </w:r>
      <w:r w:rsidR="044DC5C4" w:rsidRPr="005A6BA1">
        <w:t xml:space="preserve">, </w:t>
      </w:r>
      <w:r w:rsidR="00570262" w:rsidRPr="005A6BA1">
        <w:t xml:space="preserve">what </w:t>
      </w:r>
      <w:r w:rsidR="6FCBA647" w:rsidRPr="005A6BA1">
        <w:t xml:space="preserve">was the </w:t>
      </w:r>
      <w:r w:rsidR="306DF844" w:rsidRPr="005A6BA1">
        <w:t xml:space="preserve">form and the </w:t>
      </w:r>
      <w:r w:rsidR="6FCBA647" w:rsidRPr="005A6BA1">
        <w:t xml:space="preserve">content of the </w:t>
      </w:r>
      <w:r w:rsidR="00570262" w:rsidRPr="005A6BA1">
        <w:t>media</w:t>
      </w:r>
      <w:r w:rsidR="03761DE4" w:rsidRPr="005A6BA1">
        <w:t xml:space="preserve"> or campaign</w:t>
      </w:r>
      <w:r w:rsidR="00570262" w:rsidRPr="005A6BA1">
        <w:t>, which specific audience</w:t>
      </w:r>
      <w:r w:rsidR="2BE718CB" w:rsidRPr="005A6BA1">
        <w:t xml:space="preserve"> was influenced such as </w:t>
      </w:r>
      <w:r w:rsidR="00570262" w:rsidRPr="005A6BA1">
        <w:t>demographics</w:t>
      </w:r>
      <w:r w:rsidR="68A9E7BE" w:rsidRPr="005A6BA1">
        <w:t xml:space="preserve"> and </w:t>
      </w:r>
      <w:r w:rsidR="00570262" w:rsidRPr="005A6BA1">
        <w:t>when it occurred</w:t>
      </w:r>
    </w:p>
    <w:p w14:paraId="3057ED06" w14:textId="74F2B567" w:rsidR="00570262" w:rsidRPr="005A6BA1" w:rsidRDefault="00456C9D" w:rsidP="005A6BA1">
      <w:pPr>
        <w:pStyle w:val="Bullet"/>
      </w:pPr>
      <w:r>
        <w:t>c</w:t>
      </w:r>
      <w:r w:rsidR="00570262" w:rsidRPr="005A6BA1">
        <w:t>lear articulation of the nature of the influence</w:t>
      </w:r>
      <w:r w:rsidR="76553AF0" w:rsidRPr="005A6BA1">
        <w:t xml:space="preserve"> such as the </w:t>
      </w:r>
      <w:r w:rsidR="00570262" w:rsidRPr="005A6BA1">
        <w:t>behavioural shift, attitude change</w:t>
      </w:r>
      <w:r w:rsidR="00493623" w:rsidRPr="005A6BA1">
        <w:t>,</w:t>
      </w:r>
      <w:r w:rsidR="621EF07A" w:rsidRPr="005A6BA1">
        <w:t xml:space="preserve"> and </w:t>
      </w:r>
      <w:r w:rsidR="00493623" w:rsidRPr="005A6BA1">
        <w:t>action taken</w:t>
      </w:r>
    </w:p>
    <w:p w14:paraId="3F049143" w14:textId="1E262FE0" w:rsidR="00493623" w:rsidRPr="005A6BA1" w:rsidRDefault="00456C9D" w:rsidP="005A6BA1">
      <w:pPr>
        <w:pStyle w:val="Bullet"/>
      </w:pPr>
      <w:r>
        <w:t>u</w:t>
      </w:r>
      <w:r w:rsidR="154472B3" w:rsidRPr="005A6BA1">
        <w:t>se of c</w:t>
      </w:r>
      <w:r w:rsidR="00493623" w:rsidRPr="005A6BA1">
        <w:t xml:space="preserve">oncrete evidence </w:t>
      </w:r>
      <w:r w:rsidR="70DCAD77" w:rsidRPr="005A6BA1">
        <w:t xml:space="preserve">to support the analysis </w:t>
      </w:r>
      <w:r w:rsidR="00493623" w:rsidRPr="005A6BA1">
        <w:t>such as statistics, research and documented outcomes.</w:t>
      </w:r>
    </w:p>
    <w:p w14:paraId="3207D9A4" w14:textId="3A0756CD" w:rsidR="00493623" w:rsidRPr="005A6BA1" w:rsidRDefault="00493623" w:rsidP="005A6BA1">
      <w:pPr>
        <w:pStyle w:val="BodyText"/>
      </w:pPr>
      <w:r w:rsidRPr="005A6BA1">
        <w:t xml:space="preserve">Common errors </w:t>
      </w:r>
      <w:r w:rsidR="00F431A4">
        <w:t>included</w:t>
      </w:r>
      <w:r w:rsidRPr="005A6BA1">
        <w:t>:</w:t>
      </w:r>
    </w:p>
    <w:p w14:paraId="1E586A3E" w14:textId="1740AE92" w:rsidR="00493623" w:rsidRPr="005A6BA1" w:rsidRDefault="00456C9D" w:rsidP="005A6BA1">
      <w:pPr>
        <w:pStyle w:val="Bullet"/>
      </w:pPr>
      <w:r>
        <w:t>t</w:t>
      </w:r>
      <w:r w:rsidR="752DF82D" w:rsidRPr="005A6BA1">
        <w:t xml:space="preserve">he use of </w:t>
      </w:r>
      <w:r w:rsidR="00493623" w:rsidRPr="005A6BA1">
        <w:t xml:space="preserve">examples that were not contemporary, such as early TAC campaigns, </w:t>
      </w:r>
      <w:r>
        <w:t xml:space="preserve">the </w:t>
      </w:r>
      <w:r w:rsidR="2D6B439D" w:rsidRPr="005A6BA1">
        <w:t>‘</w:t>
      </w:r>
      <w:r w:rsidR="00493623" w:rsidRPr="005A6BA1">
        <w:t>War of the Worlds</w:t>
      </w:r>
      <w:r w:rsidR="3BF6A6CE" w:rsidRPr="005A6BA1">
        <w:t>’</w:t>
      </w:r>
      <w:r w:rsidR="00493623" w:rsidRPr="005A6BA1">
        <w:t xml:space="preserve"> broadcast or early ‘Slip Slop Slap’ campaigns</w:t>
      </w:r>
    </w:p>
    <w:p w14:paraId="7AC56571" w14:textId="1540B923" w:rsidR="00FA4268" w:rsidRDefault="00456C9D" w:rsidP="00C10A8C">
      <w:pPr>
        <w:pStyle w:val="Bullet"/>
      </w:pPr>
      <w:r>
        <w:t>u</w:t>
      </w:r>
      <w:r w:rsidR="00493623" w:rsidRPr="005A6BA1">
        <w:t>sing only anecdot</w:t>
      </w:r>
      <w:r w:rsidR="00FA4268">
        <w:t>al</w:t>
      </w:r>
      <w:r w:rsidR="0EA8D13D" w:rsidRPr="005A6BA1">
        <w:t xml:space="preserve"> evidence to support the analysis rather than citing specific evidence</w:t>
      </w:r>
      <w:r>
        <w:t>;</w:t>
      </w:r>
      <w:r w:rsidR="00FA4268">
        <w:t xml:space="preserve"> </w:t>
      </w:r>
      <w:r w:rsidR="0EA8D13D" w:rsidRPr="005A6BA1">
        <w:t>for example</w:t>
      </w:r>
      <w:r w:rsidR="009152DE">
        <w:t>,</w:t>
      </w:r>
      <w:r w:rsidR="0EA8D13D" w:rsidRPr="005A6BA1">
        <w:t xml:space="preserve"> </w:t>
      </w:r>
      <w:r w:rsidR="005C6F9E" w:rsidRPr="005A6BA1">
        <w:t>‘</w:t>
      </w:r>
      <w:r w:rsidR="00493623" w:rsidRPr="005A6BA1">
        <w:t>people said they were influenced</w:t>
      </w:r>
      <w:r w:rsidR="005C6F9E" w:rsidRPr="005A6BA1">
        <w:t>’</w:t>
      </w:r>
    </w:p>
    <w:p w14:paraId="328D93F1" w14:textId="6F0B3A5F" w:rsidR="00493623" w:rsidRPr="005A6BA1" w:rsidRDefault="00456C9D" w:rsidP="005A6BA1">
      <w:pPr>
        <w:pStyle w:val="Bullet"/>
      </w:pPr>
      <w:r>
        <w:t>t</w:t>
      </w:r>
      <w:r w:rsidR="00C73E7F" w:rsidRPr="005A6BA1">
        <w:t>reating communication theories</w:t>
      </w:r>
      <w:r w:rsidR="0035A5D0" w:rsidRPr="005A6BA1">
        <w:t xml:space="preserve"> </w:t>
      </w:r>
      <w:r w:rsidR="00C73E7F" w:rsidRPr="005A6BA1">
        <w:t>as evidence or part of the example itself, rather than using them as analytical frameworks to interpret the evidence.</w:t>
      </w:r>
    </w:p>
    <w:p w14:paraId="138F8CFE" w14:textId="3390B3D5" w:rsidR="00C73E7F" w:rsidRPr="005A6BA1" w:rsidRDefault="00B026D0" w:rsidP="005A6BA1">
      <w:pPr>
        <w:pStyle w:val="BodyText"/>
      </w:pPr>
      <w:r>
        <w:t>The following is an example of a high-scoring</w:t>
      </w:r>
      <w:r w:rsidRPr="0035746B">
        <w:t xml:space="preserve"> </w:t>
      </w:r>
      <w:r w:rsidR="00FA4268">
        <w:t>r</w:t>
      </w:r>
      <w:r w:rsidR="00773BC1" w:rsidRPr="005A6BA1">
        <w:t>esponse:</w:t>
      </w:r>
    </w:p>
    <w:p w14:paraId="47AB85A6" w14:textId="1A19DB7A" w:rsidR="00773BC1" w:rsidRPr="005A6BA1" w:rsidRDefault="00773BC1" w:rsidP="005A6BA1">
      <w:pPr>
        <w:pStyle w:val="Studentsample"/>
      </w:pPr>
      <w:r w:rsidRPr="005A6BA1">
        <w:t>The popularity of the global girl group Katseye is a primary example of media influencing an audience. Upon their debut in 2023, the girls have already amassed a following of 7.5 million people on Instagram and a lot of this popularity can be accounted for due to media influence. A Netflix special was uploaded to celebrate the debut of Katseye and this documentary style series resonated with audiences creating parasocial relationships with the members. The media was able to control popularity by pairing this with algorithmic boosting and content planning. The audience was manipulated and encouraged into forming attachments and engagement through the vulnerable documentary and large social media presence.</w:t>
      </w:r>
    </w:p>
    <w:p w14:paraId="112D7947" w14:textId="64D7BADE" w:rsidR="00C73E7F" w:rsidRPr="005A6BA1" w:rsidRDefault="00C73E7F" w:rsidP="000E289F">
      <w:pPr>
        <w:pStyle w:val="Heading2"/>
      </w:pPr>
      <w:r w:rsidRPr="005A6BA1">
        <w:t>Question 10</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FA4268" w:rsidRPr="00141A4D" w14:paraId="4829D9F9" w14:textId="77777777" w:rsidTr="00566DCF">
        <w:trPr>
          <w:cnfStyle w:val="100000000000" w:firstRow="1" w:lastRow="0" w:firstColumn="0" w:lastColumn="0" w:oddVBand="0" w:evenVBand="0" w:oddHBand="0" w:evenHBand="0" w:firstRowFirstColumn="0" w:firstRowLastColumn="0" w:lastRowFirstColumn="0" w:lastRowLastColumn="0"/>
        </w:trPr>
        <w:tc>
          <w:tcPr>
            <w:tcW w:w="599" w:type="dxa"/>
          </w:tcPr>
          <w:p w14:paraId="12095370" w14:textId="77777777" w:rsidR="00FA4268" w:rsidRPr="00141A4D" w:rsidRDefault="00FA4268" w:rsidP="000E289F">
            <w:pPr>
              <w:pStyle w:val="Tablecondensedheading"/>
              <w:rPr>
                <w:lang w:val="en-AU"/>
              </w:rPr>
            </w:pPr>
            <w:r w:rsidRPr="00141A4D">
              <w:rPr>
                <w:lang w:val="en-AU"/>
              </w:rPr>
              <w:t>Mark</w:t>
            </w:r>
          </w:p>
        </w:tc>
        <w:tc>
          <w:tcPr>
            <w:tcW w:w="576" w:type="dxa"/>
          </w:tcPr>
          <w:p w14:paraId="0AD2A471" w14:textId="77777777" w:rsidR="00FA4268" w:rsidRPr="00141A4D" w:rsidRDefault="00FA4268" w:rsidP="000E289F">
            <w:pPr>
              <w:pStyle w:val="Tablecondensedheading"/>
              <w:rPr>
                <w:lang w:val="en-AU"/>
              </w:rPr>
            </w:pPr>
            <w:r w:rsidRPr="00141A4D">
              <w:rPr>
                <w:lang w:val="en-AU"/>
              </w:rPr>
              <w:t>0</w:t>
            </w:r>
          </w:p>
        </w:tc>
        <w:tc>
          <w:tcPr>
            <w:tcW w:w="576" w:type="dxa"/>
          </w:tcPr>
          <w:p w14:paraId="4DFB31BB" w14:textId="77777777" w:rsidR="00FA4268" w:rsidRPr="00141A4D" w:rsidRDefault="00FA4268" w:rsidP="000E289F">
            <w:pPr>
              <w:pStyle w:val="Tablecondensedheading"/>
              <w:rPr>
                <w:lang w:val="en-AU"/>
              </w:rPr>
            </w:pPr>
            <w:r w:rsidRPr="00141A4D">
              <w:rPr>
                <w:lang w:val="en-AU"/>
              </w:rPr>
              <w:t>1</w:t>
            </w:r>
          </w:p>
        </w:tc>
        <w:tc>
          <w:tcPr>
            <w:tcW w:w="576" w:type="dxa"/>
          </w:tcPr>
          <w:p w14:paraId="38AFB2FE" w14:textId="77777777" w:rsidR="00FA4268" w:rsidRPr="00141A4D" w:rsidRDefault="00FA4268" w:rsidP="000E289F">
            <w:pPr>
              <w:pStyle w:val="Tablecondensedheading"/>
              <w:rPr>
                <w:lang w:val="en-AU"/>
              </w:rPr>
            </w:pPr>
            <w:r w:rsidRPr="00141A4D">
              <w:rPr>
                <w:lang w:val="en-AU"/>
              </w:rPr>
              <w:t>2</w:t>
            </w:r>
          </w:p>
        </w:tc>
        <w:tc>
          <w:tcPr>
            <w:tcW w:w="576" w:type="dxa"/>
          </w:tcPr>
          <w:p w14:paraId="45545701" w14:textId="444E5502" w:rsidR="00FA4268" w:rsidRDefault="00FA4268" w:rsidP="000E289F">
            <w:pPr>
              <w:pStyle w:val="Tablecondensedheading"/>
              <w:rPr>
                <w:lang w:val="en-AU"/>
              </w:rPr>
            </w:pPr>
            <w:r>
              <w:rPr>
                <w:lang w:val="en-AU"/>
              </w:rPr>
              <w:t>3</w:t>
            </w:r>
          </w:p>
        </w:tc>
        <w:tc>
          <w:tcPr>
            <w:tcW w:w="576" w:type="dxa"/>
          </w:tcPr>
          <w:p w14:paraId="5DB39B81" w14:textId="0784997F" w:rsidR="00FA4268" w:rsidRDefault="00FA4268" w:rsidP="000E289F">
            <w:pPr>
              <w:pStyle w:val="Tablecondensedheading"/>
              <w:rPr>
                <w:lang w:val="en-AU"/>
              </w:rPr>
            </w:pPr>
            <w:r>
              <w:rPr>
                <w:lang w:val="en-AU"/>
              </w:rPr>
              <w:t>4</w:t>
            </w:r>
          </w:p>
        </w:tc>
        <w:tc>
          <w:tcPr>
            <w:tcW w:w="576" w:type="dxa"/>
          </w:tcPr>
          <w:p w14:paraId="47728EDE" w14:textId="4D82409A" w:rsidR="00FA4268" w:rsidRPr="00141A4D" w:rsidRDefault="00FA4268" w:rsidP="000E289F">
            <w:pPr>
              <w:pStyle w:val="Tablecondensedheading"/>
              <w:rPr>
                <w:lang w:val="en-AU"/>
              </w:rPr>
            </w:pPr>
            <w:r>
              <w:rPr>
                <w:lang w:val="en-AU"/>
              </w:rPr>
              <w:t>5</w:t>
            </w:r>
          </w:p>
        </w:tc>
        <w:tc>
          <w:tcPr>
            <w:tcW w:w="576" w:type="dxa"/>
          </w:tcPr>
          <w:p w14:paraId="10DFB743" w14:textId="1DEE635E" w:rsidR="00FA4268" w:rsidRPr="00141A4D" w:rsidRDefault="00FA4268" w:rsidP="000E289F">
            <w:pPr>
              <w:pStyle w:val="Tablecondensedheading"/>
              <w:rPr>
                <w:lang w:val="en-AU"/>
              </w:rPr>
            </w:pPr>
            <w:r>
              <w:rPr>
                <w:lang w:val="en-AU"/>
              </w:rPr>
              <w:t>6</w:t>
            </w:r>
          </w:p>
        </w:tc>
        <w:tc>
          <w:tcPr>
            <w:tcW w:w="864" w:type="dxa"/>
          </w:tcPr>
          <w:p w14:paraId="71864C4B" w14:textId="77777777" w:rsidR="00FA4268" w:rsidRPr="00141A4D" w:rsidRDefault="00FA4268" w:rsidP="000E289F">
            <w:pPr>
              <w:pStyle w:val="Tablecondensedheading"/>
              <w:rPr>
                <w:lang w:val="en-AU"/>
              </w:rPr>
            </w:pPr>
            <w:r w:rsidRPr="00141A4D">
              <w:rPr>
                <w:lang w:val="en-AU"/>
              </w:rPr>
              <w:t>Average</w:t>
            </w:r>
          </w:p>
        </w:tc>
      </w:tr>
      <w:tr w:rsidR="00FA4268" w:rsidRPr="00141A4D" w14:paraId="24EE0C7C" w14:textId="77777777" w:rsidTr="00566DCF">
        <w:tc>
          <w:tcPr>
            <w:tcW w:w="599" w:type="dxa"/>
          </w:tcPr>
          <w:p w14:paraId="089C01B3" w14:textId="77777777" w:rsidR="00FA4268" w:rsidRPr="00141A4D" w:rsidRDefault="00FA4268" w:rsidP="000E289F">
            <w:pPr>
              <w:pStyle w:val="Tablecondensed"/>
              <w:rPr>
                <w:lang w:val="en-AU"/>
              </w:rPr>
            </w:pPr>
            <w:r w:rsidRPr="00141A4D">
              <w:rPr>
                <w:lang w:val="en-AU"/>
              </w:rPr>
              <w:t>%</w:t>
            </w:r>
          </w:p>
        </w:tc>
        <w:tc>
          <w:tcPr>
            <w:tcW w:w="576" w:type="dxa"/>
          </w:tcPr>
          <w:p w14:paraId="63F9D424" w14:textId="0698F4C2" w:rsidR="00FA4268" w:rsidRPr="00141A4D" w:rsidRDefault="00FA4268" w:rsidP="000E289F">
            <w:pPr>
              <w:pStyle w:val="Tablecondensed"/>
              <w:rPr>
                <w:lang w:val="en-AU"/>
              </w:rPr>
            </w:pPr>
            <w:r>
              <w:rPr>
                <w:lang w:val="en-AU"/>
              </w:rPr>
              <w:t>7</w:t>
            </w:r>
          </w:p>
        </w:tc>
        <w:tc>
          <w:tcPr>
            <w:tcW w:w="576" w:type="dxa"/>
          </w:tcPr>
          <w:p w14:paraId="024C580D" w14:textId="5E2521D3" w:rsidR="00FA4268" w:rsidRPr="00141A4D" w:rsidRDefault="00FA4268" w:rsidP="000E289F">
            <w:pPr>
              <w:pStyle w:val="Tablecondensed"/>
              <w:rPr>
                <w:lang w:val="en-AU"/>
              </w:rPr>
            </w:pPr>
            <w:r>
              <w:rPr>
                <w:lang w:val="en-AU"/>
              </w:rPr>
              <w:t>12</w:t>
            </w:r>
          </w:p>
        </w:tc>
        <w:tc>
          <w:tcPr>
            <w:tcW w:w="576" w:type="dxa"/>
          </w:tcPr>
          <w:p w14:paraId="45DA9E93" w14:textId="2D073554" w:rsidR="00FA4268" w:rsidRPr="00141A4D" w:rsidRDefault="00FA4268" w:rsidP="000E289F">
            <w:pPr>
              <w:pStyle w:val="Tablecondensed"/>
              <w:rPr>
                <w:lang w:val="en-AU"/>
              </w:rPr>
            </w:pPr>
            <w:r>
              <w:rPr>
                <w:lang w:val="en-AU"/>
              </w:rPr>
              <w:t>19</w:t>
            </w:r>
          </w:p>
        </w:tc>
        <w:tc>
          <w:tcPr>
            <w:tcW w:w="576" w:type="dxa"/>
          </w:tcPr>
          <w:p w14:paraId="76A049D2" w14:textId="64D56762" w:rsidR="00FA4268" w:rsidRDefault="00FA4268" w:rsidP="000E289F">
            <w:pPr>
              <w:pStyle w:val="Tablecondensed"/>
              <w:rPr>
                <w:lang w:val="en-AU"/>
              </w:rPr>
            </w:pPr>
            <w:r>
              <w:rPr>
                <w:lang w:val="en-AU"/>
              </w:rPr>
              <w:t>26</w:t>
            </w:r>
          </w:p>
        </w:tc>
        <w:tc>
          <w:tcPr>
            <w:tcW w:w="576" w:type="dxa"/>
          </w:tcPr>
          <w:p w14:paraId="0D11D4B6" w14:textId="54AADD42" w:rsidR="00FA4268" w:rsidRDefault="00FA4268" w:rsidP="000E289F">
            <w:pPr>
              <w:pStyle w:val="Tablecondensed"/>
              <w:rPr>
                <w:lang w:val="en-AU"/>
              </w:rPr>
            </w:pPr>
            <w:r>
              <w:rPr>
                <w:lang w:val="en-AU"/>
              </w:rPr>
              <w:t>19</w:t>
            </w:r>
          </w:p>
        </w:tc>
        <w:tc>
          <w:tcPr>
            <w:tcW w:w="576" w:type="dxa"/>
          </w:tcPr>
          <w:p w14:paraId="6F023B8D" w14:textId="521872D2" w:rsidR="00FA4268" w:rsidRDefault="00FA4268" w:rsidP="000E289F">
            <w:pPr>
              <w:pStyle w:val="Tablecondensed"/>
              <w:rPr>
                <w:lang w:val="en-AU"/>
              </w:rPr>
            </w:pPr>
            <w:r>
              <w:rPr>
                <w:lang w:val="en-AU"/>
              </w:rPr>
              <w:t>13</w:t>
            </w:r>
          </w:p>
        </w:tc>
        <w:tc>
          <w:tcPr>
            <w:tcW w:w="576" w:type="dxa"/>
          </w:tcPr>
          <w:p w14:paraId="43B39260" w14:textId="7FE2F22F" w:rsidR="00FA4268" w:rsidRDefault="00FA4268" w:rsidP="000E289F">
            <w:pPr>
              <w:pStyle w:val="Tablecondensed"/>
              <w:rPr>
                <w:lang w:val="en-AU"/>
              </w:rPr>
            </w:pPr>
            <w:r>
              <w:rPr>
                <w:lang w:val="en-AU"/>
              </w:rPr>
              <w:t>4</w:t>
            </w:r>
          </w:p>
        </w:tc>
        <w:tc>
          <w:tcPr>
            <w:tcW w:w="864" w:type="dxa"/>
          </w:tcPr>
          <w:p w14:paraId="5B0333FB" w14:textId="1336DFE8" w:rsidR="00FA4268" w:rsidRPr="00141A4D" w:rsidRDefault="00FA4268" w:rsidP="000E289F">
            <w:pPr>
              <w:pStyle w:val="Tablecondensed"/>
              <w:rPr>
                <w:lang w:val="en-AU"/>
              </w:rPr>
            </w:pPr>
            <w:r>
              <w:rPr>
                <w:lang w:val="en-AU"/>
              </w:rPr>
              <w:t>2.9</w:t>
            </w:r>
          </w:p>
        </w:tc>
      </w:tr>
    </w:tbl>
    <w:p w14:paraId="33ECA1D8" w14:textId="1CCB335E" w:rsidR="00C73E7F" w:rsidRPr="005A6BA1" w:rsidRDefault="00FA4268" w:rsidP="005A6BA1">
      <w:pPr>
        <w:pStyle w:val="BodyText"/>
      </w:pPr>
      <w:r>
        <w:t>Students</w:t>
      </w:r>
      <w:r w:rsidR="00F508B5">
        <w:t xml:space="preserve"> </w:t>
      </w:r>
      <w:r w:rsidR="00C73E7F" w:rsidRPr="005A6BA1">
        <w:t>were required to explain ho</w:t>
      </w:r>
      <w:r w:rsidR="00C14FFF" w:rsidRPr="005A6BA1">
        <w:t>w</w:t>
      </w:r>
      <w:r w:rsidR="00C73E7F" w:rsidRPr="005A6BA1">
        <w:t xml:space="preserve"> media is used by globali</w:t>
      </w:r>
      <w:r w:rsidR="00C14FFF" w:rsidRPr="005A6BA1">
        <w:t>s</w:t>
      </w:r>
      <w:r w:rsidR="00C73E7F" w:rsidRPr="005A6BA1">
        <w:t xml:space="preserve">ed media institutions. </w:t>
      </w:r>
      <w:r w:rsidR="00F508B5">
        <w:t>Re</w:t>
      </w:r>
      <w:r w:rsidR="3E0FA909" w:rsidRPr="005A6BA1">
        <w:t xml:space="preserve">sponses </w:t>
      </w:r>
      <w:r w:rsidR="00F508B5">
        <w:t xml:space="preserve">needed </w:t>
      </w:r>
      <w:r w:rsidR="466634FB" w:rsidRPr="005A6BA1">
        <w:t xml:space="preserve">to </w:t>
      </w:r>
      <w:r w:rsidR="00C73E7F" w:rsidRPr="005A6BA1">
        <w:t>provide a detailed account of how globalised institutions use media, including why they use it in certain ways and the effects of these practices. Globalised media institutions are those with distribution and engagement across national borders</w:t>
      </w:r>
      <w:r w:rsidR="00573A3B">
        <w:t>,</w:t>
      </w:r>
      <w:r w:rsidR="00C73E7F" w:rsidRPr="005A6BA1">
        <w:t xml:space="preserve"> </w:t>
      </w:r>
      <w:r w:rsidR="15408DC6" w:rsidRPr="005A6BA1">
        <w:t>such as</w:t>
      </w:r>
      <w:r w:rsidR="00C73E7F" w:rsidRPr="005A6BA1">
        <w:t xml:space="preserve"> Netflix, YouTube, Spotify, Facebook, Instagram</w:t>
      </w:r>
      <w:r w:rsidR="37EF946E" w:rsidRPr="005A6BA1">
        <w:t xml:space="preserve"> and </w:t>
      </w:r>
      <w:r w:rsidR="00C73E7F" w:rsidRPr="005A6BA1">
        <w:t>TikTok</w:t>
      </w:r>
      <w:r w:rsidR="0649F999" w:rsidRPr="005A6BA1">
        <w:t>.</w:t>
      </w:r>
    </w:p>
    <w:p w14:paraId="69D3B03B" w14:textId="71D65971" w:rsidR="007E3136" w:rsidRPr="005A6BA1" w:rsidRDefault="007E3136" w:rsidP="005A6BA1">
      <w:pPr>
        <w:pStyle w:val="BodyText"/>
      </w:pPr>
      <w:r w:rsidRPr="005A6BA1">
        <w:t>Successful responses included</w:t>
      </w:r>
      <w:r w:rsidR="00F508B5" w:rsidRPr="00B83F42">
        <w:t xml:space="preserve"> </w:t>
      </w:r>
      <w:r w:rsidR="00F508B5" w:rsidRPr="005A6BA1">
        <w:t>i</w:t>
      </w:r>
      <w:r w:rsidR="0652C68D" w:rsidRPr="005A6BA1">
        <w:t>dentifying s</w:t>
      </w:r>
      <w:r w:rsidRPr="005A6BA1">
        <w:t>pecific globalised media institutions by name</w:t>
      </w:r>
      <w:r w:rsidR="00F508B5" w:rsidRPr="005A6BA1">
        <w:t>, h</w:t>
      </w:r>
      <w:r w:rsidRPr="005A6BA1">
        <w:t>ow they use media</w:t>
      </w:r>
      <w:r w:rsidR="00F508B5" w:rsidRPr="005A6BA1">
        <w:t>, w</w:t>
      </w:r>
      <w:r w:rsidRPr="005A6BA1">
        <w:t>hy they use media this way</w:t>
      </w:r>
      <w:r w:rsidR="64D17FDD" w:rsidRPr="005A6BA1">
        <w:t xml:space="preserve"> and t</w:t>
      </w:r>
      <w:r w:rsidRPr="005A6BA1">
        <w:t>he effects of these practices</w:t>
      </w:r>
      <w:r w:rsidR="00F508B5" w:rsidRPr="005A6BA1">
        <w:t>.</w:t>
      </w:r>
    </w:p>
    <w:p w14:paraId="40CDEEBB" w14:textId="66541BE9" w:rsidR="00C73E7F" w:rsidRPr="005A6BA1" w:rsidRDefault="00C73E7F" w:rsidP="005A6BA1">
      <w:pPr>
        <w:pStyle w:val="BodyText"/>
      </w:pPr>
      <w:r w:rsidRPr="005A6BA1">
        <w:t xml:space="preserve">High-scoring responses </w:t>
      </w:r>
      <w:r w:rsidR="0011486B">
        <w:t>included</w:t>
      </w:r>
      <w:r w:rsidRPr="005A6BA1">
        <w:t>:</w:t>
      </w:r>
    </w:p>
    <w:p w14:paraId="69ADC6EF" w14:textId="1DBC3B36" w:rsidR="00307C43" w:rsidRPr="005A6BA1" w:rsidRDefault="00573A3B" w:rsidP="005A6BA1">
      <w:pPr>
        <w:pStyle w:val="Bullet"/>
      </w:pPr>
      <w:r>
        <w:t>i</w:t>
      </w:r>
      <w:r w:rsidR="00307C43" w:rsidRPr="005A6BA1">
        <w:t xml:space="preserve">dentification of specific globalised institutions by name rather than generic categories like </w:t>
      </w:r>
      <w:r w:rsidR="005C6F9E" w:rsidRPr="005A6BA1">
        <w:t>‘</w:t>
      </w:r>
      <w:r w:rsidR="00307C43" w:rsidRPr="005A6BA1">
        <w:t>streaming services</w:t>
      </w:r>
      <w:r w:rsidR="005C6F9E" w:rsidRPr="005A6BA1">
        <w:t>’</w:t>
      </w:r>
    </w:p>
    <w:p w14:paraId="07803739" w14:textId="593836F2" w:rsidR="00C73E7F" w:rsidRPr="005A6BA1" w:rsidRDefault="00573A3B" w:rsidP="005A6BA1">
      <w:pPr>
        <w:pStyle w:val="Bullet"/>
      </w:pPr>
      <w:r>
        <w:t>d</w:t>
      </w:r>
      <w:r w:rsidR="009152DE">
        <w:t>iscussion of</w:t>
      </w:r>
      <w:r w:rsidR="00C14FFF" w:rsidRPr="005A6BA1">
        <w:t xml:space="preserve"> how institutions use media effectively, including types of institutional practices such as:</w:t>
      </w:r>
    </w:p>
    <w:p w14:paraId="2A98D445" w14:textId="5CA0C1D2" w:rsidR="00C14FFF" w:rsidRDefault="00573A3B" w:rsidP="005A6BA1">
      <w:pPr>
        <w:pStyle w:val="Bulletlevel2"/>
      </w:pPr>
      <w:r>
        <w:t>u</w:t>
      </w:r>
      <w:r w:rsidR="00C14FFF" w:rsidRPr="63237150">
        <w:t>se of data collection and user analytics</w:t>
      </w:r>
      <w:r w:rsidR="00D77F2E">
        <w:t>;</w:t>
      </w:r>
      <w:r w:rsidR="552E1AE7" w:rsidRPr="63237150">
        <w:t xml:space="preserve"> for example</w:t>
      </w:r>
      <w:r w:rsidR="00D77F2E">
        <w:t xml:space="preserve">, </w:t>
      </w:r>
      <w:r w:rsidR="00C14FFF" w:rsidRPr="63237150">
        <w:t>Netflix tracking viewing habits to inform content decisions, Spotify collecting listening data to generate revenue through targeted advertising</w:t>
      </w:r>
    </w:p>
    <w:p w14:paraId="5EE71513" w14:textId="1E388250" w:rsidR="00C14FFF" w:rsidRDefault="00573A3B" w:rsidP="005A6BA1">
      <w:pPr>
        <w:pStyle w:val="Bulletlevel2"/>
      </w:pPr>
      <w:r>
        <w:t>u</w:t>
      </w:r>
      <w:r w:rsidR="00C14FFF" w:rsidRPr="63237150">
        <w:t>se of algorithms for content recommendation and personalisation</w:t>
      </w:r>
      <w:r w:rsidR="00D77F2E">
        <w:t>;</w:t>
      </w:r>
      <w:r w:rsidR="00C14FFF" w:rsidRPr="63237150">
        <w:t xml:space="preserve"> </w:t>
      </w:r>
      <w:r w:rsidR="0BEDB216" w:rsidRPr="63237150">
        <w:t>for example</w:t>
      </w:r>
      <w:r w:rsidR="00D77F2E">
        <w:t>,</w:t>
      </w:r>
      <w:r w:rsidR="0BEDB216" w:rsidRPr="63237150">
        <w:t xml:space="preserve"> </w:t>
      </w:r>
      <w:r w:rsidR="00C14FFF" w:rsidRPr="63237150">
        <w:t>YouTube’s recommendation algorithm to keep users engaged</w:t>
      </w:r>
      <w:r w:rsidR="168C29F5" w:rsidRPr="63237150">
        <w:t xml:space="preserve"> or </w:t>
      </w:r>
      <w:r w:rsidR="00C14FFF" w:rsidRPr="63237150">
        <w:t xml:space="preserve">TikTok’s </w:t>
      </w:r>
      <w:r w:rsidR="005C6F9E">
        <w:t>‘</w:t>
      </w:r>
      <w:r w:rsidR="00C14FFF" w:rsidRPr="63237150">
        <w:t>For You</w:t>
      </w:r>
      <w:r w:rsidR="005C6F9E">
        <w:t>’</w:t>
      </w:r>
      <w:r w:rsidR="00C14FFF" w:rsidRPr="63237150">
        <w:t xml:space="preserve"> algorithm curating content</w:t>
      </w:r>
    </w:p>
    <w:p w14:paraId="328E2AC4" w14:textId="78EBF58D" w:rsidR="00C14FFF" w:rsidRDefault="00573A3B" w:rsidP="005A6BA1">
      <w:pPr>
        <w:pStyle w:val="Bulletlevel2"/>
      </w:pPr>
      <w:r>
        <w:t>c</w:t>
      </w:r>
      <w:r w:rsidR="00C14FFF" w:rsidRPr="63237150">
        <w:t>ross-border distribution strategies</w:t>
      </w:r>
      <w:r>
        <w:t>,</w:t>
      </w:r>
      <w:r w:rsidR="00307C43" w:rsidRPr="63237150">
        <w:t xml:space="preserve"> </w:t>
      </w:r>
      <w:r w:rsidR="0089CF44" w:rsidRPr="63237150">
        <w:t xml:space="preserve">such as </w:t>
      </w:r>
      <w:r w:rsidR="00307C43" w:rsidRPr="63237150">
        <w:t xml:space="preserve">Netflix making </w:t>
      </w:r>
      <w:r w:rsidR="00307C43" w:rsidRPr="005A6BA1">
        <w:rPr>
          <w:rStyle w:val="Emphasis"/>
        </w:rPr>
        <w:t>Squid Game</w:t>
      </w:r>
      <w:r w:rsidR="00307C43" w:rsidRPr="63237150">
        <w:t xml:space="preserve"> available globally within hours of release</w:t>
      </w:r>
    </w:p>
    <w:p w14:paraId="23B6AA7F" w14:textId="0F380ECC" w:rsidR="00307C43" w:rsidRPr="005A6BA1" w:rsidRDefault="00573A3B" w:rsidP="005A6BA1">
      <w:pPr>
        <w:pStyle w:val="Bullet"/>
      </w:pPr>
      <w:r>
        <w:t>i</w:t>
      </w:r>
      <w:r w:rsidR="00307C43" w:rsidRPr="005A6BA1">
        <w:t>nclusion of concrete examples with specific details or data</w:t>
      </w:r>
      <w:r w:rsidR="6A1E3928" w:rsidRPr="005A6BA1">
        <w:t xml:space="preserve"> to support the explanation. </w:t>
      </w:r>
    </w:p>
    <w:p w14:paraId="775AD706" w14:textId="749C633A" w:rsidR="00307C43" w:rsidRPr="005A6BA1" w:rsidRDefault="00307C43" w:rsidP="005A6BA1">
      <w:pPr>
        <w:pStyle w:val="BodyText"/>
      </w:pPr>
      <w:r w:rsidRPr="005A6BA1">
        <w:t xml:space="preserve">Common errors </w:t>
      </w:r>
      <w:r w:rsidR="00F431A4">
        <w:t>included</w:t>
      </w:r>
      <w:r w:rsidRPr="005A6BA1">
        <w:t>:</w:t>
      </w:r>
    </w:p>
    <w:p w14:paraId="4E4A12C4" w14:textId="2E978DF9" w:rsidR="00307C43" w:rsidRPr="005A6BA1" w:rsidRDefault="00573A3B" w:rsidP="005A6BA1">
      <w:pPr>
        <w:pStyle w:val="Bullet"/>
      </w:pPr>
      <w:r>
        <w:t>i</w:t>
      </w:r>
      <w:r w:rsidR="00307C43" w:rsidRPr="005A6BA1">
        <w:t>ncluding examples that were not globalised media institutions, but about individual</w:t>
      </w:r>
      <w:r w:rsidR="0094657C" w:rsidRPr="005A6BA1">
        <w:t xml:space="preserve"> or government use of media</w:t>
      </w:r>
    </w:p>
    <w:p w14:paraId="22833134" w14:textId="54118F54" w:rsidR="0094657C" w:rsidRPr="005A6BA1" w:rsidRDefault="00573A3B" w:rsidP="005A6BA1">
      <w:pPr>
        <w:pStyle w:val="Bullet"/>
      </w:pPr>
      <w:r>
        <w:t>c</w:t>
      </w:r>
      <w:r w:rsidR="0094657C" w:rsidRPr="005A6BA1">
        <w:t>onfusing globalised with local institutions</w:t>
      </w:r>
      <w:r>
        <w:t>;</w:t>
      </w:r>
      <w:r w:rsidR="76BCC6F7" w:rsidRPr="005A6BA1">
        <w:t xml:space="preserve"> for example</w:t>
      </w:r>
      <w:r>
        <w:t>,</w:t>
      </w:r>
      <w:r w:rsidR="76BCC6F7" w:rsidRPr="005A6BA1">
        <w:t xml:space="preserve"> stating that </w:t>
      </w:r>
      <w:r w:rsidR="0094657C" w:rsidRPr="005A6BA1">
        <w:t>Channel 7 is globalised,</w:t>
      </w:r>
      <w:r w:rsidR="5E328A57" w:rsidRPr="005A6BA1">
        <w:t xml:space="preserve"> or that </w:t>
      </w:r>
      <w:r w:rsidR="0094657C" w:rsidRPr="005A6BA1">
        <w:t xml:space="preserve">Disney+ </w:t>
      </w:r>
      <w:r>
        <w:t>(</w:t>
      </w:r>
      <w:r w:rsidR="0094657C" w:rsidRPr="005A6BA1">
        <w:t>which operates across 150+ countries</w:t>
      </w:r>
      <w:r>
        <w:t>)</w:t>
      </w:r>
      <w:r w:rsidR="0094657C" w:rsidRPr="005A6BA1">
        <w:t xml:space="preserve"> is </w:t>
      </w:r>
      <w:r w:rsidR="00F431A4">
        <w:t xml:space="preserve">not </w:t>
      </w:r>
      <w:r w:rsidR="0094657C" w:rsidRPr="005A6BA1">
        <w:t>globalised</w:t>
      </w:r>
    </w:p>
    <w:p w14:paraId="79E3932D" w14:textId="6445E0DD" w:rsidR="0094657C" w:rsidRPr="005A6BA1" w:rsidRDefault="00573A3B" w:rsidP="005A6BA1">
      <w:pPr>
        <w:pStyle w:val="Bullet"/>
      </w:pPr>
      <w:r>
        <w:t>l</w:t>
      </w:r>
      <w:r w:rsidR="0094657C" w:rsidRPr="005A6BA1">
        <w:t xml:space="preserve">isting </w:t>
      </w:r>
      <w:r w:rsidR="45FA3D06" w:rsidRPr="005A6BA1">
        <w:t xml:space="preserve">the </w:t>
      </w:r>
      <w:r w:rsidR="0094657C" w:rsidRPr="005A6BA1">
        <w:t xml:space="preserve">practice </w:t>
      </w:r>
      <w:r w:rsidR="61AB7EEB" w:rsidRPr="005A6BA1">
        <w:t xml:space="preserve">of the institution </w:t>
      </w:r>
      <w:r w:rsidR="0094657C" w:rsidRPr="005A6BA1">
        <w:t>without explaining how they work</w:t>
      </w:r>
      <w:r>
        <w:t>; f</w:t>
      </w:r>
      <w:r w:rsidR="57E5210A" w:rsidRPr="005A6BA1">
        <w:t>or example</w:t>
      </w:r>
      <w:r w:rsidR="00D77F2E">
        <w:t>,</w:t>
      </w:r>
      <w:r w:rsidR="57E5210A" w:rsidRPr="005A6BA1">
        <w:t xml:space="preserve"> </w:t>
      </w:r>
      <w:r w:rsidR="005C6F9E" w:rsidRPr="005A6BA1">
        <w:t>‘</w:t>
      </w:r>
      <w:r w:rsidR="0094657C" w:rsidRPr="005A6BA1">
        <w:t>They use data, algorithms, and personalisation</w:t>
      </w:r>
      <w:r w:rsidR="005C6F9E" w:rsidRPr="005A6BA1">
        <w:t>’</w:t>
      </w:r>
      <w:r w:rsidR="00D77F2E">
        <w:t>.</w:t>
      </w:r>
    </w:p>
    <w:p w14:paraId="094E5E6A" w14:textId="514FBBF5" w:rsidR="00773BC1" w:rsidRPr="005A6BA1" w:rsidRDefault="00B026D0" w:rsidP="005A6BA1">
      <w:pPr>
        <w:pStyle w:val="BodyText"/>
      </w:pPr>
      <w:r>
        <w:t>The following is an example of a high-scoring</w:t>
      </w:r>
      <w:r w:rsidR="00773BC1" w:rsidRPr="005A6BA1">
        <w:t xml:space="preserve"> </w:t>
      </w:r>
      <w:r w:rsidR="00F420F5">
        <w:t>r</w:t>
      </w:r>
      <w:r w:rsidR="00773BC1" w:rsidRPr="005A6BA1">
        <w:t>esponse:</w:t>
      </w:r>
    </w:p>
    <w:p w14:paraId="79A979E2" w14:textId="38B0ABB4" w:rsidR="00773BC1" w:rsidRPr="005A6BA1" w:rsidRDefault="00773BC1" w:rsidP="005A6BA1">
      <w:pPr>
        <w:pStyle w:val="Studentsample"/>
      </w:pPr>
      <w:r w:rsidRPr="005A6BA1">
        <w:t>Globalised media institutions such as Netflix frequently use their platforms to boost their own content. Upon the release of Netflix’s current most streamed movie ever, K-pop Demon Hunters, the movie did not receive much marketing. However, after its release and seeing the large amounts of positive reviews, Netflix quickly utilised its social media to prioritise this original content and shift it onto the main algorithm. This increase in accessibility led to the film receiving over 1 billion streams, and highlighted how institutions use audience reaction to gauge and boost consumption. The movie even received a short release in cinemas due to its popularity and resulted in even more profit and popularity for Netflix. Globalised media institutions use their platforms to gain popularity and make original content mainstream in a highly competitive landscape. These organisations need to react quickly and fine tune algorithms constantly to maintain viewership and boost their own content.</w:t>
      </w:r>
    </w:p>
    <w:p w14:paraId="689241AF" w14:textId="43BFA4B8" w:rsidR="0094657C" w:rsidRPr="005A6BA1" w:rsidRDefault="0094657C" w:rsidP="005A6BA1">
      <w:pPr>
        <w:pStyle w:val="Heading1"/>
      </w:pPr>
      <w:r w:rsidRPr="005A6BA1">
        <w:t>Section B</w:t>
      </w:r>
    </w:p>
    <w:p w14:paraId="4DEED6B3" w14:textId="6ABDDDB2" w:rsidR="0094657C" w:rsidRPr="005A6BA1" w:rsidRDefault="0094657C" w:rsidP="000E289F">
      <w:pPr>
        <w:pStyle w:val="Heading2"/>
      </w:pPr>
      <w:r w:rsidRPr="005A6BA1">
        <w:t>Question 1</w:t>
      </w:r>
    </w:p>
    <w:tbl>
      <w:tblPr>
        <w:tblStyle w:val="VCAATableClosed"/>
        <w:tblW w:w="0" w:type="auto"/>
        <w:tblLook w:val="04A0" w:firstRow="1" w:lastRow="0" w:firstColumn="1" w:lastColumn="0" w:noHBand="0" w:noVBand="1"/>
      </w:tblPr>
      <w:tblGrid>
        <w:gridCol w:w="632"/>
        <w:gridCol w:w="416"/>
        <w:gridCol w:w="519"/>
        <w:gridCol w:w="519"/>
        <w:gridCol w:w="417"/>
        <w:gridCol w:w="417"/>
        <w:gridCol w:w="417"/>
        <w:gridCol w:w="485"/>
        <w:gridCol w:w="485"/>
        <w:gridCol w:w="485"/>
        <w:gridCol w:w="485"/>
        <w:gridCol w:w="485"/>
        <w:gridCol w:w="485"/>
        <w:gridCol w:w="485"/>
        <w:gridCol w:w="485"/>
        <w:gridCol w:w="485"/>
        <w:gridCol w:w="485"/>
        <w:gridCol w:w="955"/>
      </w:tblGrid>
      <w:tr w:rsidR="00867501" w:rsidRPr="00141A4D" w14:paraId="4CA522B1" w14:textId="77777777" w:rsidTr="0043212D">
        <w:trPr>
          <w:cnfStyle w:val="100000000000" w:firstRow="1" w:lastRow="0" w:firstColumn="0" w:lastColumn="0" w:oddVBand="0" w:evenVBand="0" w:oddHBand="0" w:evenHBand="0" w:firstRowFirstColumn="0" w:firstRowLastColumn="0" w:lastRowFirstColumn="0" w:lastRowLastColumn="0"/>
        </w:trPr>
        <w:tc>
          <w:tcPr>
            <w:tcW w:w="632" w:type="dxa"/>
          </w:tcPr>
          <w:p w14:paraId="59A6E158" w14:textId="77777777" w:rsidR="00D77F2E" w:rsidRPr="00141A4D" w:rsidRDefault="00D77F2E" w:rsidP="000E289F">
            <w:pPr>
              <w:pStyle w:val="Tablecondensedheading"/>
              <w:rPr>
                <w:lang w:val="en-AU"/>
              </w:rPr>
            </w:pPr>
            <w:r w:rsidRPr="00141A4D">
              <w:rPr>
                <w:lang w:val="en-AU"/>
              </w:rPr>
              <w:t>Mark</w:t>
            </w:r>
          </w:p>
        </w:tc>
        <w:tc>
          <w:tcPr>
            <w:tcW w:w="416" w:type="dxa"/>
          </w:tcPr>
          <w:p w14:paraId="721FDDA8" w14:textId="21D0CFCD" w:rsidR="00D77F2E" w:rsidRPr="00141A4D" w:rsidRDefault="00D77F2E" w:rsidP="000E289F">
            <w:pPr>
              <w:pStyle w:val="Tablecondensedheading"/>
              <w:rPr>
                <w:lang w:val="en-AU"/>
              </w:rPr>
            </w:pPr>
            <w:r>
              <w:rPr>
                <w:lang w:val="en-AU"/>
              </w:rPr>
              <w:t>0</w:t>
            </w:r>
          </w:p>
        </w:tc>
        <w:tc>
          <w:tcPr>
            <w:tcW w:w="519" w:type="dxa"/>
          </w:tcPr>
          <w:p w14:paraId="4A5CC6F2" w14:textId="7EEEF3FB" w:rsidR="00D77F2E" w:rsidRPr="00141A4D" w:rsidRDefault="00D77F2E" w:rsidP="000E289F">
            <w:pPr>
              <w:pStyle w:val="Tablecondensedheading"/>
              <w:rPr>
                <w:lang w:val="en-AU"/>
              </w:rPr>
            </w:pPr>
            <w:r>
              <w:rPr>
                <w:lang w:val="en-AU"/>
              </w:rPr>
              <w:t>1</w:t>
            </w:r>
          </w:p>
        </w:tc>
        <w:tc>
          <w:tcPr>
            <w:tcW w:w="519" w:type="dxa"/>
          </w:tcPr>
          <w:p w14:paraId="395BBC0A" w14:textId="165FFE9A" w:rsidR="00D77F2E" w:rsidRPr="00141A4D" w:rsidRDefault="00D77F2E" w:rsidP="000E289F">
            <w:pPr>
              <w:pStyle w:val="Tablecondensedheading"/>
              <w:rPr>
                <w:lang w:val="en-AU"/>
              </w:rPr>
            </w:pPr>
            <w:r>
              <w:rPr>
                <w:lang w:val="en-AU"/>
              </w:rPr>
              <w:t>2</w:t>
            </w:r>
          </w:p>
        </w:tc>
        <w:tc>
          <w:tcPr>
            <w:tcW w:w="417" w:type="dxa"/>
          </w:tcPr>
          <w:p w14:paraId="26878611" w14:textId="1F96602D" w:rsidR="00D77F2E" w:rsidRPr="00141A4D" w:rsidRDefault="00D77F2E" w:rsidP="000E289F">
            <w:pPr>
              <w:pStyle w:val="Tablecondensedheading"/>
              <w:rPr>
                <w:lang w:val="en-AU"/>
              </w:rPr>
            </w:pPr>
            <w:r>
              <w:rPr>
                <w:lang w:val="en-AU"/>
              </w:rPr>
              <w:t>3</w:t>
            </w:r>
          </w:p>
        </w:tc>
        <w:tc>
          <w:tcPr>
            <w:tcW w:w="417" w:type="dxa"/>
          </w:tcPr>
          <w:p w14:paraId="6B799553" w14:textId="42D5CC81" w:rsidR="00D77F2E" w:rsidRPr="00141A4D" w:rsidRDefault="00D77F2E" w:rsidP="000E289F">
            <w:pPr>
              <w:pStyle w:val="Tablecondensedheading"/>
              <w:rPr>
                <w:lang w:val="en-AU"/>
              </w:rPr>
            </w:pPr>
            <w:r>
              <w:rPr>
                <w:lang w:val="en-AU"/>
              </w:rPr>
              <w:t>4</w:t>
            </w:r>
          </w:p>
        </w:tc>
        <w:tc>
          <w:tcPr>
            <w:tcW w:w="417" w:type="dxa"/>
          </w:tcPr>
          <w:p w14:paraId="72FBE182" w14:textId="559F60C3" w:rsidR="00D77F2E" w:rsidRPr="00141A4D" w:rsidRDefault="00D77F2E" w:rsidP="000E289F">
            <w:pPr>
              <w:pStyle w:val="Tablecondensedheading"/>
              <w:rPr>
                <w:lang w:val="en-AU"/>
              </w:rPr>
            </w:pPr>
            <w:r>
              <w:rPr>
                <w:lang w:val="en-AU"/>
              </w:rPr>
              <w:t>5</w:t>
            </w:r>
          </w:p>
        </w:tc>
        <w:tc>
          <w:tcPr>
            <w:tcW w:w="485" w:type="dxa"/>
          </w:tcPr>
          <w:p w14:paraId="0D44EA0D" w14:textId="57D2698E" w:rsidR="00D77F2E" w:rsidRPr="00141A4D" w:rsidRDefault="00D77F2E" w:rsidP="000E289F">
            <w:pPr>
              <w:pStyle w:val="Tablecondensedheading"/>
              <w:rPr>
                <w:lang w:val="en-AU"/>
              </w:rPr>
            </w:pPr>
            <w:r>
              <w:rPr>
                <w:lang w:val="en-AU"/>
              </w:rPr>
              <w:t>6</w:t>
            </w:r>
          </w:p>
        </w:tc>
        <w:tc>
          <w:tcPr>
            <w:tcW w:w="485" w:type="dxa"/>
          </w:tcPr>
          <w:p w14:paraId="0C5A170F" w14:textId="3E72612A" w:rsidR="00D77F2E" w:rsidRPr="00141A4D" w:rsidRDefault="00D77F2E" w:rsidP="000E289F">
            <w:pPr>
              <w:pStyle w:val="Tablecondensedheading"/>
              <w:rPr>
                <w:lang w:val="en-AU"/>
              </w:rPr>
            </w:pPr>
            <w:r>
              <w:rPr>
                <w:lang w:val="en-AU"/>
              </w:rPr>
              <w:t>7</w:t>
            </w:r>
          </w:p>
        </w:tc>
        <w:tc>
          <w:tcPr>
            <w:tcW w:w="485" w:type="dxa"/>
          </w:tcPr>
          <w:p w14:paraId="4503E082" w14:textId="0CEC6006" w:rsidR="00D77F2E" w:rsidRPr="00141A4D" w:rsidRDefault="00D77F2E" w:rsidP="000E289F">
            <w:pPr>
              <w:pStyle w:val="Tablecondensedheading"/>
              <w:rPr>
                <w:lang w:val="en-AU"/>
              </w:rPr>
            </w:pPr>
            <w:r>
              <w:rPr>
                <w:lang w:val="en-AU"/>
              </w:rPr>
              <w:t>8</w:t>
            </w:r>
          </w:p>
        </w:tc>
        <w:tc>
          <w:tcPr>
            <w:tcW w:w="485" w:type="dxa"/>
          </w:tcPr>
          <w:p w14:paraId="52053D9C" w14:textId="130177C6" w:rsidR="00D77F2E" w:rsidRPr="00141A4D" w:rsidRDefault="00D77F2E" w:rsidP="000E289F">
            <w:pPr>
              <w:pStyle w:val="Tablecondensedheading"/>
              <w:rPr>
                <w:lang w:val="en-AU"/>
              </w:rPr>
            </w:pPr>
            <w:r>
              <w:rPr>
                <w:lang w:val="en-AU"/>
              </w:rPr>
              <w:t>9</w:t>
            </w:r>
          </w:p>
        </w:tc>
        <w:tc>
          <w:tcPr>
            <w:tcW w:w="485" w:type="dxa"/>
          </w:tcPr>
          <w:p w14:paraId="76583F6C" w14:textId="408F3EDB" w:rsidR="00D77F2E" w:rsidRPr="00141A4D" w:rsidRDefault="00D77F2E" w:rsidP="000E289F">
            <w:pPr>
              <w:pStyle w:val="Tablecondensedheading"/>
              <w:rPr>
                <w:lang w:val="en-AU"/>
              </w:rPr>
            </w:pPr>
            <w:r>
              <w:rPr>
                <w:lang w:val="en-AU"/>
              </w:rPr>
              <w:t>10</w:t>
            </w:r>
          </w:p>
        </w:tc>
        <w:tc>
          <w:tcPr>
            <w:tcW w:w="485" w:type="dxa"/>
          </w:tcPr>
          <w:p w14:paraId="441ADF3E" w14:textId="6BB630A2" w:rsidR="00D77F2E" w:rsidRPr="00141A4D" w:rsidRDefault="00D77F2E" w:rsidP="000E289F">
            <w:pPr>
              <w:pStyle w:val="Tablecondensedheading"/>
              <w:rPr>
                <w:lang w:val="en-AU"/>
              </w:rPr>
            </w:pPr>
            <w:r>
              <w:rPr>
                <w:lang w:val="en-AU"/>
              </w:rPr>
              <w:t>11</w:t>
            </w:r>
          </w:p>
        </w:tc>
        <w:tc>
          <w:tcPr>
            <w:tcW w:w="485" w:type="dxa"/>
          </w:tcPr>
          <w:p w14:paraId="4B877D6D" w14:textId="0FF23C87" w:rsidR="00D77F2E" w:rsidRPr="00141A4D" w:rsidRDefault="00D77F2E" w:rsidP="000E289F">
            <w:pPr>
              <w:pStyle w:val="Tablecondensedheading"/>
              <w:rPr>
                <w:lang w:val="en-AU"/>
              </w:rPr>
            </w:pPr>
            <w:r>
              <w:rPr>
                <w:lang w:val="en-AU"/>
              </w:rPr>
              <w:t>12</w:t>
            </w:r>
          </w:p>
        </w:tc>
        <w:tc>
          <w:tcPr>
            <w:tcW w:w="485" w:type="dxa"/>
          </w:tcPr>
          <w:p w14:paraId="27E3A121" w14:textId="0BA64441" w:rsidR="00D77F2E" w:rsidRPr="00141A4D" w:rsidRDefault="00D77F2E" w:rsidP="000E289F">
            <w:pPr>
              <w:pStyle w:val="Tablecondensedheading"/>
              <w:rPr>
                <w:lang w:val="en-AU"/>
              </w:rPr>
            </w:pPr>
            <w:r>
              <w:rPr>
                <w:lang w:val="en-AU"/>
              </w:rPr>
              <w:t>13</w:t>
            </w:r>
          </w:p>
        </w:tc>
        <w:tc>
          <w:tcPr>
            <w:tcW w:w="485" w:type="dxa"/>
          </w:tcPr>
          <w:p w14:paraId="62A9435B" w14:textId="328190AB" w:rsidR="00D77F2E" w:rsidRPr="00141A4D" w:rsidRDefault="00D77F2E" w:rsidP="000E289F">
            <w:pPr>
              <w:pStyle w:val="Tablecondensedheading"/>
              <w:rPr>
                <w:lang w:val="en-AU"/>
              </w:rPr>
            </w:pPr>
            <w:r>
              <w:rPr>
                <w:lang w:val="en-AU"/>
              </w:rPr>
              <w:t>14</w:t>
            </w:r>
          </w:p>
        </w:tc>
        <w:tc>
          <w:tcPr>
            <w:tcW w:w="485" w:type="dxa"/>
          </w:tcPr>
          <w:p w14:paraId="1289E822" w14:textId="22BB0B13" w:rsidR="00D77F2E" w:rsidRPr="00141A4D" w:rsidRDefault="00D77F2E" w:rsidP="000E289F">
            <w:pPr>
              <w:pStyle w:val="Tablecondensedheading"/>
              <w:rPr>
                <w:lang w:val="en-AU"/>
              </w:rPr>
            </w:pPr>
            <w:r>
              <w:rPr>
                <w:lang w:val="en-AU"/>
              </w:rPr>
              <w:t>15</w:t>
            </w:r>
          </w:p>
        </w:tc>
        <w:tc>
          <w:tcPr>
            <w:tcW w:w="955" w:type="dxa"/>
          </w:tcPr>
          <w:p w14:paraId="4F9B0D4F" w14:textId="77777777" w:rsidR="00D77F2E" w:rsidRPr="00141A4D" w:rsidRDefault="00D77F2E" w:rsidP="000E289F">
            <w:pPr>
              <w:pStyle w:val="Tablecondensedheading"/>
              <w:rPr>
                <w:lang w:val="en-AU"/>
              </w:rPr>
            </w:pPr>
            <w:r w:rsidRPr="00141A4D">
              <w:rPr>
                <w:lang w:val="en-AU"/>
              </w:rPr>
              <w:t>Average</w:t>
            </w:r>
          </w:p>
        </w:tc>
      </w:tr>
      <w:tr w:rsidR="00867501" w:rsidRPr="00141A4D" w14:paraId="36EED00E" w14:textId="77777777" w:rsidTr="0043212D">
        <w:tc>
          <w:tcPr>
            <w:tcW w:w="632" w:type="dxa"/>
          </w:tcPr>
          <w:p w14:paraId="4978A5D7" w14:textId="77777777" w:rsidR="00D77F2E" w:rsidRPr="00141A4D" w:rsidRDefault="00D77F2E" w:rsidP="000E289F">
            <w:pPr>
              <w:pStyle w:val="Tablecondensed"/>
              <w:rPr>
                <w:lang w:val="en-AU"/>
              </w:rPr>
            </w:pPr>
            <w:r w:rsidRPr="00141A4D">
              <w:rPr>
                <w:lang w:val="en-AU"/>
              </w:rPr>
              <w:t>%</w:t>
            </w:r>
          </w:p>
        </w:tc>
        <w:tc>
          <w:tcPr>
            <w:tcW w:w="416" w:type="dxa"/>
          </w:tcPr>
          <w:p w14:paraId="347EFD1A" w14:textId="65087E96" w:rsidR="00D77F2E" w:rsidRPr="00141A4D" w:rsidRDefault="00D77F2E" w:rsidP="000E289F">
            <w:pPr>
              <w:pStyle w:val="Tablecondensed"/>
              <w:rPr>
                <w:lang w:val="en-AU"/>
              </w:rPr>
            </w:pPr>
            <w:r>
              <w:rPr>
                <w:lang w:val="en-AU"/>
              </w:rPr>
              <w:t>3</w:t>
            </w:r>
          </w:p>
        </w:tc>
        <w:tc>
          <w:tcPr>
            <w:tcW w:w="519" w:type="dxa"/>
          </w:tcPr>
          <w:p w14:paraId="5F6932E6" w14:textId="52971F48" w:rsidR="00D77F2E" w:rsidRPr="00141A4D" w:rsidRDefault="00D77F2E" w:rsidP="000E289F">
            <w:pPr>
              <w:pStyle w:val="Tablecondensed"/>
              <w:rPr>
                <w:lang w:val="en-AU"/>
              </w:rPr>
            </w:pPr>
            <w:r>
              <w:rPr>
                <w:lang w:val="en-AU"/>
              </w:rPr>
              <w:t>0.6</w:t>
            </w:r>
          </w:p>
        </w:tc>
        <w:tc>
          <w:tcPr>
            <w:tcW w:w="519" w:type="dxa"/>
          </w:tcPr>
          <w:p w14:paraId="18049D21" w14:textId="4F8E4AC8" w:rsidR="00D77F2E" w:rsidRPr="00141A4D" w:rsidRDefault="00D77F2E" w:rsidP="000E289F">
            <w:pPr>
              <w:pStyle w:val="Tablecondensed"/>
              <w:rPr>
                <w:lang w:val="en-AU"/>
              </w:rPr>
            </w:pPr>
            <w:r>
              <w:rPr>
                <w:lang w:val="en-AU"/>
              </w:rPr>
              <w:t>0.8</w:t>
            </w:r>
          </w:p>
        </w:tc>
        <w:tc>
          <w:tcPr>
            <w:tcW w:w="417" w:type="dxa"/>
          </w:tcPr>
          <w:p w14:paraId="7EC40A48" w14:textId="7A8E2848" w:rsidR="00D77F2E" w:rsidRPr="00141A4D" w:rsidRDefault="00D77F2E" w:rsidP="000E289F">
            <w:pPr>
              <w:pStyle w:val="Tablecondensed"/>
              <w:rPr>
                <w:lang w:val="en-AU"/>
              </w:rPr>
            </w:pPr>
            <w:r>
              <w:rPr>
                <w:lang w:val="en-AU"/>
              </w:rPr>
              <w:t>2</w:t>
            </w:r>
          </w:p>
        </w:tc>
        <w:tc>
          <w:tcPr>
            <w:tcW w:w="417" w:type="dxa"/>
          </w:tcPr>
          <w:p w14:paraId="06DA2AFD" w14:textId="69E91C0A" w:rsidR="00D77F2E" w:rsidRPr="00141A4D" w:rsidRDefault="00D77F2E" w:rsidP="000E289F">
            <w:pPr>
              <w:pStyle w:val="Tablecondensed"/>
              <w:rPr>
                <w:lang w:val="en-AU"/>
              </w:rPr>
            </w:pPr>
            <w:r>
              <w:rPr>
                <w:lang w:val="en-AU"/>
              </w:rPr>
              <w:t>2</w:t>
            </w:r>
          </w:p>
        </w:tc>
        <w:tc>
          <w:tcPr>
            <w:tcW w:w="417" w:type="dxa"/>
          </w:tcPr>
          <w:p w14:paraId="654037F1" w14:textId="6D179C64" w:rsidR="00D77F2E" w:rsidRPr="00141A4D" w:rsidRDefault="00D77F2E" w:rsidP="000E289F">
            <w:pPr>
              <w:pStyle w:val="Tablecondensed"/>
              <w:rPr>
                <w:lang w:val="en-AU"/>
              </w:rPr>
            </w:pPr>
            <w:r>
              <w:rPr>
                <w:lang w:val="en-AU"/>
              </w:rPr>
              <w:t>5</w:t>
            </w:r>
          </w:p>
        </w:tc>
        <w:tc>
          <w:tcPr>
            <w:tcW w:w="485" w:type="dxa"/>
          </w:tcPr>
          <w:p w14:paraId="7E27BB5A" w14:textId="518E82BF" w:rsidR="00D77F2E" w:rsidRPr="00141A4D" w:rsidRDefault="00D77F2E" w:rsidP="000E289F">
            <w:pPr>
              <w:pStyle w:val="Tablecondensed"/>
              <w:rPr>
                <w:lang w:val="en-AU"/>
              </w:rPr>
            </w:pPr>
            <w:r>
              <w:rPr>
                <w:lang w:val="en-AU"/>
              </w:rPr>
              <w:t>10</w:t>
            </w:r>
          </w:p>
        </w:tc>
        <w:tc>
          <w:tcPr>
            <w:tcW w:w="485" w:type="dxa"/>
          </w:tcPr>
          <w:p w14:paraId="04FF5D42" w14:textId="53AD020F" w:rsidR="00D77F2E" w:rsidRPr="00141A4D" w:rsidRDefault="00D77F2E" w:rsidP="000E289F">
            <w:pPr>
              <w:pStyle w:val="Tablecondensed"/>
              <w:rPr>
                <w:lang w:val="en-AU"/>
              </w:rPr>
            </w:pPr>
            <w:r>
              <w:rPr>
                <w:lang w:val="en-AU"/>
              </w:rPr>
              <w:t>12</w:t>
            </w:r>
          </w:p>
        </w:tc>
        <w:tc>
          <w:tcPr>
            <w:tcW w:w="485" w:type="dxa"/>
          </w:tcPr>
          <w:p w14:paraId="6DC60B22" w14:textId="4342B98E" w:rsidR="00D77F2E" w:rsidRPr="00141A4D" w:rsidRDefault="00D77F2E" w:rsidP="000E289F">
            <w:pPr>
              <w:pStyle w:val="Tablecondensed"/>
              <w:rPr>
                <w:lang w:val="en-AU"/>
              </w:rPr>
            </w:pPr>
            <w:r>
              <w:rPr>
                <w:lang w:val="en-AU"/>
              </w:rPr>
              <w:t>14</w:t>
            </w:r>
          </w:p>
        </w:tc>
        <w:tc>
          <w:tcPr>
            <w:tcW w:w="485" w:type="dxa"/>
          </w:tcPr>
          <w:p w14:paraId="2210A77A" w14:textId="47345B42" w:rsidR="00D77F2E" w:rsidRPr="00141A4D" w:rsidRDefault="00D77F2E" w:rsidP="000E289F">
            <w:pPr>
              <w:pStyle w:val="Tablecondensed"/>
              <w:rPr>
                <w:lang w:val="en-AU"/>
              </w:rPr>
            </w:pPr>
            <w:r>
              <w:rPr>
                <w:lang w:val="en-AU"/>
              </w:rPr>
              <w:t>12</w:t>
            </w:r>
          </w:p>
        </w:tc>
        <w:tc>
          <w:tcPr>
            <w:tcW w:w="485" w:type="dxa"/>
          </w:tcPr>
          <w:p w14:paraId="5850D48B" w14:textId="6510251A" w:rsidR="00D77F2E" w:rsidRPr="00141A4D" w:rsidRDefault="00D77F2E" w:rsidP="000E289F">
            <w:pPr>
              <w:pStyle w:val="Tablecondensed"/>
              <w:rPr>
                <w:lang w:val="en-AU"/>
              </w:rPr>
            </w:pPr>
            <w:r>
              <w:rPr>
                <w:lang w:val="en-AU"/>
              </w:rPr>
              <w:t>14</w:t>
            </w:r>
          </w:p>
        </w:tc>
        <w:tc>
          <w:tcPr>
            <w:tcW w:w="485" w:type="dxa"/>
          </w:tcPr>
          <w:p w14:paraId="6E1FB699" w14:textId="6719E9C6" w:rsidR="00D77F2E" w:rsidRPr="00141A4D" w:rsidRDefault="00D77F2E" w:rsidP="000E289F">
            <w:pPr>
              <w:pStyle w:val="Tablecondensed"/>
              <w:rPr>
                <w:lang w:val="en-AU"/>
              </w:rPr>
            </w:pPr>
            <w:r>
              <w:rPr>
                <w:lang w:val="en-AU"/>
              </w:rPr>
              <w:t>9</w:t>
            </w:r>
          </w:p>
        </w:tc>
        <w:tc>
          <w:tcPr>
            <w:tcW w:w="485" w:type="dxa"/>
          </w:tcPr>
          <w:p w14:paraId="06C099AD" w14:textId="2D3C6F97" w:rsidR="00D77F2E" w:rsidRPr="00141A4D" w:rsidRDefault="00D77F2E" w:rsidP="000E289F">
            <w:pPr>
              <w:pStyle w:val="Tablecondensed"/>
              <w:rPr>
                <w:lang w:val="en-AU"/>
              </w:rPr>
            </w:pPr>
            <w:r>
              <w:rPr>
                <w:lang w:val="en-AU"/>
              </w:rPr>
              <w:t>8</w:t>
            </w:r>
          </w:p>
        </w:tc>
        <w:tc>
          <w:tcPr>
            <w:tcW w:w="485" w:type="dxa"/>
          </w:tcPr>
          <w:p w14:paraId="25D44369" w14:textId="0996AFD2" w:rsidR="00D77F2E" w:rsidRPr="00141A4D" w:rsidRDefault="00D77F2E" w:rsidP="000E289F">
            <w:pPr>
              <w:pStyle w:val="Tablecondensed"/>
              <w:rPr>
                <w:lang w:val="en-AU"/>
              </w:rPr>
            </w:pPr>
            <w:r>
              <w:rPr>
                <w:lang w:val="en-AU"/>
              </w:rPr>
              <w:t>5</w:t>
            </w:r>
          </w:p>
        </w:tc>
        <w:tc>
          <w:tcPr>
            <w:tcW w:w="485" w:type="dxa"/>
          </w:tcPr>
          <w:p w14:paraId="5B2AEA82" w14:textId="10744222" w:rsidR="00D77F2E" w:rsidRDefault="00D77F2E" w:rsidP="000E289F">
            <w:pPr>
              <w:pStyle w:val="Tablecondensed"/>
              <w:rPr>
                <w:lang w:val="en-AU"/>
              </w:rPr>
            </w:pPr>
            <w:r>
              <w:rPr>
                <w:lang w:val="en-AU"/>
              </w:rPr>
              <w:t>3</w:t>
            </w:r>
          </w:p>
        </w:tc>
        <w:tc>
          <w:tcPr>
            <w:tcW w:w="485" w:type="dxa"/>
          </w:tcPr>
          <w:p w14:paraId="1873757D" w14:textId="7EFFF038" w:rsidR="00D77F2E" w:rsidRDefault="00D77F2E" w:rsidP="000E289F">
            <w:pPr>
              <w:pStyle w:val="Tablecondensed"/>
              <w:rPr>
                <w:lang w:val="en-AU"/>
              </w:rPr>
            </w:pPr>
            <w:r>
              <w:rPr>
                <w:lang w:val="en-AU"/>
              </w:rPr>
              <w:t>1</w:t>
            </w:r>
          </w:p>
        </w:tc>
        <w:tc>
          <w:tcPr>
            <w:tcW w:w="955" w:type="dxa"/>
          </w:tcPr>
          <w:p w14:paraId="206F0458" w14:textId="65B75A34" w:rsidR="00D77F2E" w:rsidRPr="00141A4D" w:rsidRDefault="00D77F2E" w:rsidP="000E289F">
            <w:pPr>
              <w:pStyle w:val="Tablecondensed"/>
              <w:rPr>
                <w:lang w:val="en-AU"/>
              </w:rPr>
            </w:pPr>
            <w:r>
              <w:rPr>
                <w:lang w:val="en-AU"/>
              </w:rPr>
              <w:t>8.5</w:t>
            </w:r>
          </w:p>
        </w:tc>
      </w:tr>
    </w:tbl>
    <w:p w14:paraId="12C61561" w14:textId="71693240" w:rsidR="002807B8" w:rsidRPr="005A6BA1" w:rsidRDefault="002807B8" w:rsidP="005A6BA1">
      <w:pPr>
        <w:pStyle w:val="BodyText"/>
      </w:pPr>
      <w:r w:rsidRPr="005A6BA1">
        <w:t>This question</w:t>
      </w:r>
      <w:r w:rsidR="00756054" w:rsidRPr="005A6BA1">
        <w:t xml:space="preserve"> </w:t>
      </w:r>
      <w:r w:rsidRPr="005A6BA1">
        <w:t xml:space="preserve">required </w:t>
      </w:r>
      <w:r w:rsidR="003979E9">
        <w:t>students</w:t>
      </w:r>
      <w:r w:rsidRPr="005A6BA1">
        <w:t xml:space="preserve"> to analyse how codes and narrative conventions work together to convey meaning in two specific sequences from their chosen media narrative. For this question, responses needed to identify the individual codes and narrative conventions used in two sequences, then explain the significant relationships between </w:t>
      </w:r>
      <w:r w:rsidR="56D1DB65" w:rsidRPr="005A6BA1">
        <w:t>them</w:t>
      </w:r>
      <w:r w:rsidRPr="005A6BA1">
        <w:t xml:space="preserve"> and how they work together to create meaning.</w:t>
      </w:r>
    </w:p>
    <w:p w14:paraId="5E0732F6" w14:textId="145AECAC" w:rsidR="007E3136" w:rsidRPr="005A6BA1" w:rsidRDefault="007E3136" w:rsidP="005A6BA1">
      <w:pPr>
        <w:pStyle w:val="BodyText"/>
      </w:pPr>
      <w:r w:rsidRPr="005A6BA1">
        <w:t>Successful responses included</w:t>
      </w:r>
      <w:r w:rsidR="00867501">
        <w:t xml:space="preserve"> t</w:t>
      </w:r>
      <w:r w:rsidRPr="005A6BA1">
        <w:t>wo specific sequences</w:t>
      </w:r>
      <w:r w:rsidR="73CD19FA" w:rsidRPr="005A6BA1">
        <w:t xml:space="preserve">, </w:t>
      </w:r>
      <w:r w:rsidR="00867501">
        <w:t>a</w:t>
      </w:r>
      <w:r w:rsidR="73CD19FA" w:rsidRPr="005A6BA1">
        <w:t xml:space="preserve"> discussion of multiple </w:t>
      </w:r>
      <w:r w:rsidRPr="005A6BA1">
        <w:t>codes</w:t>
      </w:r>
      <w:r w:rsidR="00867501">
        <w:t>, a</w:t>
      </w:r>
      <w:r w:rsidR="65FF4A7C" w:rsidRPr="005A6BA1">
        <w:t xml:space="preserve"> discussion of </w:t>
      </w:r>
      <w:r w:rsidR="00867501">
        <w:t>n</w:t>
      </w:r>
      <w:r w:rsidRPr="005A6BA1">
        <w:t>arrative conventions</w:t>
      </w:r>
      <w:r w:rsidR="00867501">
        <w:t xml:space="preserve"> and h</w:t>
      </w:r>
      <w:r w:rsidRPr="005A6BA1">
        <w:t>ow codes and conventions work together</w:t>
      </w:r>
      <w:r w:rsidR="133D05C6" w:rsidRPr="005A6BA1">
        <w:t xml:space="preserve"> to convey meaning </w:t>
      </w:r>
      <w:r w:rsidR="251700D9" w:rsidRPr="005A6BA1">
        <w:t>using</w:t>
      </w:r>
      <w:r w:rsidR="133D05C6" w:rsidRPr="005A6BA1">
        <w:t xml:space="preserve"> the two specific sequences</w:t>
      </w:r>
      <w:r w:rsidR="590B6D0A" w:rsidRPr="005A6BA1">
        <w:t xml:space="preserve"> as ex</w:t>
      </w:r>
      <w:r w:rsidR="00F420F5">
        <w:t>a</w:t>
      </w:r>
      <w:r w:rsidR="590B6D0A" w:rsidRPr="005A6BA1">
        <w:t>mpl</w:t>
      </w:r>
      <w:r w:rsidR="00F420F5">
        <w:t>es</w:t>
      </w:r>
      <w:r w:rsidR="590B6D0A" w:rsidRPr="005A6BA1">
        <w:t xml:space="preserve">. </w:t>
      </w:r>
    </w:p>
    <w:p w14:paraId="2182D86D" w14:textId="59D53361" w:rsidR="002807B8" w:rsidRPr="005A6BA1" w:rsidRDefault="002807B8" w:rsidP="005A6BA1">
      <w:pPr>
        <w:pStyle w:val="BodyText"/>
      </w:pPr>
      <w:r w:rsidRPr="005A6BA1">
        <w:t xml:space="preserve">High-scoring responses </w:t>
      </w:r>
      <w:r w:rsidR="0011486B">
        <w:t>include</w:t>
      </w:r>
      <w:r w:rsidRPr="005A6BA1">
        <w:t>d:</w:t>
      </w:r>
    </w:p>
    <w:p w14:paraId="6FF00566" w14:textId="445D9569" w:rsidR="002807B8" w:rsidRPr="005A6BA1" w:rsidRDefault="00163C68" w:rsidP="005A6BA1">
      <w:pPr>
        <w:pStyle w:val="Bullet"/>
      </w:pPr>
      <w:r>
        <w:t>t</w:t>
      </w:r>
      <w:r w:rsidR="002807B8" w:rsidRPr="005A6BA1">
        <w:t xml:space="preserve">wo specific, well-chosen sequences with clear boundaries </w:t>
      </w:r>
      <w:r w:rsidR="5E1E0754" w:rsidRPr="005A6BA1">
        <w:t>such as</w:t>
      </w:r>
      <w:r w:rsidR="002807B8" w:rsidRPr="005A6BA1">
        <w:t xml:space="preserve"> </w:t>
      </w:r>
      <w:r w:rsidR="00867501">
        <w:t>‘</w:t>
      </w:r>
      <w:r w:rsidR="002807B8" w:rsidRPr="005A6BA1">
        <w:t>the opening sequence</w:t>
      </w:r>
      <w:r w:rsidR="005C6F9E" w:rsidRPr="005A6BA1">
        <w:t>’</w:t>
      </w:r>
      <w:r w:rsidR="002807B8" w:rsidRPr="005A6BA1">
        <w:t xml:space="preserve">, </w:t>
      </w:r>
      <w:r w:rsidR="005C6F9E" w:rsidRPr="005A6BA1">
        <w:t>‘</w:t>
      </w:r>
      <w:r w:rsidR="002807B8" w:rsidRPr="005A6BA1">
        <w:t>the hospital confrontation scene</w:t>
      </w:r>
      <w:r w:rsidR="005C6F9E" w:rsidRPr="005A6BA1">
        <w:t>’</w:t>
      </w:r>
    </w:p>
    <w:p w14:paraId="0851B0E0" w14:textId="21BAB865" w:rsidR="002807B8" w:rsidRPr="005A6BA1" w:rsidRDefault="00163C68" w:rsidP="005A6BA1">
      <w:pPr>
        <w:pStyle w:val="Bullet"/>
      </w:pPr>
      <w:r>
        <w:t>m</w:t>
      </w:r>
      <w:r w:rsidR="002807B8" w:rsidRPr="005A6BA1">
        <w:t>ultiple codes discussed in detail</w:t>
      </w:r>
      <w:r>
        <w:t>;</w:t>
      </w:r>
      <w:r w:rsidR="316A9D46" w:rsidRPr="005A6BA1">
        <w:t xml:space="preserve"> for example</w:t>
      </w:r>
      <w:r w:rsidR="00867501">
        <w:t>,</w:t>
      </w:r>
      <w:r w:rsidR="002807B8" w:rsidRPr="005A6BA1">
        <w:t xml:space="preserve"> camera, acting, lighting, audio, mise-en-scene</w:t>
      </w:r>
    </w:p>
    <w:p w14:paraId="64572C38" w14:textId="1340B91C" w:rsidR="002807B8" w:rsidRPr="005A6BA1" w:rsidRDefault="002807B8" w:rsidP="005A6BA1">
      <w:pPr>
        <w:pStyle w:val="Bullet"/>
      </w:pPr>
      <w:r w:rsidRPr="005A6BA1">
        <w:t>Narrative conventions discusse</w:t>
      </w:r>
      <w:r w:rsidR="003979E9">
        <w:t>d</w:t>
      </w:r>
      <w:r w:rsidR="00163C68">
        <w:t>;</w:t>
      </w:r>
      <w:r w:rsidRPr="005A6BA1">
        <w:t xml:space="preserve"> </w:t>
      </w:r>
      <w:r w:rsidR="0E0BAEE7" w:rsidRPr="005A6BA1">
        <w:t>for example</w:t>
      </w:r>
      <w:r w:rsidR="00867501">
        <w:t>,</w:t>
      </w:r>
      <w:r w:rsidR="0E0BAEE7" w:rsidRPr="005A6BA1">
        <w:t xml:space="preserve"> </w:t>
      </w:r>
      <w:r w:rsidRPr="005A6BA1">
        <w:t>character, cause and effect, point of view, narrative structure</w:t>
      </w:r>
    </w:p>
    <w:p w14:paraId="5D5D213D" w14:textId="350A266A" w:rsidR="20885791" w:rsidRPr="005A6BA1" w:rsidRDefault="00163C68" w:rsidP="003979E9">
      <w:pPr>
        <w:pStyle w:val="Bullet"/>
      </w:pPr>
      <w:r>
        <w:t>c</w:t>
      </w:r>
      <w:r w:rsidR="002807B8" w:rsidRPr="005A6BA1">
        <w:t>lear explanation of the interaction between codes and conventions and how they work together to create meaning in a specific instance.</w:t>
      </w:r>
    </w:p>
    <w:p w14:paraId="57ABF5B7" w14:textId="61706FAC" w:rsidR="002807B8" w:rsidRPr="005A6BA1" w:rsidRDefault="002807B8" w:rsidP="005A6BA1">
      <w:pPr>
        <w:pStyle w:val="BodyText"/>
      </w:pPr>
      <w:r w:rsidRPr="005A6BA1">
        <w:t xml:space="preserve">Common errors </w:t>
      </w:r>
      <w:r w:rsidR="00F431A4">
        <w:t>included</w:t>
      </w:r>
      <w:r w:rsidRPr="005A6BA1">
        <w:t>:</w:t>
      </w:r>
    </w:p>
    <w:p w14:paraId="76D3B224" w14:textId="46B0EF27" w:rsidR="002807B8" w:rsidRPr="005A6BA1" w:rsidRDefault="00163C68" w:rsidP="005A6BA1">
      <w:pPr>
        <w:pStyle w:val="Bullet"/>
      </w:pPr>
      <w:r>
        <w:t>t</w:t>
      </w:r>
      <w:r w:rsidR="002807B8" w:rsidRPr="005A6BA1">
        <w:t>alking generally about the whole film rather than analysing two specific sequences</w:t>
      </w:r>
      <w:r w:rsidR="31EC3C6E" w:rsidRPr="005A6BA1">
        <w:t>. For example</w:t>
      </w:r>
      <w:r w:rsidR="003979E9">
        <w:t xml:space="preserve">, </w:t>
      </w:r>
      <w:r>
        <w:t xml:space="preserve">using </w:t>
      </w:r>
      <w:r w:rsidR="005C6F9E" w:rsidRPr="005A6BA1">
        <w:t>‘</w:t>
      </w:r>
      <w:r w:rsidR="002807B8" w:rsidRPr="005A6BA1">
        <w:t xml:space="preserve">Throughout </w:t>
      </w:r>
      <w:r w:rsidR="002807B8" w:rsidRPr="000E289F">
        <w:rPr>
          <w:rStyle w:val="Emphasis"/>
        </w:rPr>
        <w:t>Joker</w:t>
      </w:r>
      <w:r w:rsidR="00867501">
        <w:t xml:space="preserve"> </w:t>
      </w:r>
      <w:r w:rsidR="002807B8" w:rsidRPr="005A6BA1">
        <w:t>…</w:t>
      </w:r>
      <w:r w:rsidR="005C6F9E" w:rsidRPr="005A6BA1">
        <w:t>’</w:t>
      </w:r>
      <w:r w:rsidR="002807B8" w:rsidRPr="005A6BA1">
        <w:t xml:space="preserve"> instead of </w:t>
      </w:r>
      <w:r w:rsidR="005C6F9E" w:rsidRPr="005A6BA1">
        <w:t>‘</w:t>
      </w:r>
      <w:r w:rsidR="002807B8" w:rsidRPr="005A6BA1">
        <w:t xml:space="preserve">in the bathroom </w:t>
      </w:r>
      <w:r w:rsidR="00756054" w:rsidRPr="005A6BA1">
        <w:t>scene</w:t>
      </w:r>
      <w:r>
        <w:t xml:space="preserve"> …</w:t>
      </w:r>
      <w:r w:rsidR="005C6F9E" w:rsidRPr="005A6BA1">
        <w:t>’</w:t>
      </w:r>
      <w:r w:rsidR="00756054" w:rsidRPr="005A6BA1">
        <w:t xml:space="preserve"> or discussing more than two specific sequences</w:t>
      </w:r>
    </w:p>
    <w:p w14:paraId="2FF84786" w14:textId="439AA3F3" w:rsidR="00756054" w:rsidRPr="005A6BA1" w:rsidRDefault="00163C68" w:rsidP="005A6BA1">
      <w:pPr>
        <w:pStyle w:val="Bullet"/>
      </w:pPr>
      <w:r>
        <w:t>n</w:t>
      </w:r>
      <w:r w:rsidR="6DB36553" w:rsidRPr="005A6BA1">
        <w:t xml:space="preserve">ot </w:t>
      </w:r>
      <w:r w:rsidRPr="005A6BA1">
        <w:t xml:space="preserve">explicitly </w:t>
      </w:r>
      <w:r w:rsidR="6DB36553" w:rsidRPr="005A6BA1">
        <w:t xml:space="preserve">discussing the </w:t>
      </w:r>
      <w:r w:rsidR="00756054" w:rsidRPr="005A6BA1">
        <w:t>narrative conventions</w:t>
      </w:r>
      <w:r>
        <w:t xml:space="preserve"> –</w:t>
      </w:r>
      <w:r w:rsidR="00756054" w:rsidRPr="005A6BA1">
        <w:t xml:space="preserve"> either discussing conventions more generally or talking about genre conventions</w:t>
      </w:r>
    </w:p>
    <w:p w14:paraId="560C3603" w14:textId="1E908516" w:rsidR="00756054" w:rsidRPr="005A6BA1" w:rsidRDefault="00163C68" w:rsidP="005A6BA1">
      <w:pPr>
        <w:pStyle w:val="Bullet"/>
      </w:pPr>
      <w:r>
        <w:t>n</w:t>
      </w:r>
      <w:r w:rsidR="003F33F5" w:rsidRPr="005A6BA1">
        <w:t xml:space="preserve">ot </w:t>
      </w:r>
      <w:r w:rsidR="5787092C" w:rsidRPr="005A6BA1">
        <w:t xml:space="preserve">analysing </w:t>
      </w:r>
      <w:r w:rsidR="003F33F5" w:rsidRPr="005A6BA1">
        <w:t>how codes and conventions work together by listing them separately rather than demonstrating their relationships and interactions.</w:t>
      </w:r>
    </w:p>
    <w:p w14:paraId="49D8D902" w14:textId="77777777" w:rsidR="00163C68" w:rsidRPr="00A00AED" w:rsidRDefault="00163C68" w:rsidP="000E289F">
      <w:r>
        <w:br w:type="page"/>
      </w:r>
    </w:p>
    <w:p w14:paraId="78794BAF" w14:textId="67AF4437" w:rsidR="003F33F5" w:rsidRPr="005A6BA1" w:rsidRDefault="00B026D0" w:rsidP="005A6BA1">
      <w:pPr>
        <w:pStyle w:val="BodyText"/>
      </w:pPr>
      <w:r>
        <w:lastRenderedPageBreak/>
        <w:t>The following is an example of a high-scoring</w:t>
      </w:r>
      <w:r w:rsidRPr="0035746B">
        <w:t xml:space="preserve"> </w:t>
      </w:r>
      <w:r w:rsidR="00867501">
        <w:t>r</w:t>
      </w:r>
      <w:r w:rsidR="00773BC1" w:rsidRPr="005A6BA1">
        <w:t>esponse:</w:t>
      </w:r>
    </w:p>
    <w:p w14:paraId="7AC899E0" w14:textId="36FA488A" w:rsidR="00292D81" w:rsidRPr="005A6BA1" w:rsidRDefault="00292D81" w:rsidP="005A6BA1">
      <w:pPr>
        <w:pStyle w:val="Studentsample"/>
      </w:pPr>
      <w:r w:rsidRPr="005A6BA1">
        <w:t>In his film The Dry, director Robert Conolly analyses the impact of trauma and human greed on community, subtly communicating its metaphorical implications on the environment.</w:t>
      </w:r>
    </w:p>
    <w:p w14:paraId="7CC424ED" w14:textId="6C776D61" w:rsidR="00292D81" w:rsidRPr="005A6BA1" w:rsidRDefault="00292D81" w:rsidP="005A6BA1">
      <w:pPr>
        <w:pStyle w:val="Studentsample"/>
      </w:pPr>
      <w:r w:rsidRPr="005A6BA1">
        <w:t xml:space="preserve">In the climactic scene with Scott Whitlam, the dry, dead forest covers the entire background – a mise en scene decision utilised by Robert Conolly which acts as a pathetic fallacy for the struggling community of Kiewarra and emotional desolation of villain Whitlam. The director builds on the dry atmosphere through the diegetic sound of insects and crispy leaves being crushed – building tension in juxtaposition to the lighter carried by Whitlam, who taunts that the surroundings are just </w:t>
      </w:r>
      <w:r w:rsidR="005C6F9E" w:rsidRPr="005A6BA1">
        <w:t>‘</w:t>
      </w:r>
      <w:r w:rsidRPr="005A6BA1">
        <w:t>waiting to burn</w:t>
      </w:r>
      <w:r w:rsidR="005C6F9E" w:rsidRPr="005A6BA1">
        <w:t>’</w:t>
      </w:r>
      <w:r w:rsidRPr="005A6BA1">
        <w:t xml:space="preserve">. As Whitlam drops the lighter, Conolly utilises the narrative convention of a </w:t>
      </w:r>
      <w:r w:rsidR="005C6F9E" w:rsidRPr="005A6BA1">
        <w:t>‘</w:t>
      </w:r>
      <w:r w:rsidRPr="005A6BA1">
        <w:t>revealing flashback</w:t>
      </w:r>
      <w:r w:rsidR="005C6F9E" w:rsidRPr="005A6BA1">
        <w:t>’</w:t>
      </w:r>
      <w:r w:rsidRPr="005A6BA1">
        <w:t xml:space="preserve"> to cross-cut between the destructive behaviour of Whitlam both in past and present, suggesting that just like his fire almost burned down Kiewarra, his past crimes similarly brought the community to the brink of collapse.</w:t>
      </w:r>
    </w:p>
    <w:p w14:paraId="4ACF89E1" w14:textId="2F70804E" w:rsidR="00773BC1" w:rsidRPr="005A6BA1" w:rsidRDefault="00292D81" w:rsidP="005A6BA1">
      <w:pPr>
        <w:pStyle w:val="Studentsample"/>
      </w:pPr>
      <w:r w:rsidRPr="005A6BA1">
        <w:t>This utilisation of cause and effect is built upon in the final scene where Falk discovers Ellie’s diary in the forest. As he reads, Conolly utilises the narrative convention of posthumous voiceover to narrate the trauma of Ellie’s past. The diegetic sound of her cries bleed into a close-up of present-day Falk’s devastated face, reflecting how the abuse of her father and her death has had lingering emotional consequences on Falk. By including two different forms of trauma in The Dry (Luke’s murder and Ellie’s death), Conolly exposes the complexity of trauma on both individuals and wider community.</w:t>
      </w:r>
    </w:p>
    <w:p w14:paraId="3093EC7A" w14:textId="09F6F02E" w:rsidR="003F33F5" w:rsidRDefault="003F33F5" w:rsidP="000E289F">
      <w:pPr>
        <w:pStyle w:val="Heading2"/>
      </w:pPr>
      <w:r w:rsidRPr="005A6BA1">
        <w:t xml:space="preserve">Question 2 </w:t>
      </w:r>
    </w:p>
    <w:tbl>
      <w:tblPr>
        <w:tblStyle w:val="VCAATableClosed"/>
        <w:tblW w:w="0" w:type="auto"/>
        <w:tblLook w:val="04A0" w:firstRow="1" w:lastRow="0" w:firstColumn="1" w:lastColumn="0" w:noHBand="0" w:noVBand="1"/>
      </w:tblPr>
      <w:tblGrid>
        <w:gridCol w:w="632"/>
        <w:gridCol w:w="416"/>
        <w:gridCol w:w="519"/>
        <w:gridCol w:w="519"/>
        <w:gridCol w:w="417"/>
        <w:gridCol w:w="417"/>
        <w:gridCol w:w="417"/>
        <w:gridCol w:w="485"/>
        <w:gridCol w:w="485"/>
        <w:gridCol w:w="485"/>
        <w:gridCol w:w="485"/>
        <w:gridCol w:w="485"/>
        <w:gridCol w:w="485"/>
        <w:gridCol w:w="485"/>
        <w:gridCol w:w="485"/>
        <w:gridCol w:w="485"/>
        <w:gridCol w:w="485"/>
        <w:gridCol w:w="955"/>
      </w:tblGrid>
      <w:tr w:rsidR="00047274" w:rsidRPr="00141A4D" w14:paraId="28E62008" w14:textId="77777777" w:rsidTr="002A6C77">
        <w:trPr>
          <w:cnfStyle w:val="100000000000" w:firstRow="1" w:lastRow="0" w:firstColumn="0" w:lastColumn="0" w:oddVBand="0" w:evenVBand="0" w:oddHBand="0" w:evenHBand="0" w:firstRowFirstColumn="0" w:firstRowLastColumn="0" w:lastRowFirstColumn="0" w:lastRowLastColumn="0"/>
        </w:trPr>
        <w:tc>
          <w:tcPr>
            <w:tcW w:w="632" w:type="dxa"/>
          </w:tcPr>
          <w:p w14:paraId="027FFD22" w14:textId="77777777" w:rsidR="00B83F42" w:rsidRPr="00141A4D" w:rsidRDefault="00B83F42" w:rsidP="000E289F">
            <w:pPr>
              <w:pStyle w:val="Tablecondensedheading"/>
              <w:rPr>
                <w:lang w:val="en-AU"/>
              </w:rPr>
            </w:pPr>
            <w:r w:rsidRPr="00141A4D">
              <w:rPr>
                <w:lang w:val="en-AU"/>
              </w:rPr>
              <w:t>Mark</w:t>
            </w:r>
          </w:p>
        </w:tc>
        <w:tc>
          <w:tcPr>
            <w:tcW w:w="416" w:type="dxa"/>
          </w:tcPr>
          <w:p w14:paraId="031EAC37" w14:textId="77777777" w:rsidR="00B83F42" w:rsidRPr="00141A4D" w:rsidRDefault="00B83F42" w:rsidP="000E289F">
            <w:pPr>
              <w:pStyle w:val="Tablecondensedheading"/>
              <w:rPr>
                <w:lang w:val="en-AU"/>
              </w:rPr>
            </w:pPr>
            <w:r>
              <w:rPr>
                <w:lang w:val="en-AU"/>
              </w:rPr>
              <w:t>0</w:t>
            </w:r>
          </w:p>
        </w:tc>
        <w:tc>
          <w:tcPr>
            <w:tcW w:w="519" w:type="dxa"/>
          </w:tcPr>
          <w:p w14:paraId="4AC16990" w14:textId="77777777" w:rsidR="00B83F42" w:rsidRPr="00141A4D" w:rsidRDefault="00B83F42" w:rsidP="000E289F">
            <w:pPr>
              <w:pStyle w:val="Tablecondensedheading"/>
              <w:rPr>
                <w:lang w:val="en-AU"/>
              </w:rPr>
            </w:pPr>
            <w:r>
              <w:rPr>
                <w:lang w:val="en-AU"/>
              </w:rPr>
              <w:t>1</w:t>
            </w:r>
          </w:p>
        </w:tc>
        <w:tc>
          <w:tcPr>
            <w:tcW w:w="519" w:type="dxa"/>
          </w:tcPr>
          <w:p w14:paraId="78FB90E5" w14:textId="77777777" w:rsidR="00B83F42" w:rsidRPr="00141A4D" w:rsidRDefault="00B83F42" w:rsidP="000E289F">
            <w:pPr>
              <w:pStyle w:val="Tablecondensedheading"/>
              <w:rPr>
                <w:lang w:val="en-AU"/>
              </w:rPr>
            </w:pPr>
            <w:r>
              <w:rPr>
                <w:lang w:val="en-AU"/>
              </w:rPr>
              <w:t>2</w:t>
            </w:r>
          </w:p>
        </w:tc>
        <w:tc>
          <w:tcPr>
            <w:tcW w:w="417" w:type="dxa"/>
          </w:tcPr>
          <w:p w14:paraId="65F2A6B6" w14:textId="77777777" w:rsidR="00B83F42" w:rsidRPr="00141A4D" w:rsidRDefault="00B83F42" w:rsidP="000E289F">
            <w:pPr>
              <w:pStyle w:val="Tablecondensedheading"/>
              <w:rPr>
                <w:lang w:val="en-AU"/>
              </w:rPr>
            </w:pPr>
            <w:r>
              <w:rPr>
                <w:lang w:val="en-AU"/>
              </w:rPr>
              <w:t>3</w:t>
            </w:r>
          </w:p>
        </w:tc>
        <w:tc>
          <w:tcPr>
            <w:tcW w:w="417" w:type="dxa"/>
          </w:tcPr>
          <w:p w14:paraId="28F28855" w14:textId="77777777" w:rsidR="00B83F42" w:rsidRPr="00141A4D" w:rsidRDefault="00B83F42" w:rsidP="000E289F">
            <w:pPr>
              <w:pStyle w:val="Tablecondensedheading"/>
              <w:rPr>
                <w:lang w:val="en-AU"/>
              </w:rPr>
            </w:pPr>
            <w:r>
              <w:rPr>
                <w:lang w:val="en-AU"/>
              </w:rPr>
              <w:t>4</w:t>
            </w:r>
          </w:p>
        </w:tc>
        <w:tc>
          <w:tcPr>
            <w:tcW w:w="417" w:type="dxa"/>
          </w:tcPr>
          <w:p w14:paraId="7B64F426" w14:textId="77777777" w:rsidR="00B83F42" w:rsidRPr="00141A4D" w:rsidRDefault="00B83F42" w:rsidP="000E289F">
            <w:pPr>
              <w:pStyle w:val="Tablecondensedheading"/>
              <w:rPr>
                <w:lang w:val="en-AU"/>
              </w:rPr>
            </w:pPr>
            <w:r>
              <w:rPr>
                <w:lang w:val="en-AU"/>
              </w:rPr>
              <w:t>5</w:t>
            </w:r>
          </w:p>
        </w:tc>
        <w:tc>
          <w:tcPr>
            <w:tcW w:w="485" w:type="dxa"/>
          </w:tcPr>
          <w:p w14:paraId="6AF75CC0" w14:textId="77777777" w:rsidR="00B83F42" w:rsidRPr="00141A4D" w:rsidRDefault="00B83F42" w:rsidP="000E289F">
            <w:pPr>
              <w:pStyle w:val="Tablecondensedheading"/>
              <w:rPr>
                <w:lang w:val="en-AU"/>
              </w:rPr>
            </w:pPr>
            <w:r>
              <w:rPr>
                <w:lang w:val="en-AU"/>
              </w:rPr>
              <w:t>6</w:t>
            </w:r>
          </w:p>
        </w:tc>
        <w:tc>
          <w:tcPr>
            <w:tcW w:w="485" w:type="dxa"/>
          </w:tcPr>
          <w:p w14:paraId="2EAE10D6" w14:textId="77777777" w:rsidR="00B83F42" w:rsidRPr="00141A4D" w:rsidRDefault="00B83F42" w:rsidP="000E289F">
            <w:pPr>
              <w:pStyle w:val="Tablecondensedheading"/>
              <w:rPr>
                <w:lang w:val="en-AU"/>
              </w:rPr>
            </w:pPr>
            <w:r>
              <w:rPr>
                <w:lang w:val="en-AU"/>
              </w:rPr>
              <w:t>7</w:t>
            </w:r>
          </w:p>
        </w:tc>
        <w:tc>
          <w:tcPr>
            <w:tcW w:w="485" w:type="dxa"/>
          </w:tcPr>
          <w:p w14:paraId="66C8A88C" w14:textId="77777777" w:rsidR="00B83F42" w:rsidRPr="00141A4D" w:rsidRDefault="00B83F42" w:rsidP="000E289F">
            <w:pPr>
              <w:pStyle w:val="Tablecondensedheading"/>
              <w:rPr>
                <w:lang w:val="en-AU"/>
              </w:rPr>
            </w:pPr>
            <w:r>
              <w:rPr>
                <w:lang w:val="en-AU"/>
              </w:rPr>
              <w:t>8</w:t>
            </w:r>
          </w:p>
        </w:tc>
        <w:tc>
          <w:tcPr>
            <w:tcW w:w="485" w:type="dxa"/>
          </w:tcPr>
          <w:p w14:paraId="3AF6F5A6" w14:textId="77777777" w:rsidR="00B83F42" w:rsidRPr="00141A4D" w:rsidRDefault="00B83F42" w:rsidP="000E289F">
            <w:pPr>
              <w:pStyle w:val="Tablecondensedheading"/>
              <w:rPr>
                <w:lang w:val="en-AU"/>
              </w:rPr>
            </w:pPr>
            <w:r>
              <w:rPr>
                <w:lang w:val="en-AU"/>
              </w:rPr>
              <w:t>9</w:t>
            </w:r>
          </w:p>
        </w:tc>
        <w:tc>
          <w:tcPr>
            <w:tcW w:w="485" w:type="dxa"/>
          </w:tcPr>
          <w:p w14:paraId="2F3AC5A3" w14:textId="77777777" w:rsidR="00B83F42" w:rsidRPr="00141A4D" w:rsidRDefault="00B83F42" w:rsidP="000E289F">
            <w:pPr>
              <w:pStyle w:val="Tablecondensedheading"/>
              <w:rPr>
                <w:lang w:val="en-AU"/>
              </w:rPr>
            </w:pPr>
            <w:r>
              <w:rPr>
                <w:lang w:val="en-AU"/>
              </w:rPr>
              <w:t>10</w:t>
            </w:r>
          </w:p>
        </w:tc>
        <w:tc>
          <w:tcPr>
            <w:tcW w:w="485" w:type="dxa"/>
          </w:tcPr>
          <w:p w14:paraId="7CBCBA01" w14:textId="77777777" w:rsidR="00B83F42" w:rsidRPr="00141A4D" w:rsidRDefault="00B83F42" w:rsidP="000E289F">
            <w:pPr>
              <w:pStyle w:val="Tablecondensedheading"/>
              <w:rPr>
                <w:lang w:val="en-AU"/>
              </w:rPr>
            </w:pPr>
            <w:r>
              <w:rPr>
                <w:lang w:val="en-AU"/>
              </w:rPr>
              <w:t>11</w:t>
            </w:r>
          </w:p>
        </w:tc>
        <w:tc>
          <w:tcPr>
            <w:tcW w:w="485" w:type="dxa"/>
          </w:tcPr>
          <w:p w14:paraId="6F38B69D" w14:textId="77777777" w:rsidR="00B83F42" w:rsidRPr="00141A4D" w:rsidRDefault="00B83F42" w:rsidP="000E289F">
            <w:pPr>
              <w:pStyle w:val="Tablecondensedheading"/>
              <w:rPr>
                <w:lang w:val="en-AU"/>
              </w:rPr>
            </w:pPr>
            <w:r>
              <w:rPr>
                <w:lang w:val="en-AU"/>
              </w:rPr>
              <w:t>12</w:t>
            </w:r>
          </w:p>
        </w:tc>
        <w:tc>
          <w:tcPr>
            <w:tcW w:w="485" w:type="dxa"/>
          </w:tcPr>
          <w:p w14:paraId="6DC2A7C8" w14:textId="77777777" w:rsidR="00B83F42" w:rsidRPr="00141A4D" w:rsidRDefault="00B83F42" w:rsidP="000E289F">
            <w:pPr>
              <w:pStyle w:val="Tablecondensedheading"/>
              <w:rPr>
                <w:lang w:val="en-AU"/>
              </w:rPr>
            </w:pPr>
            <w:r>
              <w:rPr>
                <w:lang w:val="en-AU"/>
              </w:rPr>
              <w:t>13</w:t>
            </w:r>
          </w:p>
        </w:tc>
        <w:tc>
          <w:tcPr>
            <w:tcW w:w="485" w:type="dxa"/>
          </w:tcPr>
          <w:p w14:paraId="5FABA282" w14:textId="77777777" w:rsidR="00B83F42" w:rsidRPr="00141A4D" w:rsidRDefault="00B83F42" w:rsidP="000E289F">
            <w:pPr>
              <w:pStyle w:val="Tablecondensedheading"/>
              <w:rPr>
                <w:lang w:val="en-AU"/>
              </w:rPr>
            </w:pPr>
            <w:r>
              <w:rPr>
                <w:lang w:val="en-AU"/>
              </w:rPr>
              <w:t>14</w:t>
            </w:r>
          </w:p>
        </w:tc>
        <w:tc>
          <w:tcPr>
            <w:tcW w:w="485" w:type="dxa"/>
          </w:tcPr>
          <w:p w14:paraId="568642FF" w14:textId="77777777" w:rsidR="00B83F42" w:rsidRPr="00141A4D" w:rsidRDefault="00B83F42" w:rsidP="000E289F">
            <w:pPr>
              <w:pStyle w:val="Tablecondensedheading"/>
              <w:rPr>
                <w:lang w:val="en-AU"/>
              </w:rPr>
            </w:pPr>
            <w:r>
              <w:rPr>
                <w:lang w:val="en-AU"/>
              </w:rPr>
              <w:t>15</w:t>
            </w:r>
          </w:p>
        </w:tc>
        <w:tc>
          <w:tcPr>
            <w:tcW w:w="955" w:type="dxa"/>
          </w:tcPr>
          <w:p w14:paraId="77C50E72" w14:textId="77777777" w:rsidR="00B83F42" w:rsidRPr="00141A4D" w:rsidRDefault="00B83F42" w:rsidP="000E289F">
            <w:pPr>
              <w:pStyle w:val="Tablecondensedheading"/>
              <w:rPr>
                <w:lang w:val="en-AU"/>
              </w:rPr>
            </w:pPr>
            <w:r w:rsidRPr="00141A4D">
              <w:rPr>
                <w:lang w:val="en-AU"/>
              </w:rPr>
              <w:t>Average</w:t>
            </w:r>
          </w:p>
        </w:tc>
      </w:tr>
      <w:tr w:rsidR="00047274" w:rsidRPr="00141A4D" w14:paraId="7DFE1E0F" w14:textId="77777777" w:rsidTr="002A6C77">
        <w:tc>
          <w:tcPr>
            <w:tcW w:w="632" w:type="dxa"/>
          </w:tcPr>
          <w:p w14:paraId="5FDFC4F1" w14:textId="77777777" w:rsidR="00B83F42" w:rsidRPr="00141A4D" w:rsidRDefault="00B83F42" w:rsidP="000E289F">
            <w:pPr>
              <w:pStyle w:val="Tablecondensed"/>
              <w:rPr>
                <w:lang w:val="en-AU"/>
              </w:rPr>
            </w:pPr>
            <w:r w:rsidRPr="00141A4D">
              <w:rPr>
                <w:lang w:val="en-AU"/>
              </w:rPr>
              <w:t>%</w:t>
            </w:r>
          </w:p>
        </w:tc>
        <w:tc>
          <w:tcPr>
            <w:tcW w:w="416" w:type="dxa"/>
          </w:tcPr>
          <w:p w14:paraId="26933A9A" w14:textId="01405A88" w:rsidR="00B83F42" w:rsidRPr="00141A4D" w:rsidRDefault="00B83F42" w:rsidP="000E289F">
            <w:pPr>
              <w:pStyle w:val="Tablecondensed"/>
              <w:rPr>
                <w:lang w:val="en-AU"/>
              </w:rPr>
            </w:pPr>
            <w:r>
              <w:rPr>
                <w:lang w:val="en-AU"/>
              </w:rPr>
              <w:t>3</w:t>
            </w:r>
          </w:p>
        </w:tc>
        <w:tc>
          <w:tcPr>
            <w:tcW w:w="519" w:type="dxa"/>
          </w:tcPr>
          <w:p w14:paraId="793BF2BE" w14:textId="40B315E3" w:rsidR="00B83F42" w:rsidRPr="00141A4D" w:rsidRDefault="00B83F42" w:rsidP="000E289F">
            <w:pPr>
              <w:pStyle w:val="Tablecondensed"/>
              <w:rPr>
                <w:lang w:val="en-AU"/>
              </w:rPr>
            </w:pPr>
            <w:r>
              <w:rPr>
                <w:lang w:val="en-AU"/>
              </w:rPr>
              <w:t>1</w:t>
            </w:r>
          </w:p>
        </w:tc>
        <w:tc>
          <w:tcPr>
            <w:tcW w:w="519" w:type="dxa"/>
          </w:tcPr>
          <w:p w14:paraId="0BDC6A33" w14:textId="1DAEE160" w:rsidR="00B83F42" w:rsidRPr="00141A4D" w:rsidRDefault="00B83F42" w:rsidP="000E289F">
            <w:pPr>
              <w:pStyle w:val="Tablecondensed"/>
              <w:rPr>
                <w:lang w:val="en-AU"/>
              </w:rPr>
            </w:pPr>
            <w:r>
              <w:rPr>
                <w:lang w:val="en-AU"/>
              </w:rPr>
              <w:t>1</w:t>
            </w:r>
          </w:p>
        </w:tc>
        <w:tc>
          <w:tcPr>
            <w:tcW w:w="417" w:type="dxa"/>
          </w:tcPr>
          <w:p w14:paraId="21E2CDB8" w14:textId="7CCCC1B2" w:rsidR="00B83F42" w:rsidRPr="00141A4D" w:rsidRDefault="00B83F42" w:rsidP="000E289F">
            <w:pPr>
              <w:pStyle w:val="Tablecondensed"/>
              <w:rPr>
                <w:lang w:val="en-AU"/>
              </w:rPr>
            </w:pPr>
            <w:r>
              <w:rPr>
                <w:lang w:val="en-AU"/>
              </w:rPr>
              <w:t>3</w:t>
            </w:r>
          </w:p>
        </w:tc>
        <w:tc>
          <w:tcPr>
            <w:tcW w:w="417" w:type="dxa"/>
          </w:tcPr>
          <w:p w14:paraId="14FABF3F" w14:textId="72353379" w:rsidR="00B83F42" w:rsidRPr="00141A4D" w:rsidRDefault="00B83F42" w:rsidP="000E289F">
            <w:pPr>
              <w:pStyle w:val="Tablecondensed"/>
              <w:rPr>
                <w:lang w:val="en-AU"/>
              </w:rPr>
            </w:pPr>
            <w:r>
              <w:rPr>
                <w:lang w:val="en-AU"/>
              </w:rPr>
              <w:t>5</w:t>
            </w:r>
          </w:p>
        </w:tc>
        <w:tc>
          <w:tcPr>
            <w:tcW w:w="417" w:type="dxa"/>
          </w:tcPr>
          <w:p w14:paraId="72879E96" w14:textId="5F2FA315" w:rsidR="00B83F42" w:rsidRPr="00141A4D" w:rsidRDefault="00B83F42" w:rsidP="000E289F">
            <w:pPr>
              <w:pStyle w:val="Tablecondensed"/>
              <w:rPr>
                <w:lang w:val="en-AU"/>
              </w:rPr>
            </w:pPr>
            <w:r>
              <w:rPr>
                <w:lang w:val="en-AU"/>
              </w:rPr>
              <w:t>8</w:t>
            </w:r>
          </w:p>
        </w:tc>
        <w:tc>
          <w:tcPr>
            <w:tcW w:w="485" w:type="dxa"/>
          </w:tcPr>
          <w:p w14:paraId="57DBE45D" w14:textId="09441A4C" w:rsidR="00B83F42" w:rsidRPr="00141A4D" w:rsidRDefault="00B83F42" w:rsidP="000E289F">
            <w:pPr>
              <w:pStyle w:val="Tablecondensed"/>
              <w:rPr>
                <w:lang w:val="en-AU"/>
              </w:rPr>
            </w:pPr>
            <w:r>
              <w:rPr>
                <w:lang w:val="en-AU"/>
              </w:rPr>
              <w:t>10</w:t>
            </w:r>
          </w:p>
        </w:tc>
        <w:tc>
          <w:tcPr>
            <w:tcW w:w="485" w:type="dxa"/>
          </w:tcPr>
          <w:p w14:paraId="29D4B800" w14:textId="1BE95E14" w:rsidR="00B83F42" w:rsidRPr="00141A4D" w:rsidRDefault="00B83F42" w:rsidP="000E289F">
            <w:pPr>
              <w:pStyle w:val="Tablecondensed"/>
              <w:rPr>
                <w:lang w:val="en-AU"/>
              </w:rPr>
            </w:pPr>
            <w:r>
              <w:rPr>
                <w:lang w:val="en-AU"/>
              </w:rPr>
              <w:t>11</w:t>
            </w:r>
          </w:p>
        </w:tc>
        <w:tc>
          <w:tcPr>
            <w:tcW w:w="485" w:type="dxa"/>
          </w:tcPr>
          <w:p w14:paraId="60A3A746" w14:textId="3B177C96" w:rsidR="00B83F42" w:rsidRPr="00141A4D" w:rsidRDefault="00B83F42" w:rsidP="000E289F">
            <w:pPr>
              <w:pStyle w:val="Tablecondensed"/>
              <w:rPr>
                <w:lang w:val="en-AU"/>
              </w:rPr>
            </w:pPr>
            <w:r>
              <w:rPr>
                <w:lang w:val="en-AU"/>
              </w:rPr>
              <w:t>12</w:t>
            </w:r>
          </w:p>
        </w:tc>
        <w:tc>
          <w:tcPr>
            <w:tcW w:w="485" w:type="dxa"/>
          </w:tcPr>
          <w:p w14:paraId="01550904" w14:textId="09FDC6F5" w:rsidR="00B83F42" w:rsidRPr="00141A4D" w:rsidRDefault="00B83F42" w:rsidP="000E289F">
            <w:pPr>
              <w:pStyle w:val="Tablecondensed"/>
              <w:rPr>
                <w:lang w:val="en-AU"/>
              </w:rPr>
            </w:pPr>
            <w:r>
              <w:rPr>
                <w:lang w:val="en-AU"/>
              </w:rPr>
              <w:t>14</w:t>
            </w:r>
          </w:p>
        </w:tc>
        <w:tc>
          <w:tcPr>
            <w:tcW w:w="485" w:type="dxa"/>
          </w:tcPr>
          <w:p w14:paraId="3647971A" w14:textId="38BDE273" w:rsidR="00B83F42" w:rsidRPr="00141A4D" w:rsidRDefault="00B83F42" w:rsidP="000E289F">
            <w:pPr>
              <w:pStyle w:val="Tablecondensed"/>
              <w:rPr>
                <w:lang w:val="en-AU"/>
              </w:rPr>
            </w:pPr>
            <w:r>
              <w:rPr>
                <w:lang w:val="en-AU"/>
              </w:rPr>
              <w:t>11</w:t>
            </w:r>
          </w:p>
        </w:tc>
        <w:tc>
          <w:tcPr>
            <w:tcW w:w="485" w:type="dxa"/>
          </w:tcPr>
          <w:p w14:paraId="737C8035" w14:textId="57571A98" w:rsidR="00B83F42" w:rsidRPr="00141A4D" w:rsidRDefault="00B83F42" w:rsidP="000E289F">
            <w:pPr>
              <w:pStyle w:val="Tablecondensed"/>
              <w:rPr>
                <w:lang w:val="en-AU"/>
              </w:rPr>
            </w:pPr>
            <w:r>
              <w:rPr>
                <w:lang w:val="en-AU"/>
              </w:rPr>
              <w:t>8</w:t>
            </w:r>
          </w:p>
        </w:tc>
        <w:tc>
          <w:tcPr>
            <w:tcW w:w="485" w:type="dxa"/>
          </w:tcPr>
          <w:p w14:paraId="0A4F6CAA" w14:textId="48AF27D9" w:rsidR="00B83F42" w:rsidRPr="00141A4D" w:rsidRDefault="00B83F42" w:rsidP="000E289F">
            <w:pPr>
              <w:pStyle w:val="Tablecondensed"/>
              <w:rPr>
                <w:lang w:val="en-AU"/>
              </w:rPr>
            </w:pPr>
            <w:r>
              <w:rPr>
                <w:lang w:val="en-AU"/>
              </w:rPr>
              <w:t>7</w:t>
            </w:r>
          </w:p>
        </w:tc>
        <w:tc>
          <w:tcPr>
            <w:tcW w:w="485" w:type="dxa"/>
          </w:tcPr>
          <w:p w14:paraId="24086F88" w14:textId="5020BE06" w:rsidR="00B83F42" w:rsidRPr="00141A4D" w:rsidRDefault="00B83F42" w:rsidP="000E289F">
            <w:pPr>
              <w:pStyle w:val="Tablecondensed"/>
              <w:rPr>
                <w:lang w:val="en-AU"/>
              </w:rPr>
            </w:pPr>
            <w:r>
              <w:rPr>
                <w:lang w:val="en-AU"/>
              </w:rPr>
              <w:t>3</w:t>
            </w:r>
          </w:p>
        </w:tc>
        <w:tc>
          <w:tcPr>
            <w:tcW w:w="485" w:type="dxa"/>
          </w:tcPr>
          <w:p w14:paraId="72AB699A" w14:textId="16EF74B3" w:rsidR="00B83F42" w:rsidRDefault="00B83F42" w:rsidP="000E289F">
            <w:pPr>
              <w:pStyle w:val="Tablecondensed"/>
              <w:rPr>
                <w:lang w:val="en-AU"/>
              </w:rPr>
            </w:pPr>
            <w:r>
              <w:rPr>
                <w:lang w:val="en-AU"/>
              </w:rPr>
              <w:t>2</w:t>
            </w:r>
          </w:p>
        </w:tc>
        <w:tc>
          <w:tcPr>
            <w:tcW w:w="485" w:type="dxa"/>
          </w:tcPr>
          <w:p w14:paraId="34FF37CD" w14:textId="1D886D53" w:rsidR="00B83F42" w:rsidRDefault="00B83F42" w:rsidP="000E289F">
            <w:pPr>
              <w:pStyle w:val="Tablecondensed"/>
              <w:rPr>
                <w:lang w:val="en-AU"/>
              </w:rPr>
            </w:pPr>
            <w:r>
              <w:rPr>
                <w:lang w:val="en-AU"/>
              </w:rPr>
              <w:t>0.7</w:t>
            </w:r>
          </w:p>
        </w:tc>
        <w:tc>
          <w:tcPr>
            <w:tcW w:w="955" w:type="dxa"/>
          </w:tcPr>
          <w:p w14:paraId="3E0C7AE1" w14:textId="5EEB3558" w:rsidR="00B83F42" w:rsidRPr="00141A4D" w:rsidRDefault="00B83F42" w:rsidP="000E289F">
            <w:pPr>
              <w:pStyle w:val="Tablecondensed"/>
              <w:rPr>
                <w:lang w:val="en-AU"/>
              </w:rPr>
            </w:pPr>
            <w:r>
              <w:rPr>
                <w:lang w:val="en-AU"/>
              </w:rPr>
              <w:t>7.9</w:t>
            </w:r>
          </w:p>
        </w:tc>
      </w:tr>
    </w:tbl>
    <w:p w14:paraId="762E2638" w14:textId="0E99E01F" w:rsidR="003F33F5" w:rsidRPr="005A6BA1" w:rsidRDefault="00B83F42" w:rsidP="005A6BA1">
      <w:pPr>
        <w:pStyle w:val="BodyText"/>
      </w:pPr>
      <w:r>
        <w:t xml:space="preserve">Students </w:t>
      </w:r>
      <w:r w:rsidR="003F33F5" w:rsidRPr="005A6BA1">
        <w:t>were required to analyse issues and challenges relating to regulation and control of the media and audiences in</w:t>
      </w:r>
      <w:r>
        <w:t xml:space="preserve"> </w:t>
      </w:r>
      <w:r w:rsidR="003F33F5" w:rsidRPr="005A6BA1">
        <w:t xml:space="preserve">response to one or more comments about social media age restrictions. </w:t>
      </w:r>
      <w:r>
        <w:t>Responses</w:t>
      </w:r>
      <w:r w:rsidR="003F33F5" w:rsidRPr="005A6BA1">
        <w:t xml:space="preserve"> needed to identify the components of regulatory issues (laws, enforcement, stakeholders, challenges) and explain the significant relationships between them</w:t>
      </w:r>
      <w:r>
        <w:t>,</w:t>
      </w:r>
      <w:r w:rsidR="003F33F5" w:rsidRPr="005A6BA1">
        <w:t xml:space="preserve"> such as why certain regulatory approaches create specific challenges, and what this reveals about media regulation more broadly.</w:t>
      </w:r>
    </w:p>
    <w:p w14:paraId="10B05529" w14:textId="749881C7" w:rsidR="003F33F5" w:rsidRPr="005A6BA1" w:rsidRDefault="003F33F5" w:rsidP="005A6BA1">
      <w:pPr>
        <w:pStyle w:val="BodyText"/>
      </w:pPr>
      <w:r w:rsidRPr="005A6BA1">
        <w:t>Although the prompt cent</w:t>
      </w:r>
      <w:r w:rsidR="00A845E8" w:rsidRPr="005A6BA1">
        <w:t xml:space="preserve">ered on the social media ban for under-16s, the range of comments provided allowed </w:t>
      </w:r>
      <w:r w:rsidR="664945F4" w:rsidRPr="005A6BA1">
        <w:t xml:space="preserve">students </w:t>
      </w:r>
      <w:r w:rsidR="00A845E8" w:rsidRPr="005A6BA1">
        <w:t>to explore a wide range of regulatory issues. The best responses used the specific scenario as a springboard to analyse broader ideas and other challenges in media regulation and support</w:t>
      </w:r>
      <w:r w:rsidR="00B83F42">
        <w:t>ed</w:t>
      </w:r>
      <w:r w:rsidR="00A845E8" w:rsidRPr="005A6BA1">
        <w:t xml:space="preserve"> their analysis with specific examples of laws, regulatory bodies and case studies.</w:t>
      </w:r>
    </w:p>
    <w:p w14:paraId="5416CA8F" w14:textId="040309E4" w:rsidR="007E3136" w:rsidRPr="005A6BA1" w:rsidRDefault="007E3136" w:rsidP="005A6BA1">
      <w:pPr>
        <w:pStyle w:val="BodyText"/>
      </w:pPr>
      <w:r w:rsidRPr="005A6BA1">
        <w:t>Successful responses included</w:t>
      </w:r>
      <w:r w:rsidR="00B83F42">
        <w:t xml:space="preserve"> e</w:t>
      </w:r>
      <w:r w:rsidRPr="005A6BA1">
        <w:t>ngagement with one or more comments</w:t>
      </w:r>
      <w:r w:rsidR="55A7E83D" w:rsidRPr="005A6BA1">
        <w:t xml:space="preserve"> that were drawn upon in the analysis</w:t>
      </w:r>
      <w:r w:rsidR="00B83F42">
        <w:t>, m</w:t>
      </w:r>
      <w:r w:rsidRPr="005A6BA1">
        <w:t>ultiple issues and challenges relating to regulation</w:t>
      </w:r>
      <w:r w:rsidR="564ACAA9" w:rsidRPr="005A6BA1">
        <w:t xml:space="preserve"> drawn from the comments and prompt</w:t>
      </w:r>
      <w:r w:rsidR="00B83F42">
        <w:t>, and s</w:t>
      </w:r>
      <w:r w:rsidRPr="005A6BA1">
        <w:t>pecific examples and evidence</w:t>
      </w:r>
      <w:r w:rsidR="00B83F42">
        <w:t>.</w:t>
      </w:r>
      <w:r w:rsidR="3894922B" w:rsidRPr="005A6BA1">
        <w:t xml:space="preserve"> </w:t>
      </w:r>
    </w:p>
    <w:p w14:paraId="11D82C9F" w14:textId="218D393C" w:rsidR="003F33F5" w:rsidRPr="005A6BA1" w:rsidRDefault="003F33F5" w:rsidP="005A6BA1">
      <w:pPr>
        <w:pStyle w:val="BodyText"/>
      </w:pPr>
      <w:r w:rsidRPr="005A6BA1">
        <w:t xml:space="preserve">High-scoring responses </w:t>
      </w:r>
      <w:r w:rsidR="0011486B">
        <w:t>included</w:t>
      </w:r>
      <w:r w:rsidRPr="005A6BA1">
        <w:t>:</w:t>
      </w:r>
    </w:p>
    <w:p w14:paraId="079E0C55" w14:textId="294E4E5F" w:rsidR="00A845E8" w:rsidRPr="005A6BA1" w:rsidRDefault="00163C68" w:rsidP="005A6BA1">
      <w:pPr>
        <w:pStyle w:val="Bullet"/>
      </w:pPr>
      <w:r>
        <w:t>d</w:t>
      </w:r>
      <w:r w:rsidR="003F33F5" w:rsidRPr="005A6BA1">
        <w:t xml:space="preserve">irect </w:t>
      </w:r>
      <w:r w:rsidR="00A845E8" w:rsidRPr="005A6BA1">
        <w:t>engagement with one or more comments by quoting specific parts, referencing particular comment numbers or directly responding to viewpoints expressed by comment writers</w:t>
      </w:r>
    </w:p>
    <w:p w14:paraId="6AD9E784" w14:textId="3C2160E3" w:rsidR="00A845E8" w:rsidRPr="005A6BA1" w:rsidRDefault="00163C68" w:rsidP="005A6BA1">
      <w:pPr>
        <w:pStyle w:val="Bullet"/>
      </w:pPr>
      <w:r>
        <w:t>a</w:t>
      </w:r>
      <w:r w:rsidR="00A845E8" w:rsidRPr="005A6BA1">
        <w:t>nalysis of multiple distinct issues and challenges relating to regulation and control</w:t>
      </w:r>
    </w:p>
    <w:p w14:paraId="4EF457C7" w14:textId="678EBE27" w:rsidR="00A845E8" w:rsidRPr="005A6BA1" w:rsidRDefault="00163C68" w:rsidP="005A6BA1">
      <w:pPr>
        <w:pStyle w:val="Bullet"/>
      </w:pPr>
      <w:r>
        <w:t>s</w:t>
      </w:r>
      <w:r w:rsidR="00A845E8" w:rsidRPr="005A6BA1">
        <w:t>pecific examples and evidence to support analysis, such as:</w:t>
      </w:r>
    </w:p>
    <w:p w14:paraId="03943132" w14:textId="744081F5" w:rsidR="00A845E8" w:rsidRPr="005A6BA1" w:rsidRDefault="00163C68" w:rsidP="005A6BA1">
      <w:pPr>
        <w:pStyle w:val="Bulletlevel2"/>
      </w:pPr>
      <w:r>
        <w:t>r</w:t>
      </w:r>
      <w:r w:rsidR="00A845E8" w:rsidRPr="005A6BA1">
        <w:t>eferences to specific laws and regulation</w:t>
      </w:r>
      <w:r w:rsidR="66294AAD" w:rsidRPr="005A6BA1">
        <w:t>, for example</w:t>
      </w:r>
      <w:r w:rsidR="00B83F42">
        <w:t xml:space="preserve">, </w:t>
      </w:r>
      <w:r w:rsidR="000E289F" w:rsidRPr="000E289F">
        <w:rPr>
          <w:rStyle w:val="Emphasis"/>
        </w:rPr>
        <w:t>Online Safety Amendment (Social Media Minimum Age) Act 2024</w:t>
      </w:r>
      <w:r w:rsidR="00A845E8" w:rsidRPr="005A6BA1">
        <w:t xml:space="preserve">, </w:t>
      </w:r>
      <w:r w:rsidR="000E289F" w:rsidRPr="000E289F">
        <w:rPr>
          <w:rStyle w:val="Emphasis"/>
        </w:rPr>
        <w:t>Online Safety Act 2021</w:t>
      </w:r>
    </w:p>
    <w:p w14:paraId="5B27FB2F" w14:textId="46BF90B0" w:rsidR="003F33F5" w:rsidRPr="005A6BA1" w:rsidRDefault="007561D7" w:rsidP="005A6BA1">
      <w:pPr>
        <w:pStyle w:val="Bulletlevel2"/>
      </w:pPr>
      <w:r>
        <w:t>r</w:t>
      </w:r>
      <w:r w:rsidR="00A845E8" w:rsidRPr="005A6BA1">
        <w:t>egulatory bodies and their roles</w:t>
      </w:r>
      <w:r>
        <w:t>;</w:t>
      </w:r>
      <w:r w:rsidR="5DC75E09" w:rsidRPr="005A6BA1">
        <w:t xml:space="preserve"> for example</w:t>
      </w:r>
      <w:r w:rsidR="00B83F42">
        <w:t>,</w:t>
      </w:r>
      <w:r>
        <w:t xml:space="preserve"> the</w:t>
      </w:r>
      <w:r w:rsidR="00B83F42">
        <w:t xml:space="preserve"> </w:t>
      </w:r>
      <w:r w:rsidR="00A845E8" w:rsidRPr="005A6BA1">
        <w:t xml:space="preserve">eSafety </w:t>
      </w:r>
      <w:r w:rsidR="00FA4864" w:rsidRPr="005A6BA1">
        <w:t>Commissioner</w:t>
      </w:r>
    </w:p>
    <w:p w14:paraId="6305C87B" w14:textId="3E1E85E1" w:rsidR="00A845E8" w:rsidRPr="005A6BA1" w:rsidRDefault="007561D7" w:rsidP="005A6BA1">
      <w:pPr>
        <w:pStyle w:val="Bulletlevel2"/>
      </w:pPr>
      <w:r>
        <w:t>c</w:t>
      </w:r>
      <w:r w:rsidR="00FA4864" w:rsidRPr="005A6BA1">
        <w:t>ase studies of regulatory challenges</w:t>
      </w:r>
    </w:p>
    <w:p w14:paraId="28AAE604" w14:textId="3402EFB1" w:rsidR="00FA4864" w:rsidRPr="005A6BA1" w:rsidRDefault="007561D7" w:rsidP="005A6BA1">
      <w:pPr>
        <w:pStyle w:val="Bulletlevel2"/>
      </w:pPr>
      <w:r>
        <w:t>r</w:t>
      </w:r>
      <w:r w:rsidR="00FA4864" w:rsidRPr="005A6BA1">
        <w:t>esearch findings, statistics or documented outcomes</w:t>
      </w:r>
    </w:p>
    <w:p w14:paraId="69FFFC00" w14:textId="6FB222CE" w:rsidR="00FA4864" w:rsidRPr="005A6BA1" w:rsidRDefault="007561D7" w:rsidP="005A6BA1">
      <w:pPr>
        <w:pStyle w:val="Bullet"/>
      </w:pPr>
      <w:r>
        <w:t>u</w:t>
      </w:r>
      <w:r w:rsidR="00FA4864" w:rsidRPr="005A6BA1">
        <w:t xml:space="preserve">se of </w:t>
      </w:r>
      <w:r w:rsidR="62FA4C66" w:rsidRPr="005A6BA1">
        <w:t xml:space="preserve">the </w:t>
      </w:r>
      <w:r w:rsidR="00FA4864" w:rsidRPr="005A6BA1">
        <w:t>comments as a springboard for broader analysis, moving beyond the specific social media ban scenario to explore wider principles and challenges in media regulation.</w:t>
      </w:r>
    </w:p>
    <w:p w14:paraId="69D61259" w14:textId="1FEE19F2" w:rsidR="00FA4864" w:rsidRPr="005A6BA1" w:rsidRDefault="00FA4864" w:rsidP="005A6BA1">
      <w:pPr>
        <w:pStyle w:val="BodyText"/>
      </w:pPr>
      <w:r w:rsidRPr="005A6BA1">
        <w:t xml:space="preserve">Common errors </w:t>
      </w:r>
      <w:r w:rsidR="00687FA7">
        <w:t>included</w:t>
      </w:r>
      <w:r w:rsidRPr="005A6BA1">
        <w:t>:</w:t>
      </w:r>
    </w:p>
    <w:p w14:paraId="2659EC54" w14:textId="0C661BFA" w:rsidR="0094657C" w:rsidRPr="005A6BA1" w:rsidRDefault="007561D7" w:rsidP="005A6BA1">
      <w:pPr>
        <w:pStyle w:val="Bullet"/>
      </w:pPr>
      <w:r>
        <w:t>f</w:t>
      </w:r>
      <w:r w:rsidR="00FA4864" w:rsidRPr="005A6BA1">
        <w:t xml:space="preserve">ew or no specific examples or evidence provided to support claims. </w:t>
      </w:r>
      <w:r w:rsidR="4D82F333" w:rsidRPr="005A6BA1">
        <w:t>These responses r</w:t>
      </w:r>
      <w:r w:rsidR="00FA4864" w:rsidRPr="005A6BA1">
        <w:t>eli</w:t>
      </w:r>
      <w:r w:rsidR="383DFAE3" w:rsidRPr="005A6BA1">
        <w:t xml:space="preserve">ed </w:t>
      </w:r>
      <w:r w:rsidR="00FA4864" w:rsidRPr="005A6BA1">
        <w:t>on general statements rather than concrete examples of laws, regulatory bodies, case studies or research</w:t>
      </w:r>
    </w:p>
    <w:p w14:paraId="443572E9" w14:textId="444C0F1A" w:rsidR="00FA4864" w:rsidRPr="005A6BA1" w:rsidRDefault="007561D7" w:rsidP="005A6BA1">
      <w:pPr>
        <w:pStyle w:val="Bullet"/>
      </w:pPr>
      <w:r>
        <w:t>d</w:t>
      </w:r>
      <w:r w:rsidR="00FA4864" w:rsidRPr="005A6BA1">
        <w:t xml:space="preserve">iscussing general ethical or legal issues in media rather than focusing specifically </w:t>
      </w:r>
      <w:r w:rsidR="428BBB5D" w:rsidRPr="005A6BA1">
        <w:t>on</w:t>
      </w:r>
      <w:r w:rsidR="00FA4864" w:rsidRPr="005A6BA1">
        <w:t xml:space="preserve"> issues and challenges relating to regulation</w:t>
      </w:r>
    </w:p>
    <w:p w14:paraId="70C2A566" w14:textId="34EC24A6" w:rsidR="00FA4864" w:rsidRPr="005A6BA1" w:rsidRDefault="007561D7" w:rsidP="005A6BA1">
      <w:pPr>
        <w:pStyle w:val="Bullet"/>
      </w:pPr>
      <w:r>
        <w:t>s</w:t>
      </w:r>
      <w:r w:rsidR="00FA4864" w:rsidRPr="005A6BA1">
        <w:t>imply retelling or restating what the comments said without adding context, additional information, evidence or analysis</w:t>
      </w:r>
    </w:p>
    <w:p w14:paraId="54C2CE21" w14:textId="6246C3BA" w:rsidR="00FA4864" w:rsidRPr="005A6BA1" w:rsidRDefault="007561D7" w:rsidP="005A6BA1">
      <w:pPr>
        <w:pStyle w:val="Bullet"/>
      </w:pPr>
      <w:r>
        <w:t>p</w:t>
      </w:r>
      <w:r w:rsidR="00FA4864" w:rsidRPr="005A6BA1">
        <w:t xml:space="preserve">roviding only anecdotal ideas or personal opinions without </w:t>
      </w:r>
      <w:r w:rsidR="00A172A4" w:rsidRPr="005A6BA1">
        <w:t>any deeper analytical insight</w:t>
      </w:r>
    </w:p>
    <w:p w14:paraId="51BB5D0E" w14:textId="4FCFA517" w:rsidR="00A172A4" w:rsidRPr="005A6BA1" w:rsidRDefault="007561D7" w:rsidP="005A6BA1">
      <w:pPr>
        <w:pStyle w:val="Bullet"/>
      </w:pPr>
      <w:r>
        <w:t>w</w:t>
      </w:r>
      <w:r w:rsidR="673FB392" w:rsidRPr="005A6BA1">
        <w:t>riting a d</w:t>
      </w:r>
      <w:r w:rsidR="00A172A4" w:rsidRPr="005A6BA1">
        <w:t xml:space="preserve">escription rather than analysis. </w:t>
      </w:r>
      <w:r w:rsidR="06B571E4" w:rsidRPr="005A6BA1">
        <w:t xml:space="preserve">These responses stated </w:t>
      </w:r>
      <w:r w:rsidR="00A172A4" w:rsidRPr="005A6BA1">
        <w:t>what regulations exist</w:t>
      </w:r>
      <w:r w:rsidR="7A4BEDB9" w:rsidRPr="005A6BA1">
        <w:t>ed</w:t>
      </w:r>
      <w:r w:rsidR="00A172A4" w:rsidRPr="005A6BA1">
        <w:t xml:space="preserve"> without explaining why certain regulatory approaches create specific challenges or what this tells us about media regulation more broadly.</w:t>
      </w:r>
    </w:p>
    <w:p w14:paraId="18C2A5B2" w14:textId="13597A92" w:rsidR="00C73E7F" w:rsidRPr="005A6BA1" w:rsidRDefault="00B026D0" w:rsidP="005A6BA1">
      <w:pPr>
        <w:pStyle w:val="BodyText"/>
      </w:pPr>
      <w:r>
        <w:t>The following are examples of high-scoring</w:t>
      </w:r>
      <w:r w:rsidR="00292D81" w:rsidRPr="005A6BA1">
        <w:t xml:space="preserve"> </w:t>
      </w:r>
      <w:r w:rsidR="00B83F42">
        <w:t>r</w:t>
      </w:r>
      <w:r w:rsidR="00292D81" w:rsidRPr="005A6BA1">
        <w:t>esponse</w:t>
      </w:r>
      <w:r>
        <w:t>s:</w:t>
      </w:r>
    </w:p>
    <w:p w14:paraId="3B11C3DD" w14:textId="77777777" w:rsidR="00B026D0" w:rsidRPr="000E289F" w:rsidRDefault="00B026D0" w:rsidP="005A6BA1">
      <w:pPr>
        <w:pStyle w:val="Studentsample"/>
        <w:rPr>
          <w:rStyle w:val="Bold"/>
        </w:rPr>
      </w:pPr>
      <w:r w:rsidRPr="000E289F">
        <w:rPr>
          <w:rStyle w:val="Bold"/>
        </w:rPr>
        <w:t>Example 1</w:t>
      </w:r>
    </w:p>
    <w:p w14:paraId="46E2C00F" w14:textId="6375D8F9" w:rsidR="00292D81" w:rsidRPr="005A6BA1" w:rsidRDefault="00292D81" w:rsidP="005A6BA1">
      <w:pPr>
        <w:pStyle w:val="Studentsample"/>
      </w:pPr>
      <w:r w:rsidRPr="005A6BA1">
        <w:t>Comment 3 discusses issues surrounding the lack of regulation for media companies. In Australia, many media outlets are not held accountable for media misuse, and several factors contribute to this problem.</w:t>
      </w:r>
    </w:p>
    <w:p w14:paraId="03EEE91A" w14:textId="5F440FC0" w:rsidR="00292D81" w:rsidRPr="005A6BA1" w:rsidRDefault="00292D81" w:rsidP="005A6BA1">
      <w:pPr>
        <w:pStyle w:val="Studentsample"/>
      </w:pPr>
      <w:r w:rsidRPr="005A6BA1">
        <w:t xml:space="preserve">In cases such as Budget Direct’s insurance advertisement, which was found to violate multiple Ad Standards codes and deemed </w:t>
      </w:r>
      <w:r w:rsidR="005C6F9E" w:rsidRPr="005A6BA1">
        <w:t>‘</w:t>
      </w:r>
      <w:r w:rsidRPr="005A6BA1">
        <w:t>excessively violent</w:t>
      </w:r>
      <w:r w:rsidR="005C6F9E" w:rsidRPr="005A6BA1">
        <w:t>’</w:t>
      </w:r>
      <w:r w:rsidRPr="005A6BA1">
        <w:t>, it was suggested that the advertisement caused psychological harm to young children. Although the company argued that children were not the target audience, the context in which the advertisement was broadcast resulted in young children making up around 40 percent of the audience, such as during commercial breaks in football games. While the advertisement was eventually edited to remove violent segments, the initial exposure caused lasting harm to young audiences.</w:t>
      </w:r>
    </w:p>
    <w:p w14:paraId="7F714243" w14:textId="66EB53A9" w:rsidR="00292D81" w:rsidRPr="005A6BA1" w:rsidRDefault="00292D81" w:rsidP="005A6BA1">
      <w:pPr>
        <w:pStyle w:val="Studentsample"/>
      </w:pPr>
      <w:r w:rsidRPr="005A6BA1">
        <w:t xml:space="preserve">There are also cases where government bodies have taken little to no action to protect audiences, such as the Kyle and Jackie O show. The Australian Communications and Media Authority (ACMA) received multiple complaints about the show’s </w:t>
      </w:r>
      <w:r w:rsidR="005C6F9E" w:rsidRPr="005A6BA1">
        <w:t>‘</w:t>
      </w:r>
      <w:r w:rsidRPr="005A6BA1">
        <w:t>vulgar</w:t>
      </w:r>
      <w:r w:rsidR="005C6F9E" w:rsidRPr="005A6BA1">
        <w:t>’</w:t>
      </w:r>
      <w:r w:rsidRPr="005A6BA1">
        <w:t xml:space="preserve"> content and found it to be in breach of Code 2.2, which relates to decency standards. Despite this breach, no meaningful consequences followed. The radio station openly ignored and joked about the complaints, highlighting the limited power and enforcement capacity of regulatory bodies such as ACMA.</w:t>
      </w:r>
    </w:p>
    <w:p w14:paraId="370810E8" w14:textId="77777777" w:rsidR="00292D81" w:rsidRPr="005A6BA1" w:rsidRDefault="00292D81" w:rsidP="005A6BA1">
      <w:pPr>
        <w:pStyle w:val="Studentsample"/>
      </w:pPr>
      <w:r w:rsidRPr="005A6BA1">
        <w:t>While this raises questions surrounding freedom of speech, it also results in harm to young children who are exposed to inappropriate content due to insufficient regulation. The Kyle and Jackie O show is broadcast in contexts where young children are commonly present, such as car radios, making exposure difficult to avoid and increasing the risk of long term harm.</w:t>
      </w:r>
    </w:p>
    <w:p w14:paraId="64BA7050" w14:textId="26C9A53C" w:rsidR="00324565" w:rsidRDefault="00292D81" w:rsidP="005A6BA1">
      <w:pPr>
        <w:pStyle w:val="Studentsample"/>
      </w:pPr>
      <w:r w:rsidRPr="005A6BA1">
        <w:t>Overall, if Australia is genuinely committed to protecting young audiences, greater emphasis needs to be placed on holding large media companies accountable, rather than relying on blanket solutions such as banning social media.</w:t>
      </w:r>
    </w:p>
    <w:p w14:paraId="2716DA8C" w14:textId="6BFD3A1F" w:rsidR="007561D7" w:rsidRPr="000E289F" w:rsidRDefault="00B026D0" w:rsidP="00002D11">
      <w:pPr>
        <w:pStyle w:val="Studentsample"/>
        <w:rPr>
          <w:rStyle w:val="Bold"/>
        </w:rPr>
      </w:pPr>
      <w:r w:rsidRPr="000E289F">
        <w:rPr>
          <w:rStyle w:val="Bold"/>
        </w:rPr>
        <w:t>Example 2</w:t>
      </w:r>
    </w:p>
    <w:p w14:paraId="5C24F459" w14:textId="386F7636" w:rsidR="00002D11" w:rsidRPr="00002D11" w:rsidRDefault="00002D11" w:rsidP="00002D11">
      <w:pPr>
        <w:pStyle w:val="Studentsample"/>
      </w:pPr>
      <w:r w:rsidRPr="00002D11">
        <w:t>In the age of web 2.0, society is more connected than ever and is capable to both transmit and receive information through the internet. This has largely been made possible through the rise of social media platforms such as Instagram and TikTok. Platforms used by Australians of all ages. However, despite being rated as 12+ on the Apple App Store, the most recent eSafety report found that 80 percent of children aged 8–12 had social media accounts in 2024. This has raised public concern over the lack of safeguards and corporate digital responsibilities within media institutions.</w:t>
      </w:r>
    </w:p>
    <w:p w14:paraId="10BEF285" w14:textId="77777777" w:rsidR="00002D11" w:rsidRPr="00002D11" w:rsidRDefault="00002D11" w:rsidP="00002D11">
      <w:pPr>
        <w:pStyle w:val="Studentsample"/>
      </w:pPr>
      <w:r w:rsidRPr="00002D11">
        <w:t>In response, the Australian government has posed the Online Safety Amendment Social Media Minimum Age Act 2024, aimed at restricting social media use for Australians under 16.</w:t>
      </w:r>
    </w:p>
    <w:p w14:paraId="086A9948" w14:textId="77777777" w:rsidR="00002D11" w:rsidRPr="00002D11" w:rsidRDefault="00002D11" w:rsidP="00002D11">
      <w:pPr>
        <w:pStyle w:val="Studentsample"/>
      </w:pPr>
      <w:r w:rsidRPr="00002D11">
        <w:lastRenderedPageBreak/>
        <w:t>Although widely supported among parents in the Australian public, the extremity of such a ban may result in complicating issues regarding mental health and socialisation. Particularly, social media apps such as Instagram are the primary form of non face to face communication for teens, and applying such strict regulation raises concern over decreased socialisation. Executive director of Suicide Australia, Christine Morgan, provided a statement that bans present the risk of exacerbating feelings of isolation and loneliness, suggesting that the sentiment of Comment 2 that does not view digital connectivity and social media as not bad for all kids. Therefore, a more beneficial route of regulation may lie in addressing the root causes of social media overuse, rather than banning it altogether.</w:t>
      </w:r>
    </w:p>
    <w:p w14:paraId="7C872523" w14:textId="77777777" w:rsidR="00002D11" w:rsidRPr="00002D11" w:rsidRDefault="00002D11" w:rsidP="00002D11">
      <w:pPr>
        <w:pStyle w:val="Studentsample"/>
      </w:pPr>
      <w:r w:rsidRPr="00002D11">
        <w:t>Subsequently, Comment 3 notes that global media platforms are far less regulated in Australia. An example of this is misinformation spread across international platforms are not subject to the Australian jurisdiction or enforcement, leading to a lack of agency and control. As TikTok circumvents Australian laws through its global content servers, audiences have no agency over personal content pushed to them via algorithmic recommendations. This supports the notion that while Australian governments attempt regulation, global media institutions maintain control over audiences.</w:t>
      </w:r>
    </w:p>
    <w:p w14:paraId="67A8A294" w14:textId="77777777" w:rsidR="00002D11" w:rsidRPr="00002D11" w:rsidRDefault="00002D11" w:rsidP="00002D11">
      <w:pPr>
        <w:pStyle w:val="Studentsample"/>
      </w:pPr>
      <w:r w:rsidRPr="00002D11">
        <w:t>In conclusion, whilst the Online Safety Amendment is a forward step in addressing the concerns of regulating social media, a more effective approach would be more collaborative to address the multifaceted causes of present issues.</w:t>
      </w:r>
    </w:p>
    <w:p w14:paraId="07E7F693" w14:textId="4B71F323" w:rsidR="00002D11" w:rsidRPr="003C5776" w:rsidRDefault="00002D11" w:rsidP="005A6BA1">
      <w:pPr>
        <w:pStyle w:val="Studentsample"/>
      </w:pPr>
    </w:p>
    <w:sectPr w:rsidR="00002D11" w:rsidRPr="003C5776"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EA14" w14:textId="77777777" w:rsidR="00E605C8" w:rsidRDefault="00E605C8" w:rsidP="00304EA1">
      <w:pPr>
        <w:spacing w:after="0" w:line="240" w:lineRule="auto"/>
      </w:pPr>
      <w:r>
        <w:separator/>
      </w:r>
    </w:p>
  </w:endnote>
  <w:endnote w:type="continuationSeparator" w:id="0">
    <w:p w14:paraId="1505BD3D" w14:textId="77777777" w:rsidR="00E605C8" w:rsidRDefault="00E605C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5FD6A" w14:textId="77777777" w:rsidR="00E605C8" w:rsidRDefault="00E605C8" w:rsidP="00304EA1">
      <w:pPr>
        <w:spacing w:after="0" w:line="240" w:lineRule="auto"/>
      </w:pPr>
      <w:r>
        <w:separator/>
      </w:r>
    </w:p>
  </w:footnote>
  <w:footnote w:type="continuationSeparator" w:id="0">
    <w:p w14:paraId="7A126F2D" w14:textId="77777777" w:rsidR="00E605C8" w:rsidRDefault="00E605C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6E4DC87" w:rsidR="00FD29D3" w:rsidRPr="002B0664" w:rsidRDefault="005E79D0" w:rsidP="00D86DE4">
    <w:pPr>
      <w:pStyle w:val="Captionsandfootnotes"/>
      <w:rPr>
        <w:color w:val="auto"/>
      </w:rPr>
    </w:pPr>
    <w:r>
      <w:rPr>
        <w:color w:val="auto"/>
      </w:rPr>
      <w:t>2025 VCE Media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A6918"/>
    <w:multiLevelType w:val="multilevel"/>
    <w:tmpl w:val="F99C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6C30FE"/>
    <w:multiLevelType w:val="multilevel"/>
    <w:tmpl w:val="7FF8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E1258"/>
    <w:multiLevelType w:val="multilevel"/>
    <w:tmpl w:val="B75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7358C"/>
    <w:multiLevelType w:val="hybridMultilevel"/>
    <w:tmpl w:val="025E1C3C"/>
    <w:lvl w:ilvl="0" w:tplc="41FE1070">
      <w:start w:val="2025"/>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B7469"/>
    <w:multiLevelType w:val="multilevel"/>
    <w:tmpl w:val="5AC2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9C832F5"/>
    <w:multiLevelType w:val="multilevel"/>
    <w:tmpl w:val="4E24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A249F"/>
    <w:multiLevelType w:val="multilevel"/>
    <w:tmpl w:val="4DC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2872B6C"/>
    <w:multiLevelType w:val="hybridMultilevel"/>
    <w:tmpl w:val="BC5C93E0"/>
    <w:lvl w:ilvl="0" w:tplc="71B4788C">
      <w:start w:val="1"/>
      <w:numFmt w:val="bullet"/>
      <w:pStyle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67D06283"/>
    <w:multiLevelType w:val="multilevel"/>
    <w:tmpl w:val="0D4A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59443E"/>
    <w:multiLevelType w:val="multilevel"/>
    <w:tmpl w:val="6762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410E64"/>
    <w:multiLevelType w:val="multilevel"/>
    <w:tmpl w:val="654C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DC0D42"/>
    <w:multiLevelType w:val="multilevel"/>
    <w:tmpl w:val="AD5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F5DD6"/>
    <w:multiLevelType w:val="multilevel"/>
    <w:tmpl w:val="3C52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764004">
    <w:abstractNumId w:val="22"/>
  </w:num>
  <w:num w:numId="2" w16cid:durableId="1678000311">
    <w:abstractNumId w:val="20"/>
  </w:num>
  <w:num w:numId="3" w16cid:durableId="1018848057">
    <w:abstractNumId w:val="16"/>
  </w:num>
  <w:num w:numId="4" w16cid:durableId="1304190575">
    <w:abstractNumId w:val="11"/>
  </w:num>
  <w:num w:numId="5" w16cid:durableId="2057312338">
    <w:abstractNumId w:val="21"/>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9"/>
  </w:num>
  <w:num w:numId="17" w16cid:durableId="1535774050">
    <w:abstractNumId w:val="14"/>
  </w:num>
  <w:num w:numId="18" w16cid:durableId="647242734">
    <w:abstractNumId w:val="17"/>
  </w:num>
  <w:num w:numId="19" w16cid:durableId="1989632322">
    <w:abstractNumId w:val="27"/>
  </w:num>
  <w:num w:numId="20" w16cid:durableId="220092377">
    <w:abstractNumId w:val="13"/>
  </w:num>
  <w:num w:numId="21" w16cid:durableId="262495309">
    <w:abstractNumId w:val="15"/>
  </w:num>
  <w:num w:numId="22" w16cid:durableId="727874334">
    <w:abstractNumId w:val="23"/>
  </w:num>
  <w:num w:numId="23" w16cid:durableId="469134669">
    <w:abstractNumId w:val="10"/>
  </w:num>
  <w:num w:numId="24" w16cid:durableId="1209292957">
    <w:abstractNumId w:val="18"/>
  </w:num>
  <w:num w:numId="25" w16cid:durableId="407922797">
    <w:abstractNumId w:val="12"/>
  </w:num>
  <w:num w:numId="26" w16cid:durableId="130710805">
    <w:abstractNumId w:val="24"/>
  </w:num>
  <w:num w:numId="27" w16cid:durableId="936982289">
    <w:abstractNumId w:val="25"/>
  </w:num>
  <w:num w:numId="28" w16cid:durableId="18903432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2D11"/>
    <w:rsid w:val="00003885"/>
    <w:rsid w:val="00012272"/>
    <w:rsid w:val="000172AC"/>
    <w:rsid w:val="00031B11"/>
    <w:rsid w:val="00032AE3"/>
    <w:rsid w:val="00047274"/>
    <w:rsid w:val="00054589"/>
    <w:rsid w:val="0005780E"/>
    <w:rsid w:val="00065CC6"/>
    <w:rsid w:val="00090777"/>
    <w:rsid w:val="000A71F7"/>
    <w:rsid w:val="000D1438"/>
    <w:rsid w:val="000E289F"/>
    <w:rsid w:val="000E50CF"/>
    <w:rsid w:val="000F09E4"/>
    <w:rsid w:val="000F16FD"/>
    <w:rsid w:val="000F3215"/>
    <w:rsid w:val="000F5AAF"/>
    <w:rsid w:val="0011486B"/>
    <w:rsid w:val="00142593"/>
    <w:rsid w:val="00143520"/>
    <w:rsid w:val="00145A23"/>
    <w:rsid w:val="00153AD2"/>
    <w:rsid w:val="00163C68"/>
    <w:rsid w:val="0016777A"/>
    <w:rsid w:val="001779EA"/>
    <w:rsid w:val="001B3D2D"/>
    <w:rsid w:val="001D1E1C"/>
    <w:rsid w:val="001D3246"/>
    <w:rsid w:val="002002C3"/>
    <w:rsid w:val="0021311E"/>
    <w:rsid w:val="002153E8"/>
    <w:rsid w:val="002268D2"/>
    <w:rsid w:val="002279BA"/>
    <w:rsid w:val="0023088E"/>
    <w:rsid w:val="00230FBF"/>
    <w:rsid w:val="002329F3"/>
    <w:rsid w:val="00234B89"/>
    <w:rsid w:val="0024291C"/>
    <w:rsid w:val="00243F0D"/>
    <w:rsid w:val="002457FD"/>
    <w:rsid w:val="00245E96"/>
    <w:rsid w:val="00252DB4"/>
    <w:rsid w:val="00260767"/>
    <w:rsid w:val="002647BB"/>
    <w:rsid w:val="0026544F"/>
    <w:rsid w:val="00273A70"/>
    <w:rsid w:val="002754C1"/>
    <w:rsid w:val="002807B8"/>
    <w:rsid w:val="002841C8"/>
    <w:rsid w:val="0028516B"/>
    <w:rsid w:val="00292D81"/>
    <w:rsid w:val="002A0C8F"/>
    <w:rsid w:val="002A3041"/>
    <w:rsid w:val="002B0664"/>
    <w:rsid w:val="002C6F90"/>
    <w:rsid w:val="002D779B"/>
    <w:rsid w:val="002E4A7F"/>
    <w:rsid w:val="002E4FB5"/>
    <w:rsid w:val="00302FB8"/>
    <w:rsid w:val="00303D19"/>
    <w:rsid w:val="00304EA1"/>
    <w:rsid w:val="00307C43"/>
    <w:rsid w:val="00314D81"/>
    <w:rsid w:val="00315121"/>
    <w:rsid w:val="00322FC6"/>
    <w:rsid w:val="00324565"/>
    <w:rsid w:val="00331F7D"/>
    <w:rsid w:val="0035293F"/>
    <w:rsid w:val="0035746B"/>
    <w:rsid w:val="0035A5D0"/>
    <w:rsid w:val="00365146"/>
    <w:rsid w:val="00371BFE"/>
    <w:rsid w:val="00381C75"/>
    <w:rsid w:val="00386567"/>
    <w:rsid w:val="00391986"/>
    <w:rsid w:val="003979E9"/>
    <w:rsid w:val="003A00B4"/>
    <w:rsid w:val="003A06B2"/>
    <w:rsid w:val="003A38EA"/>
    <w:rsid w:val="003C5776"/>
    <w:rsid w:val="003C5E71"/>
    <w:rsid w:val="003D1682"/>
    <w:rsid w:val="003D5D35"/>
    <w:rsid w:val="003F33F5"/>
    <w:rsid w:val="00405894"/>
    <w:rsid w:val="0041049F"/>
    <w:rsid w:val="00417AA3"/>
    <w:rsid w:val="00425DFE"/>
    <w:rsid w:val="0043212D"/>
    <w:rsid w:val="00434EDB"/>
    <w:rsid w:val="00440B32"/>
    <w:rsid w:val="00456C9D"/>
    <w:rsid w:val="0046078D"/>
    <w:rsid w:val="00476421"/>
    <w:rsid w:val="0048143D"/>
    <w:rsid w:val="0048522D"/>
    <w:rsid w:val="00490D0D"/>
    <w:rsid w:val="00493623"/>
    <w:rsid w:val="00495C80"/>
    <w:rsid w:val="004A2ED8"/>
    <w:rsid w:val="004A3220"/>
    <w:rsid w:val="004B58EE"/>
    <w:rsid w:val="004C7A5A"/>
    <w:rsid w:val="004D5F0A"/>
    <w:rsid w:val="004D7AF0"/>
    <w:rsid w:val="004F2DBC"/>
    <w:rsid w:val="004F44E0"/>
    <w:rsid w:val="004F5BDA"/>
    <w:rsid w:val="004F6214"/>
    <w:rsid w:val="00514F7A"/>
    <w:rsid w:val="0051631E"/>
    <w:rsid w:val="00521179"/>
    <w:rsid w:val="00531DDC"/>
    <w:rsid w:val="00537A1F"/>
    <w:rsid w:val="00544BCD"/>
    <w:rsid w:val="0054517B"/>
    <w:rsid w:val="0054752C"/>
    <w:rsid w:val="0056579D"/>
    <w:rsid w:val="00566029"/>
    <w:rsid w:val="00570262"/>
    <w:rsid w:val="00573A3B"/>
    <w:rsid w:val="00580103"/>
    <w:rsid w:val="005923CB"/>
    <w:rsid w:val="005A6BA1"/>
    <w:rsid w:val="005B391B"/>
    <w:rsid w:val="005B6D1F"/>
    <w:rsid w:val="005C6F9E"/>
    <w:rsid w:val="005D3D78"/>
    <w:rsid w:val="005D6E84"/>
    <w:rsid w:val="005E2EF0"/>
    <w:rsid w:val="005E79D0"/>
    <w:rsid w:val="005F4092"/>
    <w:rsid w:val="005F7C1B"/>
    <w:rsid w:val="00635AB1"/>
    <w:rsid w:val="006837A8"/>
    <w:rsid w:val="0068471E"/>
    <w:rsid w:val="00684F98"/>
    <w:rsid w:val="00687FA7"/>
    <w:rsid w:val="00693FFD"/>
    <w:rsid w:val="00695113"/>
    <w:rsid w:val="006A639A"/>
    <w:rsid w:val="006C467A"/>
    <w:rsid w:val="006D2159"/>
    <w:rsid w:val="006F35B3"/>
    <w:rsid w:val="006F787C"/>
    <w:rsid w:val="00702636"/>
    <w:rsid w:val="007042E8"/>
    <w:rsid w:val="00706040"/>
    <w:rsid w:val="00724507"/>
    <w:rsid w:val="0072616A"/>
    <w:rsid w:val="007351DA"/>
    <w:rsid w:val="00751A7B"/>
    <w:rsid w:val="00756054"/>
    <w:rsid w:val="007561D7"/>
    <w:rsid w:val="00771EC7"/>
    <w:rsid w:val="00773BC1"/>
    <w:rsid w:val="00773E6C"/>
    <w:rsid w:val="00775B6F"/>
    <w:rsid w:val="00781FB1"/>
    <w:rsid w:val="007A18E7"/>
    <w:rsid w:val="007C2C17"/>
    <w:rsid w:val="007C718B"/>
    <w:rsid w:val="007D1B6D"/>
    <w:rsid w:val="007E3136"/>
    <w:rsid w:val="007E427C"/>
    <w:rsid w:val="00800CD8"/>
    <w:rsid w:val="00811E77"/>
    <w:rsid w:val="00813C37"/>
    <w:rsid w:val="008154B5"/>
    <w:rsid w:val="00823962"/>
    <w:rsid w:val="00833A34"/>
    <w:rsid w:val="00850410"/>
    <w:rsid w:val="00850BE8"/>
    <w:rsid w:val="00852719"/>
    <w:rsid w:val="00860115"/>
    <w:rsid w:val="00867501"/>
    <w:rsid w:val="00870A89"/>
    <w:rsid w:val="00886431"/>
    <w:rsid w:val="0088783C"/>
    <w:rsid w:val="00896171"/>
    <w:rsid w:val="0089CF44"/>
    <w:rsid w:val="008A1C5D"/>
    <w:rsid w:val="008A39A2"/>
    <w:rsid w:val="008C207E"/>
    <w:rsid w:val="008F7A4F"/>
    <w:rsid w:val="00906A4F"/>
    <w:rsid w:val="009077FE"/>
    <w:rsid w:val="009132B1"/>
    <w:rsid w:val="009152DE"/>
    <w:rsid w:val="009325D2"/>
    <w:rsid w:val="00934E60"/>
    <w:rsid w:val="009370BC"/>
    <w:rsid w:val="009430E3"/>
    <w:rsid w:val="0094657C"/>
    <w:rsid w:val="00946D3D"/>
    <w:rsid w:val="00961F6B"/>
    <w:rsid w:val="00963EE3"/>
    <w:rsid w:val="0096556B"/>
    <w:rsid w:val="00970580"/>
    <w:rsid w:val="0098739B"/>
    <w:rsid w:val="009A282C"/>
    <w:rsid w:val="009B61E5"/>
    <w:rsid w:val="009D084F"/>
    <w:rsid w:val="009D1E89"/>
    <w:rsid w:val="009D28DE"/>
    <w:rsid w:val="009D74E8"/>
    <w:rsid w:val="009E5707"/>
    <w:rsid w:val="00A00AED"/>
    <w:rsid w:val="00A034F3"/>
    <w:rsid w:val="00A172A4"/>
    <w:rsid w:val="00A17661"/>
    <w:rsid w:val="00A24B2D"/>
    <w:rsid w:val="00A401A4"/>
    <w:rsid w:val="00A40966"/>
    <w:rsid w:val="00A659C9"/>
    <w:rsid w:val="00A83684"/>
    <w:rsid w:val="00A845E8"/>
    <w:rsid w:val="00A921E0"/>
    <w:rsid w:val="00A922F4"/>
    <w:rsid w:val="00AA7969"/>
    <w:rsid w:val="00AB3C1A"/>
    <w:rsid w:val="00AB4C87"/>
    <w:rsid w:val="00AB7532"/>
    <w:rsid w:val="00AC35D6"/>
    <w:rsid w:val="00AC74B7"/>
    <w:rsid w:val="00AD0455"/>
    <w:rsid w:val="00AE0193"/>
    <w:rsid w:val="00AE5526"/>
    <w:rsid w:val="00AF051B"/>
    <w:rsid w:val="00AF450F"/>
    <w:rsid w:val="00B01578"/>
    <w:rsid w:val="00B026D0"/>
    <w:rsid w:val="00B0738F"/>
    <w:rsid w:val="00B07B2F"/>
    <w:rsid w:val="00B13D3B"/>
    <w:rsid w:val="00B230DB"/>
    <w:rsid w:val="00B25AB5"/>
    <w:rsid w:val="00B26601"/>
    <w:rsid w:val="00B41951"/>
    <w:rsid w:val="00B45417"/>
    <w:rsid w:val="00B53229"/>
    <w:rsid w:val="00B62480"/>
    <w:rsid w:val="00B81B70"/>
    <w:rsid w:val="00B83F42"/>
    <w:rsid w:val="00B93C5A"/>
    <w:rsid w:val="00BA51C9"/>
    <w:rsid w:val="00BB133C"/>
    <w:rsid w:val="00BB3BAB"/>
    <w:rsid w:val="00BB512B"/>
    <w:rsid w:val="00BB7413"/>
    <w:rsid w:val="00BD0724"/>
    <w:rsid w:val="00BD1F9E"/>
    <w:rsid w:val="00BD2B91"/>
    <w:rsid w:val="00BE2D24"/>
    <w:rsid w:val="00BE5521"/>
    <w:rsid w:val="00BF0597"/>
    <w:rsid w:val="00BF6C23"/>
    <w:rsid w:val="00BF7A70"/>
    <w:rsid w:val="00C10A8C"/>
    <w:rsid w:val="00C14FFF"/>
    <w:rsid w:val="00C33E8D"/>
    <w:rsid w:val="00C53263"/>
    <w:rsid w:val="00C60CE9"/>
    <w:rsid w:val="00C623B2"/>
    <w:rsid w:val="00C73E7F"/>
    <w:rsid w:val="00C75F1D"/>
    <w:rsid w:val="00C81757"/>
    <w:rsid w:val="00C95156"/>
    <w:rsid w:val="00CA0DC2"/>
    <w:rsid w:val="00CB68E8"/>
    <w:rsid w:val="00CC6FC7"/>
    <w:rsid w:val="00CD6A7F"/>
    <w:rsid w:val="00D003A6"/>
    <w:rsid w:val="00D04F01"/>
    <w:rsid w:val="00D06414"/>
    <w:rsid w:val="00D06ADF"/>
    <w:rsid w:val="00D24E5A"/>
    <w:rsid w:val="00D275DF"/>
    <w:rsid w:val="00D338E4"/>
    <w:rsid w:val="00D35016"/>
    <w:rsid w:val="00D350CB"/>
    <w:rsid w:val="00D44212"/>
    <w:rsid w:val="00D51947"/>
    <w:rsid w:val="00D532F0"/>
    <w:rsid w:val="00D56E0F"/>
    <w:rsid w:val="00D576E5"/>
    <w:rsid w:val="00D61CE3"/>
    <w:rsid w:val="00D76E10"/>
    <w:rsid w:val="00D77413"/>
    <w:rsid w:val="00D77F2E"/>
    <w:rsid w:val="00D82759"/>
    <w:rsid w:val="00D86DE4"/>
    <w:rsid w:val="00D968A3"/>
    <w:rsid w:val="00D96A4C"/>
    <w:rsid w:val="00DC1349"/>
    <w:rsid w:val="00DE1909"/>
    <w:rsid w:val="00DE51DB"/>
    <w:rsid w:val="00DF7107"/>
    <w:rsid w:val="00E050DC"/>
    <w:rsid w:val="00E208DF"/>
    <w:rsid w:val="00E23F1D"/>
    <w:rsid w:val="00E30E05"/>
    <w:rsid w:val="00E36361"/>
    <w:rsid w:val="00E559C9"/>
    <w:rsid w:val="00E55AE9"/>
    <w:rsid w:val="00E605C8"/>
    <w:rsid w:val="00E61572"/>
    <w:rsid w:val="00E71100"/>
    <w:rsid w:val="00E7229D"/>
    <w:rsid w:val="00E82BB5"/>
    <w:rsid w:val="00E86AD2"/>
    <w:rsid w:val="00EA130B"/>
    <w:rsid w:val="00EB0C84"/>
    <w:rsid w:val="00EB1590"/>
    <w:rsid w:val="00EB76AB"/>
    <w:rsid w:val="00EBDCC6"/>
    <w:rsid w:val="00EF52F1"/>
    <w:rsid w:val="00F17FDE"/>
    <w:rsid w:val="00F20F33"/>
    <w:rsid w:val="00F20F96"/>
    <w:rsid w:val="00F40D53"/>
    <w:rsid w:val="00F420F5"/>
    <w:rsid w:val="00F431A4"/>
    <w:rsid w:val="00F4525C"/>
    <w:rsid w:val="00F478A8"/>
    <w:rsid w:val="00F508B5"/>
    <w:rsid w:val="00F50D86"/>
    <w:rsid w:val="00F76B5D"/>
    <w:rsid w:val="00F774AC"/>
    <w:rsid w:val="00FA4268"/>
    <w:rsid w:val="00FA4864"/>
    <w:rsid w:val="00FC5C01"/>
    <w:rsid w:val="00FD29D3"/>
    <w:rsid w:val="00FE3F0B"/>
    <w:rsid w:val="01257686"/>
    <w:rsid w:val="01C0FEB7"/>
    <w:rsid w:val="02D033B1"/>
    <w:rsid w:val="03433D09"/>
    <w:rsid w:val="03761DE4"/>
    <w:rsid w:val="044DC5C4"/>
    <w:rsid w:val="0642C4EC"/>
    <w:rsid w:val="0649F999"/>
    <w:rsid w:val="0652C68D"/>
    <w:rsid w:val="06B571E4"/>
    <w:rsid w:val="07386255"/>
    <w:rsid w:val="078ADA94"/>
    <w:rsid w:val="07E06A19"/>
    <w:rsid w:val="07EA4C73"/>
    <w:rsid w:val="0800A85A"/>
    <w:rsid w:val="084D6652"/>
    <w:rsid w:val="087F6AA2"/>
    <w:rsid w:val="08945500"/>
    <w:rsid w:val="08E58F14"/>
    <w:rsid w:val="090D6794"/>
    <w:rsid w:val="09112E1F"/>
    <w:rsid w:val="098F96CE"/>
    <w:rsid w:val="09C119FA"/>
    <w:rsid w:val="0A8BC4F5"/>
    <w:rsid w:val="0A94D9A8"/>
    <w:rsid w:val="0A96AC81"/>
    <w:rsid w:val="0AD5417F"/>
    <w:rsid w:val="0B7182DD"/>
    <w:rsid w:val="0B733BD6"/>
    <w:rsid w:val="0BAD2B87"/>
    <w:rsid w:val="0BEDB216"/>
    <w:rsid w:val="0C018768"/>
    <w:rsid w:val="0D8C2D0F"/>
    <w:rsid w:val="0DA12737"/>
    <w:rsid w:val="0DAE414E"/>
    <w:rsid w:val="0DF33FCE"/>
    <w:rsid w:val="0E06DE73"/>
    <w:rsid w:val="0E0BAEE7"/>
    <w:rsid w:val="0E19E308"/>
    <w:rsid w:val="0E4E6FC6"/>
    <w:rsid w:val="0E561531"/>
    <w:rsid w:val="0EA8D13D"/>
    <w:rsid w:val="0EAFF374"/>
    <w:rsid w:val="0F1CC79A"/>
    <w:rsid w:val="0F59C0B4"/>
    <w:rsid w:val="0FF61B9F"/>
    <w:rsid w:val="10D1EAA3"/>
    <w:rsid w:val="1190AA2F"/>
    <w:rsid w:val="1218B09B"/>
    <w:rsid w:val="1276B783"/>
    <w:rsid w:val="12A1FFA8"/>
    <w:rsid w:val="12ED7751"/>
    <w:rsid w:val="133D05C6"/>
    <w:rsid w:val="13786781"/>
    <w:rsid w:val="14522897"/>
    <w:rsid w:val="14B55EBC"/>
    <w:rsid w:val="14E541D8"/>
    <w:rsid w:val="15408DC6"/>
    <w:rsid w:val="154472B3"/>
    <w:rsid w:val="15F6E39A"/>
    <w:rsid w:val="168C29F5"/>
    <w:rsid w:val="171063F6"/>
    <w:rsid w:val="195C3B16"/>
    <w:rsid w:val="198DD201"/>
    <w:rsid w:val="19C1235C"/>
    <w:rsid w:val="1AB19A81"/>
    <w:rsid w:val="1ABA191B"/>
    <w:rsid w:val="1B01F04E"/>
    <w:rsid w:val="1B57E002"/>
    <w:rsid w:val="1B804EE1"/>
    <w:rsid w:val="1C5D68BB"/>
    <w:rsid w:val="1C811755"/>
    <w:rsid w:val="1D0C3BC4"/>
    <w:rsid w:val="1E35B3B5"/>
    <w:rsid w:val="1E74C000"/>
    <w:rsid w:val="1E85A418"/>
    <w:rsid w:val="1ED05373"/>
    <w:rsid w:val="1F877669"/>
    <w:rsid w:val="1FBB914B"/>
    <w:rsid w:val="1FD696E4"/>
    <w:rsid w:val="1FEDD81C"/>
    <w:rsid w:val="20885791"/>
    <w:rsid w:val="2122486E"/>
    <w:rsid w:val="2276E21A"/>
    <w:rsid w:val="22FB6841"/>
    <w:rsid w:val="230F5825"/>
    <w:rsid w:val="235C0549"/>
    <w:rsid w:val="2375B2FF"/>
    <w:rsid w:val="2384B4F3"/>
    <w:rsid w:val="244DA1D1"/>
    <w:rsid w:val="248108A3"/>
    <w:rsid w:val="248BAC07"/>
    <w:rsid w:val="24FE35D6"/>
    <w:rsid w:val="251700D9"/>
    <w:rsid w:val="252EB7A6"/>
    <w:rsid w:val="25465C31"/>
    <w:rsid w:val="255777A9"/>
    <w:rsid w:val="265CAD89"/>
    <w:rsid w:val="2681CEBF"/>
    <w:rsid w:val="26BFECB0"/>
    <w:rsid w:val="26FA95D9"/>
    <w:rsid w:val="27AA8BA0"/>
    <w:rsid w:val="27FAF5FF"/>
    <w:rsid w:val="286D32BB"/>
    <w:rsid w:val="288CBECE"/>
    <w:rsid w:val="2896DA99"/>
    <w:rsid w:val="289AB1F7"/>
    <w:rsid w:val="290A5173"/>
    <w:rsid w:val="292EC15D"/>
    <w:rsid w:val="293E10B4"/>
    <w:rsid w:val="2A5347D4"/>
    <w:rsid w:val="2ACB2B72"/>
    <w:rsid w:val="2AD6833C"/>
    <w:rsid w:val="2BE718CB"/>
    <w:rsid w:val="2CF71AA2"/>
    <w:rsid w:val="2D6B439D"/>
    <w:rsid w:val="2E02550E"/>
    <w:rsid w:val="2F5E9A72"/>
    <w:rsid w:val="2FB4BEF9"/>
    <w:rsid w:val="2FC79F1A"/>
    <w:rsid w:val="306DF844"/>
    <w:rsid w:val="30927488"/>
    <w:rsid w:val="309E0B87"/>
    <w:rsid w:val="316A9D46"/>
    <w:rsid w:val="31EC3C6E"/>
    <w:rsid w:val="3292D295"/>
    <w:rsid w:val="32B7CB02"/>
    <w:rsid w:val="33BE4E9F"/>
    <w:rsid w:val="3451524A"/>
    <w:rsid w:val="3498FA8B"/>
    <w:rsid w:val="3540E2D0"/>
    <w:rsid w:val="35893C30"/>
    <w:rsid w:val="358AA372"/>
    <w:rsid w:val="3696F6F2"/>
    <w:rsid w:val="3757BEE8"/>
    <w:rsid w:val="376B65C3"/>
    <w:rsid w:val="37EF946E"/>
    <w:rsid w:val="37F4AB68"/>
    <w:rsid w:val="383DFAE3"/>
    <w:rsid w:val="386E4D88"/>
    <w:rsid w:val="3894922B"/>
    <w:rsid w:val="38E5403A"/>
    <w:rsid w:val="3A0760C9"/>
    <w:rsid w:val="3BAC6344"/>
    <w:rsid w:val="3BF6A6CE"/>
    <w:rsid w:val="3C329CA7"/>
    <w:rsid w:val="3C9A497A"/>
    <w:rsid w:val="3D400DDE"/>
    <w:rsid w:val="3D480323"/>
    <w:rsid w:val="3DB1A686"/>
    <w:rsid w:val="3DCBA891"/>
    <w:rsid w:val="3E0FA909"/>
    <w:rsid w:val="3E1700B9"/>
    <w:rsid w:val="3E41552D"/>
    <w:rsid w:val="3E5287E7"/>
    <w:rsid w:val="3E558378"/>
    <w:rsid w:val="3F20BDE2"/>
    <w:rsid w:val="3F41889B"/>
    <w:rsid w:val="3F7D0594"/>
    <w:rsid w:val="3FF3D371"/>
    <w:rsid w:val="4015576B"/>
    <w:rsid w:val="407ACC8D"/>
    <w:rsid w:val="40FE6190"/>
    <w:rsid w:val="41472303"/>
    <w:rsid w:val="419531FE"/>
    <w:rsid w:val="419DF373"/>
    <w:rsid w:val="4262311F"/>
    <w:rsid w:val="426D958A"/>
    <w:rsid w:val="428BBB5D"/>
    <w:rsid w:val="42CCF325"/>
    <w:rsid w:val="430440EE"/>
    <w:rsid w:val="43B38BBD"/>
    <w:rsid w:val="449413A3"/>
    <w:rsid w:val="44A52FAE"/>
    <w:rsid w:val="454FAE48"/>
    <w:rsid w:val="455AD6CA"/>
    <w:rsid w:val="45946ABD"/>
    <w:rsid w:val="45FA3D06"/>
    <w:rsid w:val="46022238"/>
    <w:rsid w:val="4655ED70"/>
    <w:rsid w:val="466634FB"/>
    <w:rsid w:val="46FC2A0B"/>
    <w:rsid w:val="4789385C"/>
    <w:rsid w:val="4871ED40"/>
    <w:rsid w:val="49067503"/>
    <w:rsid w:val="4B647836"/>
    <w:rsid w:val="4B8A0B90"/>
    <w:rsid w:val="4C837669"/>
    <w:rsid w:val="4CA3672B"/>
    <w:rsid w:val="4CEC901B"/>
    <w:rsid w:val="4CF50D63"/>
    <w:rsid w:val="4D1467C7"/>
    <w:rsid w:val="4D7D525E"/>
    <w:rsid w:val="4D82F333"/>
    <w:rsid w:val="4D8F2F2F"/>
    <w:rsid w:val="4DF348FF"/>
    <w:rsid w:val="4E19DF33"/>
    <w:rsid w:val="4E36D968"/>
    <w:rsid w:val="4F67197A"/>
    <w:rsid w:val="4FAE3842"/>
    <w:rsid w:val="4FC9FEBC"/>
    <w:rsid w:val="506F2AE5"/>
    <w:rsid w:val="51059585"/>
    <w:rsid w:val="51217511"/>
    <w:rsid w:val="51D55816"/>
    <w:rsid w:val="529F25FE"/>
    <w:rsid w:val="5306CF3A"/>
    <w:rsid w:val="53191AB7"/>
    <w:rsid w:val="54461181"/>
    <w:rsid w:val="5464C95B"/>
    <w:rsid w:val="548EF9E7"/>
    <w:rsid w:val="54E64707"/>
    <w:rsid w:val="552E1AE7"/>
    <w:rsid w:val="5540DEE0"/>
    <w:rsid w:val="55A7E83D"/>
    <w:rsid w:val="560CD4C6"/>
    <w:rsid w:val="56485CC3"/>
    <w:rsid w:val="564ACAA9"/>
    <w:rsid w:val="566015DD"/>
    <w:rsid w:val="569484AC"/>
    <w:rsid w:val="56D1DB65"/>
    <w:rsid w:val="56E2CE21"/>
    <w:rsid w:val="56F955FD"/>
    <w:rsid w:val="572B5045"/>
    <w:rsid w:val="57679A99"/>
    <w:rsid w:val="5787092C"/>
    <w:rsid w:val="57B71A87"/>
    <w:rsid w:val="57E5210A"/>
    <w:rsid w:val="57E95A89"/>
    <w:rsid w:val="58020170"/>
    <w:rsid w:val="5803430F"/>
    <w:rsid w:val="584B60E5"/>
    <w:rsid w:val="59099B9B"/>
    <w:rsid w:val="590B6D0A"/>
    <w:rsid w:val="59C98654"/>
    <w:rsid w:val="59F1DCA2"/>
    <w:rsid w:val="5AFA61E2"/>
    <w:rsid w:val="5BA09566"/>
    <w:rsid w:val="5BCD07F9"/>
    <w:rsid w:val="5BF5D5F5"/>
    <w:rsid w:val="5C934A53"/>
    <w:rsid w:val="5CFAE089"/>
    <w:rsid w:val="5DC75E09"/>
    <w:rsid w:val="5E12669E"/>
    <w:rsid w:val="5E1E0754"/>
    <w:rsid w:val="5E328A57"/>
    <w:rsid w:val="5E553D1A"/>
    <w:rsid w:val="5FC97ECE"/>
    <w:rsid w:val="5FDA9AF5"/>
    <w:rsid w:val="600DBC46"/>
    <w:rsid w:val="61AB7EEB"/>
    <w:rsid w:val="621EF07A"/>
    <w:rsid w:val="6249AC45"/>
    <w:rsid w:val="626FEBB6"/>
    <w:rsid w:val="6272D15E"/>
    <w:rsid w:val="62FA4C66"/>
    <w:rsid w:val="63237150"/>
    <w:rsid w:val="634DE1A9"/>
    <w:rsid w:val="637E0E70"/>
    <w:rsid w:val="639F12FF"/>
    <w:rsid w:val="63AAADD7"/>
    <w:rsid w:val="63F759B4"/>
    <w:rsid w:val="64D17FDD"/>
    <w:rsid w:val="65A7072F"/>
    <w:rsid w:val="65FF4A7C"/>
    <w:rsid w:val="66294AAD"/>
    <w:rsid w:val="664945F4"/>
    <w:rsid w:val="6665D72C"/>
    <w:rsid w:val="673FB392"/>
    <w:rsid w:val="6767A474"/>
    <w:rsid w:val="67B32B3B"/>
    <w:rsid w:val="6844C863"/>
    <w:rsid w:val="685324B4"/>
    <w:rsid w:val="686AECCA"/>
    <w:rsid w:val="68A9E7BE"/>
    <w:rsid w:val="68C16B49"/>
    <w:rsid w:val="68C92540"/>
    <w:rsid w:val="6A089959"/>
    <w:rsid w:val="6A1E3928"/>
    <w:rsid w:val="6A354B77"/>
    <w:rsid w:val="6AA8E6F6"/>
    <w:rsid w:val="6B110E3C"/>
    <w:rsid w:val="6C2AD319"/>
    <w:rsid w:val="6CC4EC2F"/>
    <w:rsid w:val="6D012437"/>
    <w:rsid w:val="6D230EDD"/>
    <w:rsid w:val="6D5A00FA"/>
    <w:rsid w:val="6DB36553"/>
    <w:rsid w:val="6DCAC509"/>
    <w:rsid w:val="6E55D9DF"/>
    <w:rsid w:val="6FCBA647"/>
    <w:rsid w:val="6FCE88FC"/>
    <w:rsid w:val="6FDC9CFD"/>
    <w:rsid w:val="700137F6"/>
    <w:rsid w:val="7012DDB8"/>
    <w:rsid w:val="70191D77"/>
    <w:rsid w:val="70A0DF6E"/>
    <w:rsid w:val="70DCAD77"/>
    <w:rsid w:val="71623F56"/>
    <w:rsid w:val="71C1BA89"/>
    <w:rsid w:val="7256B5C5"/>
    <w:rsid w:val="72E24CDF"/>
    <w:rsid w:val="7329778A"/>
    <w:rsid w:val="737F75F6"/>
    <w:rsid w:val="73CD19FA"/>
    <w:rsid w:val="74269DFE"/>
    <w:rsid w:val="744F8894"/>
    <w:rsid w:val="74E126A7"/>
    <w:rsid w:val="752DF82D"/>
    <w:rsid w:val="7567AFC8"/>
    <w:rsid w:val="7627BD31"/>
    <w:rsid w:val="764F6805"/>
    <w:rsid w:val="76553AF0"/>
    <w:rsid w:val="76B45211"/>
    <w:rsid w:val="76BCC6F7"/>
    <w:rsid w:val="76C63E46"/>
    <w:rsid w:val="76D34E6B"/>
    <w:rsid w:val="76E3FD99"/>
    <w:rsid w:val="7747F017"/>
    <w:rsid w:val="77914E56"/>
    <w:rsid w:val="77BA89B1"/>
    <w:rsid w:val="7A0C7934"/>
    <w:rsid w:val="7A4BEDB9"/>
    <w:rsid w:val="7A6177A0"/>
    <w:rsid w:val="7B275CDF"/>
    <w:rsid w:val="7B8709FF"/>
    <w:rsid w:val="7CE60D65"/>
    <w:rsid w:val="7E508D50"/>
    <w:rsid w:val="7ECA9E36"/>
    <w:rsid w:val="7F093835"/>
    <w:rsid w:val="7FE123ED"/>
    <w:rsid w:val="7FF4F03B"/>
    <w:rsid w:val="7FFD5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B512B"/>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C10A8C"/>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Bold">
    <w:name w:val="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BB512B"/>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F2DBC"/>
    <w:pPr>
      <w:spacing w:after="0" w:line="240" w:lineRule="auto"/>
    </w:pPr>
  </w:style>
  <w:style w:type="paragraph" w:customStyle="1" w:styleId="VCAAtablecondensed">
    <w:name w:val="VCAA table condensed"/>
    <w:qFormat/>
    <w:rsid w:val="00CC6FC7"/>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C6FC7"/>
    <w:rPr>
      <w:color w:val="FFFFFF" w:themeColor="background1"/>
    </w:rPr>
  </w:style>
  <w:style w:type="paragraph" w:customStyle="1" w:styleId="VCAAbulletlevel2">
    <w:name w:val="VCAA bullet level 2"/>
    <w:basedOn w:val="Normal"/>
    <w:qFormat/>
    <w:rsid w:val="00CC6FC7"/>
    <w:pPr>
      <w:tabs>
        <w:tab w:val="left" w:pos="425"/>
      </w:tabs>
      <w:spacing w:before="60" w:after="60" w:line="280" w:lineRule="exact"/>
      <w:ind w:left="1381" w:hanging="360"/>
      <w:contextualSpacing/>
    </w:pPr>
    <w:rPr>
      <w:rFonts w:ascii="Arial" w:eastAsia="Times New Roman" w:hAnsi="Arial" w:cs="Arial"/>
      <w:color w:val="000000" w:themeColor="text1"/>
      <w:kern w:val="22"/>
      <w:sz w:val="20"/>
      <w:lang w:val="en-GB" w:eastAsia="ja-JP"/>
    </w:rPr>
  </w:style>
  <w:style w:type="paragraph" w:customStyle="1" w:styleId="VCAAnumbers">
    <w:name w:val="VCAA numbers"/>
    <w:basedOn w:val="Normal"/>
    <w:qFormat/>
    <w:rsid w:val="00CC6FC7"/>
    <w:pPr>
      <w:tabs>
        <w:tab w:val="left" w:pos="425"/>
      </w:tabs>
      <w:spacing w:before="60" w:after="60" w:line="280" w:lineRule="exact"/>
      <w:ind w:left="425" w:hanging="425"/>
      <w:contextualSpacing/>
    </w:pPr>
    <w:rPr>
      <w:rFonts w:ascii="Arial" w:eastAsia="Times New Roman" w:hAnsi="Arial" w:cs="Arial"/>
      <w:color w:val="000000" w:themeColor="text1"/>
      <w:kern w:val="22"/>
      <w:sz w:val="20"/>
      <w:lang w:eastAsia="ja-JP"/>
    </w:rPr>
  </w:style>
  <w:style w:type="table" w:customStyle="1" w:styleId="VCAATableClosed">
    <w:name w:val="VCAA Table Closed"/>
    <w:basedOn w:val="TableNormal"/>
    <w:uiPriority w:val="99"/>
    <w:rsid w:val="00CC6FC7"/>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Emphasis">
    <w:name w:val="Emphasis"/>
    <w:basedOn w:val="DefaultParagraphFont"/>
    <w:uiPriority w:val="20"/>
    <w:qFormat/>
    <w:rsid w:val="00F20F33"/>
    <w:rPr>
      <w:i/>
      <w:iCs/>
    </w:rPr>
  </w:style>
  <w:style w:type="paragraph" w:customStyle="1" w:styleId="Heading2a">
    <w:name w:val="Heading 2a"/>
    <w:basedOn w:val="Heading2"/>
    <w:rsid w:val="005C6F9E"/>
  </w:style>
  <w:style w:type="paragraph" w:customStyle="1" w:styleId="Studentsample">
    <w:name w:val="Student sample"/>
    <w:basedOn w:val="BodyText"/>
    <w:qFormat/>
    <w:rsid w:val="002268D2"/>
    <w:pPr>
      <w:spacing w:line="280" w:lineRule="exact"/>
      <w:ind w:left="284"/>
    </w:pPr>
    <w:rPr>
      <w:i/>
    </w:rPr>
  </w:style>
  <w:style w:type="character" w:customStyle="1" w:styleId="Emphasisbold">
    <w:name w:val="Emphasis (bold)"/>
    <w:basedOn w:val="DefaultParagraphFont"/>
    <w:uiPriority w:val="1"/>
    <w:qFormat/>
    <w:rsid w:val="007561D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0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glossary-command-ter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curriculum/vce-curriculum/vce-study-designs/media/medi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5377</Words>
  <Characters>30653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2025 VCE Media external assessment report</vt:lpstr>
    </vt:vector>
  </TitlesOfParts>
  <Company/>
  <LinksUpToDate>false</LinksUpToDate>
  <CharactersWithSpaces>35959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Media external assessment report</dc:title>
  <dc:creator/>
  <cp:lastModifiedBy/>
  <cp:revision>1</cp:revision>
  <dcterms:created xsi:type="dcterms:W3CDTF">2026-02-10T06:25:00Z</dcterms:created>
  <dcterms:modified xsi:type="dcterms:W3CDTF">2026-02-10T06:28:00Z</dcterms:modified>
</cp:coreProperties>
</file>