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12E5" w14:textId="1BB86393" w:rsidR="003B0BE5" w:rsidRDefault="00DF7107" w:rsidP="00190CC5">
      <w:pPr>
        <w:pStyle w:val="Title"/>
      </w:pPr>
      <w:r>
        <w:t xml:space="preserve">2025 VCE </w:t>
      </w:r>
      <w:r w:rsidR="00631B94">
        <w:t>Music Composition</w:t>
      </w:r>
      <w:r w:rsidR="00AE774A">
        <w:t xml:space="preserve"> </w:t>
      </w:r>
      <w:r w:rsidR="00F738B2">
        <w:t>Exte</w:t>
      </w:r>
      <w:r w:rsidR="00AE774A">
        <w:t>rnally Assessed Task</w:t>
      </w:r>
      <w:r w:rsidR="00F738B2">
        <w:t xml:space="preserve"> </w:t>
      </w:r>
      <w:r>
        <w:t>report</w:t>
      </w:r>
      <w:bookmarkStart w:id="0" w:name="TemplateOverview"/>
      <w:bookmarkEnd w:id="0"/>
    </w:p>
    <w:p w14:paraId="4F1E997C" w14:textId="77777777" w:rsidR="00BD64D6" w:rsidRDefault="00BD64D6" w:rsidP="00BD64D6">
      <w:pPr>
        <w:pStyle w:val="Heading2"/>
      </w:pPr>
      <w:r>
        <w:t>Advice to students and teachers</w:t>
      </w:r>
    </w:p>
    <w:p w14:paraId="4CE0E06A" w14:textId="769FF2DB" w:rsidR="007965FD" w:rsidRDefault="00D47479" w:rsidP="00D47479">
      <w:pPr>
        <w:pStyle w:val="BodyText"/>
      </w:pPr>
      <w:r>
        <w:t>In 2025, students submitted a</w:t>
      </w:r>
      <w:r w:rsidR="00C93578">
        <w:t xml:space="preserve"> wide range of styles and genres for assessment. Compositions ranged from techno, DAW and midi submissions to singer songwriters,</w:t>
      </w:r>
      <w:r w:rsidR="00BE0D9C">
        <w:t xml:space="preserve"> quartets,</w:t>
      </w:r>
      <w:r w:rsidR="00C93578">
        <w:t xml:space="preserve"> chamber groups and full orchestra</w:t>
      </w:r>
      <w:r w:rsidR="1DF61C87">
        <w:t>l</w:t>
      </w:r>
      <w:r w:rsidR="00C93578">
        <w:t xml:space="preserve"> scores. </w:t>
      </w:r>
    </w:p>
    <w:p w14:paraId="14671CE6" w14:textId="61102384" w:rsidR="004A2073" w:rsidRDefault="00C93578" w:rsidP="00741DF1">
      <w:pPr>
        <w:pStyle w:val="BodyText"/>
      </w:pPr>
      <w:r>
        <w:t xml:space="preserve">Students are advised to consider the assessment criteria, </w:t>
      </w:r>
      <w:r w:rsidR="75A291DA">
        <w:t>expected qualities</w:t>
      </w:r>
      <w:r>
        <w:t xml:space="preserve"> and </w:t>
      </w:r>
      <w:r w:rsidR="00BE0D9C">
        <w:t>requirements</w:t>
      </w:r>
      <w:r>
        <w:t xml:space="preserve"> of the task when </w:t>
      </w:r>
      <w:r w:rsidR="00BE0D9C">
        <w:t>choosing</w:t>
      </w:r>
      <w:r>
        <w:t xml:space="preserve"> </w:t>
      </w:r>
      <w:r w:rsidR="00BE0D9C">
        <w:t>to create their final work for submission</w:t>
      </w:r>
      <w:r>
        <w:t xml:space="preserve">. </w:t>
      </w:r>
      <w:r w:rsidR="00D47479">
        <w:t xml:space="preserve">While </w:t>
      </w:r>
      <w:r w:rsidR="00BE0D9C">
        <w:t xml:space="preserve">creativity </w:t>
      </w:r>
      <w:r w:rsidR="00D47479">
        <w:t xml:space="preserve">was evident </w:t>
      </w:r>
      <w:r w:rsidR="00BE0D9C">
        <w:t xml:space="preserve">across a broad range of styles and genres, </w:t>
      </w:r>
      <w:r w:rsidR="0F2BF6CC">
        <w:t>some</w:t>
      </w:r>
      <w:r w:rsidR="00BE0D9C">
        <w:t xml:space="preserve"> submissions</w:t>
      </w:r>
      <w:r>
        <w:t xml:space="preserve"> did not </w:t>
      </w:r>
      <w:r w:rsidR="00C14F16">
        <w:t xml:space="preserve">fully </w:t>
      </w:r>
      <w:r>
        <w:t>address</w:t>
      </w:r>
      <w:r w:rsidR="00BE0D9C">
        <w:t xml:space="preserve"> the assessment criteria or demonstrate an understanding of the required task</w:t>
      </w:r>
      <w:r w:rsidR="00D47479">
        <w:t>,</w:t>
      </w:r>
      <w:r w:rsidR="00490451">
        <w:t xml:space="preserve"> </w:t>
      </w:r>
      <w:r>
        <w:t xml:space="preserve">and therefore </w:t>
      </w:r>
      <w:r w:rsidR="00D47479">
        <w:t xml:space="preserve">did </w:t>
      </w:r>
      <w:r>
        <w:t xml:space="preserve">not </w:t>
      </w:r>
      <w:r w:rsidR="00D47479">
        <w:t>score highly</w:t>
      </w:r>
      <w:r>
        <w:t xml:space="preserve">. </w:t>
      </w:r>
    </w:p>
    <w:p w14:paraId="07B1DFEE" w14:textId="7093896C" w:rsidR="007965FD" w:rsidRDefault="007965FD" w:rsidP="00D47479">
      <w:pPr>
        <w:pStyle w:val="BodyText"/>
      </w:pPr>
      <w:r>
        <w:t>Students are encouraged to</w:t>
      </w:r>
      <w:r w:rsidR="00490451">
        <w:t xml:space="preserve"> </w:t>
      </w:r>
      <w:r w:rsidR="610B5544">
        <w:t xml:space="preserve">maintain </w:t>
      </w:r>
      <w:r>
        <w:t xml:space="preserve">composer </w:t>
      </w:r>
      <w:r w:rsidR="003320DF">
        <w:t xml:space="preserve">journals or folios </w:t>
      </w:r>
      <w:r>
        <w:t>that</w:t>
      </w:r>
      <w:r w:rsidR="00BE0D9C">
        <w:t xml:space="preserve"> </w:t>
      </w:r>
      <w:r w:rsidR="003320DF">
        <w:t>log all decisions made throughout the creative process</w:t>
      </w:r>
      <w:r w:rsidR="00C14F16">
        <w:t xml:space="preserve">. This practice may </w:t>
      </w:r>
      <w:r w:rsidR="00D47479">
        <w:t xml:space="preserve">help </w:t>
      </w:r>
      <w:r w:rsidR="00BE0D9C">
        <w:t>students</w:t>
      </w:r>
      <w:r w:rsidR="00D47479">
        <w:t xml:space="preserve"> to </w:t>
      </w:r>
      <w:r w:rsidR="00BE0D9C">
        <w:t>collat</w:t>
      </w:r>
      <w:r w:rsidR="00D47479">
        <w:t xml:space="preserve">e </w:t>
      </w:r>
      <w:r w:rsidR="00BE0D9C">
        <w:t xml:space="preserve">and collect information for their </w:t>
      </w:r>
      <w:r w:rsidR="00C14F16">
        <w:t xml:space="preserve">final </w:t>
      </w:r>
      <w:r w:rsidR="00BE0D9C">
        <w:t xml:space="preserve">presentation </w:t>
      </w:r>
      <w:r>
        <w:t>of</w:t>
      </w:r>
      <w:r w:rsidR="00BE0D9C">
        <w:t xml:space="preserve"> documentation</w:t>
      </w:r>
      <w:r w:rsidR="00C14F16">
        <w:t xml:space="preserve"> </w:t>
      </w:r>
      <w:r w:rsidR="003320DF">
        <w:t>explaining, describing and discussing the development of the</w:t>
      </w:r>
      <w:r>
        <w:t>ir</w:t>
      </w:r>
      <w:r w:rsidR="003320DF">
        <w:t xml:space="preserve"> creative work</w:t>
      </w:r>
      <w:r>
        <w:t>,</w:t>
      </w:r>
      <w:r w:rsidR="003320DF">
        <w:t xml:space="preserve"> </w:t>
      </w:r>
      <w:r w:rsidR="00C14F16">
        <w:t>including</w:t>
      </w:r>
      <w:r w:rsidR="003320DF">
        <w:t xml:space="preserve"> decisions made throughout the creative process. </w:t>
      </w:r>
      <w:r w:rsidR="00C14F16">
        <w:t xml:space="preserve">It may </w:t>
      </w:r>
      <w:r w:rsidR="003320DF">
        <w:t>also assist students</w:t>
      </w:r>
      <w:r w:rsidR="00C14F16">
        <w:t xml:space="preserve"> </w:t>
      </w:r>
      <w:r>
        <w:t xml:space="preserve">to remain </w:t>
      </w:r>
      <w:r w:rsidR="00C14F16">
        <w:t>on task,</w:t>
      </w:r>
      <w:r w:rsidR="003320DF">
        <w:t xml:space="preserve"> </w:t>
      </w:r>
      <w:r w:rsidR="00C14F16">
        <w:t>ensuring</w:t>
      </w:r>
      <w:r w:rsidR="003320DF">
        <w:t xml:space="preserve"> weekly productivity and ongoing reflection</w:t>
      </w:r>
      <w:r>
        <w:t xml:space="preserve"> of the</w:t>
      </w:r>
      <w:r w:rsidR="00BE0D9C">
        <w:t xml:space="preserve"> </w:t>
      </w:r>
      <w:r w:rsidR="003320DF">
        <w:t>adjustments</w:t>
      </w:r>
      <w:r w:rsidR="00BE0D9C">
        <w:t xml:space="preserve"> </w:t>
      </w:r>
      <w:r w:rsidR="6484AB35">
        <w:t>made</w:t>
      </w:r>
      <w:r w:rsidR="00BE0D9C">
        <w:t xml:space="preserve"> </w:t>
      </w:r>
      <w:r w:rsidR="008B1603">
        <w:t>to</w:t>
      </w:r>
      <w:r w:rsidR="003320DF">
        <w:t xml:space="preserve"> the creative work. </w:t>
      </w:r>
    </w:p>
    <w:p w14:paraId="0025F4A4" w14:textId="7E8F622F" w:rsidR="007965FD" w:rsidRDefault="00E46E7C" w:rsidP="00D47479">
      <w:pPr>
        <w:pStyle w:val="BodyText"/>
      </w:pPr>
      <w:r>
        <w:t>Since</w:t>
      </w:r>
      <w:r w:rsidR="003320DF">
        <w:t xml:space="preserve"> annotations are included in the</w:t>
      </w:r>
      <w:r w:rsidR="007965FD">
        <w:t xml:space="preserve"> </w:t>
      </w:r>
      <w:r w:rsidR="003320DF">
        <w:t>1100-word count</w:t>
      </w:r>
      <w:r w:rsidR="007965FD">
        <w:t>,</w:t>
      </w:r>
      <w:r w:rsidR="00327BD6">
        <w:t xml:space="preserve"> </w:t>
      </w:r>
      <w:r>
        <w:t>stud</w:t>
      </w:r>
      <w:r w:rsidR="0088391B">
        <w:t>e</w:t>
      </w:r>
      <w:r>
        <w:t>nts are advised</w:t>
      </w:r>
      <w:r w:rsidR="003320DF">
        <w:t xml:space="preserve"> that any annotations included in the documentation </w:t>
      </w:r>
      <w:r>
        <w:t xml:space="preserve">should be </w:t>
      </w:r>
      <w:r w:rsidR="003320DF">
        <w:t xml:space="preserve">concise and directly support </w:t>
      </w:r>
      <w:r w:rsidR="007965FD">
        <w:t>their</w:t>
      </w:r>
      <w:r w:rsidR="003320DF">
        <w:t xml:space="preserve"> explanation of intention, </w:t>
      </w:r>
      <w:r w:rsidR="007965FD">
        <w:t xml:space="preserve">the </w:t>
      </w:r>
      <w:r w:rsidR="003320DF">
        <w:t>creative process and</w:t>
      </w:r>
      <w:r w:rsidR="008B1603">
        <w:t xml:space="preserve"> published</w:t>
      </w:r>
      <w:r w:rsidR="003320DF">
        <w:t xml:space="preserve"> outcomes. </w:t>
      </w:r>
      <w:r w:rsidR="00934D6B">
        <w:t>Care should be taken that the documentation does not become a comparison analysis</w:t>
      </w:r>
      <w:r w:rsidR="007965FD">
        <w:t>,</w:t>
      </w:r>
      <w:r>
        <w:t xml:space="preserve"> </w:t>
      </w:r>
      <w:r w:rsidR="008B1603">
        <w:t xml:space="preserve">and </w:t>
      </w:r>
      <w:r w:rsidR="00490451">
        <w:t xml:space="preserve">that it </w:t>
      </w:r>
      <w:r w:rsidR="008B1603">
        <w:t>addresses all</w:t>
      </w:r>
      <w:r w:rsidR="005C7130">
        <w:t xml:space="preserve"> listed</w:t>
      </w:r>
      <w:r w:rsidR="008B1603">
        <w:t xml:space="preserve"> areas of the criteria</w:t>
      </w:r>
      <w:r w:rsidR="00934D6B">
        <w:t xml:space="preserve">. </w:t>
      </w:r>
      <w:r w:rsidR="7EE7A10E">
        <w:t>Some submissions used colour highlights excessively, which did not always provide insight or clarity to the area being highlighted in the documentation.</w:t>
      </w:r>
      <w:r w:rsidR="4D807BB7">
        <w:t xml:space="preserve"> </w:t>
      </w:r>
    </w:p>
    <w:p w14:paraId="736E6816" w14:textId="363E8110" w:rsidR="004A2073" w:rsidRPr="003320DF" w:rsidRDefault="79744E9B" w:rsidP="00741DF1">
      <w:pPr>
        <w:pStyle w:val="BodyText"/>
      </w:pPr>
      <w:r>
        <w:t>Students are reminded to provide a detailed visual representation of their music in a format that is relevant to the style or genre being composed. Students are advised to be careful when submitting electronic scores</w:t>
      </w:r>
      <w:r w:rsidR="00E46E7C">
        <w:t>,</w:t>
      </w:r>
      <w:r>
        <w:t xml:space="preserve"> and </w:t>
      </w:r>
      <w:r w:rsidR="00490451">
        <w:t xml:space="preserve">to </w:t>
      </w:r>
      <w:r>
        <w:t xml:space="preserve">consider how </w:t>
      </w:r>
      <w:r w:rsidR="0088391B">
        <w:t>best to</w:t>
      </w:r>
      <w:r>
        <w:t xml:space="preserve"> represent the reproduction and understanding of the music.</w:t>
      </w:r>
    </w:p>
    <w:p w14:paraId="1C6D7624" w14:textId="5EC2CBCC" w:rsidR="00FD1776" w:rsidRDefault="004A2073" w:rsidP="006A0875">
      <w:pPr>
        <w:pStyle w:val="BodyText"/>
        <w:rPr>
          <w:color w:val="0F7EB4"/>
          <w:sz w:val="48"/>
          <w:szCs w:val="40"/>
        </w:rPr>
      </w:pPr>
      <w:r>
        <w:t xml:space="preserve">Most submissions included </w:t>
      </w:r>
      <w:r w:rsidR="007965FD">
        <w:t xml:space="preserve">an </w:t>
      </w:r>
      <w:r>
        <w:t xml:space="preserve">audio </w:t>
      </w:r>
      <w:r w:rsidR="007965FD">
        <w:t>recording. While</w:t>
      </w:r>
      <w:r w:rsidR="00934D6B">
        <w:t xml:space="preserve"> the audio</w:t>
      </w:r>
      <w:r>
        <w:t xml:space="preserve"> is </w:t>
      </w:r>
      <w:r w:rsidR="007965FD">
        <w:t xml:space="preserve">not </w:t>
      </w:r>
      <w:r w:rsidR="00934D6B">
        <w:t>assessed</w:t>
      </w:r>
      <w:r>
        <w:t xml:space="preserve"> </w:t>
      </w:r>
      <w:r w:rsidR="007965FD">
        <w:t xml:space="preserve">as </w:t>
      </w:r>
      <w:r>
        <w:t xml:space="preserve">part </w:t>
      </w:r>
      <w:r w:rsidRPr="00E46E7C">
        <w:t>of</w:t>
      </w:r>
      <w:r>
        <w:t xml:space="preserve"> the criteria</w:t>
      </w:r>
      <w:r w:rsidR="00934D6B">
        <w:t>,</w:t>
      </w:r>
      <w:r>
        <w:t xml:space="preserve"> care should be taken </w:t>
      </w:r>
      <w:r w:rsidR="00934D6B">
        <w:t>that the recording</w:t>
      </w:r>
      <w:r>
        <w:t xml:space="preserve">, </w:t>
      </w:r>
      <w:r w:rsidR="00934D6B">
        <w:t xml:space="preserve">composition and notation submitted are </w:t>
      </w:r>
      <w:r w:rsidR="00C14F16">
        <w:t>of the</w:t>
      </w:r>
      <w:r w:rsidR="008B1603">
        <w:t xml:space="preserve"> same</w:t>
      </w:r>
      <w:r w:rsidR="00934D6B">
        <w:t xml:space="preserve"> creative </w:t>
      </w:r>
      <w:r>
        <w:t>work</w:t>
      </w:r>
      <w:r w:rsidR="00C14F16">
        <w:t xml:space="preserve"> to </w:t>
      </w:r>
      <w:r w:rsidR="007965FD">
        <w:t>enable</w:t>
      </w:r>
      <w:r w:rsidR="00C14F16">
        <w:t xml:space="preserve"> authentication</w:t>
      </w:r>
      <w:r>
        <w:t>.</w:t>
      </w:r>
      <w:r w:rsidR="005C7130">
        <w:t xml:space="preserve"> </w:t>
      </w:r>
      <w:r w:rsidR="00FD1776">
        <w:br w:type="page"/>
      </w:r>
    </w:p>
    <w:p w14:paraId="187F320C" w14:textId="2CFDB74B" w:rsidR="00AE774A" w:rsidRPr="001549E5" w:rsidRDefault="00AE774A" w:rsidP="001549E5">
      <w:pPr>
        <w:pStyle w:val="Heading2"/>
      </w:pPr>
      <w:r w:rsidRPr="001549E5">
        <w:lastRenderedPageBreak/>
        <w:t>Areas for improvement</w:t>
      </w:r>
    </w:p>
    <w:p w14:paraId="60658F8C" w14:textId="2575B075" w:rsidR="001549E5" w:rsidRDefault="001549E5" w:rsidP="00D47479">
      <w:pPr>
        <w:pStyle w:val="BodyText"/>
      </w:pPr>
      <w:r>
        <w:t xml:space="preserve">Students are advised that compositions </w:t>
      </w:r>
      <w:r w:rsidR="008B1603">
        <w:t>that do not follow traditional structure, form</w:t>
      </w:r>
      <w:r>
        <w:t xml:space="preserve"> or</w:t>
      </w:r>
      <w:r w:rsidR="008B1603">
        <w:t xml:space="preserve"> tonal centres</w:t>
      </w:r>
      <w:r>
        <w:t>,</w:t>
      </w:r>
      <w:r w:rsidR="008B1603">
        <w:t xml:space="preserve"> or </w:t>
      </w:r>
      <w:r w:rsidR="00490451">
        <w:t xml:space="preserve">that </w:t>
      </w:r>
      <w:r w:rsidR="008B1603">
        <w:t xml:space="preserve">deliberately use </w:t>
      </w:r>
      <w:r w:rsidR="005C7130">
        <w:t xml:space="preserve">random </w:t>
      </w:r>
      <w:r w:rsidR="008B1603">
        <w:t>tones,</w:t>
      </w:r>
      <w:r w:rsidR="00490451">
        <w:t xml:space="preserve"> </w:t>
      </w:r>
      <w:r w:rsidR="005C7130">
        <w:t>repetitive</w:t>
      </w:r>
      <w:r w:rsidR="008B1603">
        <w:t xml:space="preserve"> loops or samples, need to clearly articulate these ideas and explain the creative choices in the </w:t>
      </w:r>
      <w:proofErr w:type="spellStart"/>
      <w:r w:rsidR="008B1603">
        <w:t>documentation.This</w:t>
      </w:r>
      <w:proofErr w:type="spellEnd"/>
      <w:r w:rsidR="008B1603">
        <w:t xml:space="preserve"> is an important part of the documentation </w:t>
      </w:r>
      <w:r>
        <w:t xml:space="preserve">as it </w:t>
      </w:r>
      <w:r w:rsidR="008B1603">
        <w:t xml:space="preserve">supports and validates the creative choices </w:t>
      </w:r>
      <w:r>
        <w:t>made</w:t>
      </w:r>
      <w:r w:rsidR="008B1603">
        <w:t xml:space="preserve">. </w:t>
      </w:r>
      <w:r>
        <w:t>Students should</w:t>
      </w:r>
      <w:r w:rsidR="00AC65AE">
        <w:t xml:space="preserve"> clearly link</w:t>
      </w:r>
      <w:r>
        <w:t xml:space="preserve"> documentation</w:t>
      </w:r>
      <w:r w:rsidR="00AC65AE">
        <w:t xml:space="preserve"> to the creative </w:t>
      </w:r>
      <w:r w:rsidR="00FE27C5">
        <w:t xml:space="preserve">work </w:t>
      </w:r>
      <w:r>
        <w:t>by discussing</w:t>
      </w:r>
      <w:r w:rsidR="00FE27C5">
        <w:t xml:space="preserve"> the creative process</w:t>
      </w:r>
      <w:r>
        <w:t>,</w:t>
      </w:r>
      <w:r w:rsidR="00FE27C5">
        <w:t xml:space="preserve"> including trials and </w:t>
      </w:r>
      <w:r w:rsidR="00AC65AE">
        <w:t>decisions</w:t>
      </w:r>
      <w:r w:rsidR="00FE27C5">
        <w:t xml:space="preserve"> made,</w:t>
      </w:r>
      <w:r w:rsidR="00AC65AE">
        <w:t xml:space="preserve"> </w:t>
      </w:r>
      <w:r w:rsidR="00FE27C5">
        <w:t>accompanied by a clear explanation of the compositional intention</w:t>
      </w:r>
      <w:r w:rsidR="00AC65AE">
        <w:t xml:space="preserve">. </w:t>
      </w:r>
    </w:p>
    <w:p w14:paraId="0040ED82" w14:textId="26A5D3A9" w:rsidR="005D0D32" w:rsidRDefault="00253842" w:rsidP="00D47479">
      <w:pPr>
        <w:pStyle w:val="BodyText"/>
      </w:pPr>
      <w:r>
        <w:t>A</w:t>
      </w:r>
      <w:r w:rsidR="001670A4">
        <w:t>ll</w:t>
      </w:r>
      <w:r>
        <w:t xml:space="preserve"> annotated analysis is considered part of the documentation and</w:t>
      </w:r>
      <w:r w:rsidR="008B1603">
        <w:t xml:space="preserve"> </w:t>
      </w:r>
      <w:r w:rsidR="001549E5">
        <w:t xml:space="preserve">is </w:t>
      </w:r>
      <w:r>
        <w:t>included in the total word count</w:t>
      </w:r>
      <w:r w:rsidR="001549E5">
        <w:t>.</w:t>
      </w:r>
      <w:r w:rsidR="004A2073">
        <w:t xml:space="preserve"> </w:t>
      </w:r>
      <w:r w:rsidR="001549E5">
        <w:t>Therefore</w:t>
      </w:r>
      <w:r w:rsidR="004A2073">
        <w:t>,</w:t>
      </w:r>
      <w:r w:rsidR="00490451">
        <w:t xml:space="preserve"> </w:t>
      </w:r>
      <w:r w:rsidR="001549E5">
        <w:t xml:space="preserve">students </w:t>
      </w:r>
      <w:r w:rsidR="00AC65AE">
        <w:t xml:space="preserve">should </w:t>
      </w:r>
      <w:r w:rsidR="001549E5">
        <w:t>consider</w:t>
      </w:r>
      <w:r w:rsidR="00AC65AE">
        <w:t xml:space="preserve"> the relevance of any additional annotations to the creative process </w:t>
      </w:r>
      <w:r w:rsidR="005D0D32">
        <w:t>and avoid inclu</w:t>
      </w:r>
      <w:r w:rsidR="74FBD6B2">
        <w:t>d</w:t>
      </w:r>
      <w:r w:rsidR="005D0D32">
        <w:t>ing</w:t>
      </w:r>
      <w:r w:rsidR="00AC65AE">
        <w:t xml:space="preserve"> unfocused commentary</w:t>
      </w:r>
      <w:r w:rsidR="0F6960A7">
        <w:t xml:space="preserve"> or visuals</w:t>
      </w:r>
      <w:r w:rsidR="001670A4">
        <w:t xml:space="preserve"> and unnecessary work</w:t>
      </w:r>
      <w:r w:rsidR="00AC65AE">
        <w:t>.</w:t>
      </w:r>
      <w:r>
        <w:t xml:space="preserve"> </w:t>
      </w:r>
      <w:r w:rsidR="005D0D32">
        <w:t>Students are advised to</w:t>
      </w:r>
      <w:r w:rsidR="00793A55">
        <w:t xml:space="preserve"> c</w:t>
      </w:r>
      <w:r w:rsidR="003320DF">
        <w:t xml:space="preserve">onsider </w:t>
      </w:r>
      <w:r>
        <w:t>the structure of the documentation</w:t>
      </w:r>
      <w:r w:rsidR="00793A55">
        <w:t xml:space="preserve"> </w:t>
      </w:r>
      <w:r w:rsidR="005D0D32">
        <w:t>so</w:t>
      </w:r>
      <w:r>
        <w:t xml:space="preserve"> that analytical commentary</w:t>
      </w:r>
      <w:r w:rsidR="008B1603">
        <w:t xml:space="preserve"> describes and</w:t>
      </w:r>
      <w:r>
        <w:t xml:space="preserve"> supports, rather than duplicates, the creative process.</w:t>
      </w:r>
      <w:r w:rsidR="00793A55">
        <w:t xml:space="preserve"> </w:t>
      </w:r>
    </w:p>
    <w:p w14:paraId="62AFBB24" w14:textId="3B35A6B7" w:rsidR="00AE774A" w:rsidRPr="00DD3E31" w:rsidRDefault="00941C97" w:rsidP="00741DF1">
      <w:pPr>
        <w:pStyle w:val="BodyText"/>
      </w:pPr>
      <w:r>
        <w:t>S</w:t>
      </w:r>
      <w:r w:rsidR="005D0D32">
        <w:t xml:space="preserve">ubmissions that </w:t>
      </w:r>
      <w:r>
        <w:t>provide</w:t>
      </w:r>
      <w:r w:rsidR="005D0D32">
        <w:t>d</w:t>
      </w:r>
      <w:r>
        <w:t xml:space="preserve"> lyrics and</w:t>
      </w:r>
      <w:r w:rsidR="005D0D32">
        <w:t>/</w:t>
      </w:r>
      <w:r w:rsidR="0046388D">
        <w:t>or</w:t>
      </w:r>
      <w:r>
        <w:t xml:space="preserve"> chord symbols</w:t>
      </w:r>
      <w:r w:rsidR="005D0D32">
        <w:t xml:space="preserve"> did not score highly for </w:t>
      </w:r>
      <w:r w:rsidR="00BE0319">
        <w:t>notation</w:t>
      </w:r>
      <w:r>
        <w:t xml:space="preserve">. </w:t>
      </w:r>
      <w:r w:rsidR="0088391B" w:rsidRPr="0088391B">
        <w:rPr>
          <w:lang w:val="en-US"/>
        </w:rPr>
        <w:t>High-scoring submissions provided a detailed lead sheet or elaborate soundscapes, allowing for accurate reproduction and </w:t>
      </w:r>
      <w:r w:rsidR="0088391B" w:rsidRPr="006A0875">
        <w:rPr>
          <w:lang w:val="en-US"/>
        </w:rPr>
        <w:t>greater understanding of the</w:t>
      </w:r>
      <w:r w:rsidR="0088391B" w:rsidRPr="0088391B">
        <w:rPr>
          <w:lang w:val="en-US"/>
        </w:rPr>
        <w:t> creative work</w:t>
      </w:r>
      <w:r w:rsidR="0046388D">
        <w:t>.</w:t>
      </w:r>
      <w:r>
        <w:t xml:space="preserve"> </w:t>
      </w:r>
    </w:p>
    <w:p w14:paraId="58CC8E41" w14:textId="177A8188" w:rsidR="00042C26" w:rsidRDefault="00D04E0C" w:rsidP="001549E5">
      <w:pPr>
        <w:pStyle w:val="Heading2"/>
      </w:pPr>
      <w:r w:rsidRPr="00D04E0C">
        <w:t xml:space="preserve">Assessment </w:t>
      </w:r>
      <w:r w:rsidRPr="001549E5">
        <w:t>criteria</w:t>
      </w:r>
    </w:p>
    <w:p w14:paraId="3A952C50" w14:textId="2C0A30B4" w:rsidR="004A2073" w:rsidRDefault="004A2073" w:rsidP="00F6601D">
      <w:pPr>
        <w:pStyle w:val="BodyText"/>
      </w:pPr>
      <w:r>
        <w:t xml:space="preserve">The </w:t>
      </w:r>
      <w:r w:rsidRPr="00D47479">
        <w:t xml:space="preserve">student folio </w:t>
      </w:r>
      <w:r w:rsidR="005D0D32">
        <w:t>was</w:t>
      </w:r>
      <w:r w:rsidRPr="00D47479">
        <w:t xml:space="preserve"> assessed </w:t>
      </w:r>
      <w:r w:rsidR="00F6601D">
        <w:t>against three criteria</w:t>
      </w:r>
      <w:r>
        <w:t>:</w:t>
      </w:r>
    </w:p>
    <w:p w14:paraId="07D1C63E" w14:textId="05D19B12" w:rsidR="004A2073" w:rsidRPr="00D47479" w:rsidRDefault="00F6601D" w:rsidP="00741DF1">
      <w:pPr>
        <w:pStyle w:val="Bullet"/>
      </w:pPr>
      <w:bookmarkStart w:id="1" w:name="OLE_LINK12"/>
      <w:bookmarkStart w:id="2" w:name="OLE_LINK11"/>
      <w:r>
        <w:t>the extent to which the student</w:t>
      </w:r>
      <w:r w:rsidRPr="00D47479">
        <w:t xml:space="preserve"> </w:t>
      </w:r>
      <w:r w:rsidR="004A2073" w:rsidRPr="00D47479">
        <w:t>manipulate</w:t>
      </w:r>
      <w:r w:rsidR="004B243D">
        <w:t>d</w:t>
      </w:r>
      <w:r w:rsidR="004A2073" w:rsidRPr="00D47479">
        <w:t xml:space="preserve"> the elements of music and use</w:t>
      </w:r>
      <w:r w:rsidR="004B243D">
        <w:t>d</w:t>
      </w:r>
      <w:r w:rsidR="004A2073" w:rsidRPr="00D47479">
        <w:t xml:space="preserve"> appropriate compositional devices, including repetition, variation, contrast and transition, to develop music ideas and material</w:t>
      </w:r>
    </w:p>
    <w:bookmarkEnd w:id="1"/>
    <w:p w14:paraId="15AEEF73" w14:textId="1DFB25DC" w:rsidR="004A2073" w:rsidRPr="00B230D0" w:rsidRDefault="00F6601D" w:rsidP="00741DF1">
      <w:pPr>
        <w:pStyle w:val="Bullet"/>
        <w:rPr>
          <w:rFonts w:eastAsia="Arial Narrow"/>
        </w:rPr>
      </w:pPr>
      <w:r>
        <w:t>the extent to which the student</w:t>
      </w:r>
      <w:r w:rsidRPr="00D47479">
        <w:t xml:space="preserve"> </w:t>
      </w:r>
      <w:r w:rsidR="004A2073" w:rsidRPr="00D47479">
        <w:t>document</w:t>
      </w:r>
      <w:r w:rsidR="004B243D">
        <w:t>ed</w:t>
      </w:r>
      <w:r w:rsidR="004A2073" w:rsidRPr="00D47479">
        <w:t xml:space="preserve"> and</w:t>
      </w:r>
      <w:r w:rsidR="004A2073" w:rsidRPr="00B230D0">
        <w:t xml:space="preserve"> describe</w:t>
      </w:r>
      <w:r w:rsidR="004B243D">
        <w:t>d</w:t>
      </w:r>
      <w:r w:rsidR="004A2073" w:rsidRPr="00B230D0">
        <w:t xml:space="preserve"> the creative process by</w:t>
      </w:r>
    </w:p>
    <w:p w14:paraId="7324C7B8" w14:textId="46E832CD" w:rsidR="004A2073" w:rsidRPr="00D47479" w:rsidRDefault="004A2073" w:rsidP="004B243D">
      <w:pPr>
        <w:pStyle w:val="Bulletlevel2"/>
      </w:pPr>
      <w:r>
        <w:t>i</w:t>
      </w:r>
      <w:r w:rsidRPr="00B230D0">
        <w:t xml:space="preserve">ncluding an </w:t>
      </w:r>
      <w:r w:rsidRPr="00D47479">
        <w:t xml:space="preserve">outline of the intention and, </w:t>
      </w:r>
      <w:r w:rsidR="009C7C94">
        <w:t>if</w:t>
      </w:r>
      <w:r w:rsidR="009C7C94" w:rsidRPr="00D47479">
        <w:t xml:space="preserve"> </w:t>
      </w:r>
      <w:r w:rsidRPr="00D47479">
        <w:t>appropriate, references to stimulus material</w:t>
      </w:r>
    </w:p>
    <w:p w14:paraId="650EDFD8" w14:textId="54F1C00F" w:rsidR="004A2073" w:rsidRPr="00D47479" w:rsidRDefault="004A2073" w:rsidP="004B243D">
      <w:pPr>
        <w:pStyle w:val="Bulletlevel2"/>
      </w:pPr>
      <w:r w:rsidRPr="00D47479">
        <w:t xml:space="preserve">including an explanation of the development and refinement of the compositional process from conception through to final realisation, including decisions made at different stages </w:t>
      </w:r>
      <w:r w:rsidR="009C7C94">
        <w:t>of</w:t>
      </w:r>
      <w:r w:rsidR="009C7C94" w:rsidRPr="00D47479">
        <w:t xml:space="preserve"> </w:t>
      </w:r>
      <w:r w:rsidRPr="00D47479">
        <w:t>the creative process to achieve unity and diversity</w:t>
      </w:r>
    </w:p>
    <w:p w14:paraId="06AE4102" w14:textId="5961D444" w:rsidR="004A2073" w:rsidRDefault="004B243D" w:rsidP="004B243D">
      <w:pPr>
        <w:pStyle w:val="Bulletlevel2"/>
      </w:pPr>
      <w:r w:rsidRPr="00D47479">
        <w:t>us</w:t>
      </w:r>
      <w:r w:rsidR="00F6601D">
        <w:t>ing</w:t>
      </w:r>
      <w:r w:rsidRPr="00D47479">
        <w:t xml:space="preserve"> </w:t>
      </w:r>
      <w:r w:rsidR="004A2073" w:rsidRPr="00D47479">
        <w:t>appropriate</w:t>
      </w:r>
      <w:r w:rsidR="004A2073" w:rsidRPr="00B230D0">
        <w:t xml:space="preserve"> music terminology and language</w:t>
      </w:r>
    </w:p>
    <w:p w14:paraId="0068E7D4" w14:textId="17B31910" w:rsidR="00D04E0C" w:rsidRPr="00190CC5" w:rsidRDefault="00F6601D" w:rsidP="00741DF1">
      <w:pPr>
        <w:pStyle w:val="Bullet"/>
      </w:pPr>
      <w:r>
        <w:t xml:space="preserve">the extent to which the student </w:t>
      </w:r>
      <w:r w:rsidR="004A2073">
        <w:t>n</w:t>
      </w:r>
      <w:r w:rsidR="004A2073" w:rsidRPr="00B230D0">
        <w:t>otate</w:t>
      </w:r>
      <w:r>
        <w:t>d</w:t>
      </w:r>
      <w:r w:rsidR="004A2073" w:rsidRPr="00B230D0">
        <w:t xml:space="preserve"> and/or represent</w:t>
      </w:r>
      <w:r>
        <w:t>ed</w:t>
      </w:r>
      <w:r w:rsidR="004A2073" w:rsidRPr="00B230D0">
        <w:t xml:space="preserve"> the </w:t>
      </w:r>
      <w:r w:rsidR="005537D1">
        <w:t xml:space="preserve">original </w:t>
      </w:r>
      <w:r w:rsidR="004A2073" w:rsidRPr="00B230D0">
        <w:t xml:space="preserve">musical </w:t>
      </w:r>
      <w:r w:rsidR="005537D1">
        <w:t>work</w:t>
      </w:r>
      <w:r w:rsidR="005537D1" w:rsidRPr="00B230D0">
        <w:t xml:space="preserve"> </w:t>
      </w:r>
      <w:r w:rsidR="004A2073" w:rsidRPr="00B230D0">
        <w:t>in an appropriate format.</w:t>
      </w:r>
      <w:bookmarkEnd w:id="2"/>
    </w:p>
    <w:p w14:paraId="371C8DBD" w14:textId="5AF59C83" w:rsidR="00D04E0C" w:rsidRDefault="00D04E0C" w:rsidP="00253842">
      <w:pPr>
        <w:pStyle w:val="Heading3"/>
      </w:pPr>
      <w:r>
        <w:t xml:space="preserve">Criterion </w:t>
      </w:r>
      <w:r w:rsidR="00253842">
        <w:t>1</w:t>
      </w:r>
      <w:r w:rsidR="00F61419">
        <w:t xml:space="preserve"> –</w:t>
      </w:r>
      <w:r w:rsidR="00F6601D">
        <w:t xml:space="preserve"> </w:t>
      </w:r>
      <w:r w:rsidR="00253842">
        <w:t>Original work</w:t>
      </w:r>
    </w:p>
    <w:p w14:paraId="3F177BE2" w14:textId="4CD5321D" w:rsidR="00F61419" w:rsidRDefault="64FFA6E0" w:rsidP="00D47479">
      <w:pPr>
        <w:pStyle w:val="BodyText"/>
      </w:pPr>
      <w:r>
        <w:t>Original</w:t>
      </w:r>
      <w:r w:rsidR="003B0BE5">
        <w:t xml:space="preserve"> works varied from </w:t>
      </w:r>
      <w:r w:rsidR="00DD3E31">
        <w:t>well-structured</w:t>
      </w:r>
      <w:r w:rsidR="003B0BE5">
        <w:t xml:space="preserve"> </w:t>
      </w:r>
      <w:r w:rsidR="00F61419">
        <w:t xml:space="preserve">and </w:t>
      </w:r>
      <w:r w:rsidR="003B0BE5">
        <w:t>developed melodic ideas that progressed throughout the work to less</w:t>
      </w:r>
      <w:r w:rsidR="00DD3E31">
        <w:t xml:space="preserve"> considered or</w:t>
      </w:r>
      <w:r w:rsidR="003B0BE5">
        <w:t xml:space="preserve"> </w:t>
      </w:r>
      <w:r w:rsidR="001670A4">
        <w:t>complex</w:t>
      </w:r>
      <w:r w:rsidR="003B0BE5">
        <w:t xml:space="preserve"> works. </w:t>
      </w:r>
      <w:r w:rsidR="00F61419">
        <w:t xml:space="preserve">High-scoring compositions </w:t>
      </w:r>
      <w:r w:rsidR="003B0BE5">
        <w:t>demonstrated a clear understanding of t</w:t>
      </w:r>
      <w:r w:rsidR="00F61419">
        <w:t>he t</w:t>
      </w:r>
      <w:r w:rsidR="003B0BE5">
        <w:t>ask</w:t>
      </w:r>
      <w:r w:rsidR="00A81E2B">
        <w:t>,</w:t>
      </w:r>
      <w:r w:rsidR="005537D1">
        <w:t xml:space="preserve"> </w:t>
      </w:r>
      <w:r w:rsidR="003B0BE5">
        <w:t xml:space="preserve">and </w:t>
      </w:r>
      <w:r w:rsidR="00DD3E31">
        <w:t>creatively</w:t>
      </w:r>
      <w:r w:rsidR="003B0BE5">
        <w:t xml:space="preserve"> manipulated music elements and compositional devices. </w:t>
      </w:r>
      <w:r w:rsidR="00A81E2B">
        <w:t>M</w:t>
      </w:r>
      <w:r w:rsidR="00F61419">
        <w:t>otives</w:t>
      </w:r>
      <w:r w:rsidR="003B0BE5">
        <w:t>, cells</w:t>
      </w:r>
      <w:r w:rsidR="00F61419">
        <w:t xml:space="preserve"> and </w:t>
      </w:r>
      <w:r w:rsidR="003B0BE5">
        <w:t xml:space="preserve">rhythmic patterns consistently worked and developed across the </w:t>
      </w:r>
      <w:r w:rsidR="00DD3E31">
        <w:t>entire</w:t>
      </w:r>
      <w:r w:rsidR="003B0BE5">
        <w:t xml:space="preserve"> </w:t>
      </w:r>
      <w:r w:rsidR="00DD3E31">
        <w:t>composition</w:t>
      </w:r>
      <w:r w:rsidR="003B0BE5">
        <w:t xml:space="preserve">, transitioned logically, and </w:t>
      </w:r>
      <w:r w:rsidR="00DD3E31">
        <w:t>sequenced</w:t>
      </w:r>
      <w:r w:rsidR="003B0BE5">
        <w:t xml:space="preserve"> climaxes and pacing,</w:t>
      </w:r>
      <w:r w:rsidR="00DD3E31">
        <w:t xml:space="preserve"> </w:t>
      </w:r>
      <w:r w:rsidR="00F61419">
        <w:t xml:space="preserve">demonstrating </w:t>
      </w:r>
      <w:r w:rsidR="00DD3E31">
        <w:t>an understanding of the task and assessment criteria</w:t>
      </w:r>
      <w:r w:rsidR="003B0BE5">
        <w:t xml:space="preserve">. </w:t>
      </w:r>
    </w:p>
    <w:p w14:paraId="7364FB8C" w14:textId="3BFB7B95" w:rsidR="00F61419" w:rsidRDefault="003B0BE5" w:rsidP="00D47479">
      <w:pPr>
        <w:pStyle w:val="BodyText"/>
      </w:pPr>
      <w:r>
        <w:t xml:space="preserve">Most </w:t>
      </w:r>
      <w:r w:rsidR="00A81E2B">
        <w:t xml:space="preserve">compositions </w:t>
      </w:r>
      <w:r>
        <w:t>demonstrated a knowledge of scal</w:t>
      </w:r>
      <w:r w:rsidR="2FFFE912">
        <w:t>ic</w:t>
      </w:r>
      <w:r w:rsidR="00327BD6">
        <w:t xml:space="preserve"> </w:t>
      </w:r>
      <w:r>
        <w:t>or triadic lines</w:t>
      </w:r>
      <w:r w:rsidR="00F61419">
        <w:t>,</w:t>
      </w:r>
      <w:r>
        <w:t xml:space="preserve"> with high</w:t>
      </w:r>
      <w:r w:rsidR="00F61419">
        <w:t>-scoring</w:t>
      </w:r>
      <w:r>
        <w:t xml:space="preserve"> works extend</w:t>
      </w:r>
      <w:r w:rsidR="00DD3E31">
        <w:t>ing</w:t>
      </w:r>
      <w:r>
        <w:t xml:space="preserve"> beyond these</w:t>
      </w:r>
      <w:r w:rsidR="00DD3E31">
        <w:t xml:space="preserve"> rudimentary</w:t>
      </w:r>
      <w:r>
        <w:t xml:space="preserve"> skills</w:t>
      </w:r>
      <w:r w:rsidR="00F61419">
        <w:t xml:space="preserve"> by seamlessly </w:t>
      </w:r>
      <w:r>
        <w:t>incorporating extended chords, non</w:t>
      </w:r>
      <w:r w:rsidRPr="2E4B65F4">
        <w:rPr>
          <w:rFonts w:ascii="Cambria Math" w:hAnsi="Cambria Math" w:cs="Cambria Math"/>
        </w:rPr>
        <w:t>‑</w:t>
      </w:r>
      <w:r>
        <w:t>diatonic progressions, modal mixture, pedal points</w:t>
      </w:r>
      <w:r w:rsidR="00A81E2B">
        <w:t>,</w:t>
      </w:r>
      <w:r>
        <w:t xml:space="preserve"> or shifting tonal centres to create tension, colour and expressive nuance. </w:t>
      </w:r>
      <w:r w:rsidR="00F61419">
        <w:t xml:space="preserve">High-scoring </w:t>
      </w:r>
      <w:r w:rsidR="00DD3E31">
        <w:t xml:space="preserve">compositions </w:t>
      </w:r>
      <w:r w:rsidR="00340374">
        <w:t xml:space="preserve">demonstrated </w:t>
      </w:r>
      <w:r w:rsidR="00DD3E31">
        <w:t>r</w:t>
      </w:r>
      <w:r>
        <w:t xml:space="preserve">hythmic complexities through </w:t>
      </w:r>
      <w:r w:rsidR="00340374">
        <w:t xml:space="preserve">the use of </w:t>
      </w:r>
      <w:r>
        <w:t>displacement</w:t>
      </w:r>
      <w:r w:rsidR="00761BB4">
        <w:t>;</w:t>
      </w:r>
      <w:r>
        <w:t xml:space="preserve"> mixed</w:t>
      </w:r>
      <w:r w:rsidR="5ACAF5A0">
        <w:t>, polyrhythmic</w:t>
      </w:r>
      <w:r>
        <w:t xml:space="preserve"> or changing met</w:t>
      </w:r>
      <w:r w:rsidR="00761BB4">
        <w:t>r</w:t>
      </w:r>
      <w:r>
        <w:t>es</w:t>
      </w:r>
      <w:r w:rsidR="00761BB4">
        <w:t>;</w:t>
      </w:r>
      <w:r>
        <w:t xml:space="preserve"> </w:t>
      </w:r>
      <w:r w:rsidR="00340374">
        <w:t xml:space="preserve">and </w:t>
      </w:r>
      <w:r>
        <w:t>contrasting rhythmic roles between parts</w:t>
      </w:r>
      <w:r w:rsidR="00340374">
        <w:t xml:space="preserve"> to </w:t>
      </w:r>
      <w:r>
        <w:t>support</w:t>
      </w:r>
      <w:r w:rsidR="00DD3E31">
        <w:t xml:space="preserve"> </w:t>
      </w:r>
      <w:r>
        <w:t xml:space="preserve">momentum through clear sections, movements or themes. </w:t>
      </w:r>
    </w:p>
    <w:p w14:paraId="27AC0B85" w14:textId="7097B073" w:rsidR="00340374" w:rsidRDefault="003B0BE5" w:rsidP="00D47479">
      <w:pPr>
        <w:pStyle w:val="BodyText"/>
      </w:pPr>
      <w:r>
        <w:t>The use of dynamics varied acro</w:t>
      </w:r>
      <w:r w:rsidR="00DD3E31">
        <w:t>s</w:t>
      </w:r>
      <w:r>
        <w:t>s the cohort. Some students chose not to vary dynamic range intentionally</w:t>
      </w:r>
      <w:r w:rsidR="0088391B">
        <w:t>,</w:t>
      </w:r>
      <w:r w:rsidR="534966FE">
        <w:t xml:space="preserve"> </w:t>
      </w:r>
      <w:r w:rsidR="534966FE" w:rsidRPr="0088391B">
        <w:t xml:space="preserve">which </w:t>
      </w:r>
      <w:r w:rsidR="0088391B" w:rsidRPr="006A0875">
        <w:t>was</w:t>
      </w:r>
      <w:r w:rsidR="534966FE" w:rsidRPr="0088391B">
        <w:t xml:space="preserve"> explained in the documentation</w:t>
      </w:r>
      <w:r w:rsidR="00DD3E31">
        <w:t>, whil</w:t>
      </w:r>
      <w:r w:rsidR="00340374">
        <w:t>e</w:t>
      </w:r>
      <w:r>
        <w:t xml:space="preserve"> others</w:t>
      </w:r>
      <w:r w:rsidR="00DD3E31">
        <w:t xml:space="preserve"> did not include dynamics as an apparent omission.</w:t>
      </w:r>
      <w:r>
        <w:t xml:space="preserve"> </w:t>
      </w:r>
      <w:r w:rsidR="00340374">
        <w:t>High-scoring works</w:t>
      </w:r>
      <w:r>
        <w:t xml:space="preserve"> </w:t>
      </w:r>
      <w:r w:rsidR="00340374">
        <w:t xml:space="preserve">shaped </w:t>
      </w:r>
      <w:r>
        <w:t>dynamics artfully</w:t>
      </w:r>
      <w:r w:rsidR="00340374">
        <w:t>,</w:t>
      </w:r>
      <w:r>
        <w:t xml:space="preserve"> with nuance across phrases and sections highlighting key musical moments. Contrast, variation, repetition and transition were evident at multiple levels.</w:t>
      </w:r>
    </w:p>
    <w:p w14:paraId="19C8B960" w14:textId="41461921" w:rsidR="00340374" w:rsidRDefault="00340374" w:rsidP="00D47479">
      <w:pPr>
        <w:pStyle w:val="BodyText"/>
      </w:pPr>
      <w:r>
        <w:lastRenderedPageBreak/>
        <w:t>Hig</w:t>
      </w:r>
      <w:r w:rsidR="00A56ECC">
        <w:t>h</w:t>
      </w:r>
      <w:r>
        <w:t xml:space="preserve">-scoring </w:t>
      </w:r>
      <w:r w:rsidR="003B0BE5">
        <w:t>works clearly developed and built upon musical ideas</w:t>
      </w:r>
      <w:r>
        <w:t>. Low</w:t>
      </w:r>
      <w:r w:rsidR="00A56ECC">
        <w:t>er</w:t>
      </w:r>
      <w:r>
        <w:t xml:space="preserve">-scoring works did not </w:t>
      </w:r>
      <w:r w:rsidR="007C4695">
        <w:t>demonstra</w:t>
      </w:r>
      <w:r>
        <w:t xml:space="preserve">te </w:t>
      </w:r>
      <w:r w:rsidR="007C4695">
        <w:t>an understanding of how to manipulate</w:t>
      </w:r>
      <w:r w:rsidR="001670A4">
        <w:t xml:space="preserve"> and develop</w:t>
      </w:r>
      <w:r w:rsidR="007C4695">
        <w:t xml:space="preserve"> the devices or elements. </w:t>
      </w:r>
    </w:p>
    <w:p w14:paraId="19C17D1D" w14:textId="6424E8D2" w:rsidR="00547C24" w:rsidRPr="007C4695" w:rsidRDefault="00340374" w:rsidP="00741DF1">
      <w:pPr>
        <w:pStyle w:val="BodyText"/>
      </w:pPr>
      <w:r w:rsidRPr="0088391B">
        <w:t>H</w:t>
      </w:r>
      <w:r w:rsidR="003B0BE5" w:rsidRPr="0088391B">
        <w:t>igh</w:t>
      </w:r>
      <w:r w:rsidRPr="0088391B">
        <w:t>-scoring</w:t>
      </w:r>
      <w:r w:rsidR="003B0BE5" w:rsidRPr="0088391B">
        <w:t xml:space="preserve"> </w:t>
      </w:r>
      <w:r w:rsidR="2B41A1DA" w:rsidRPr="0088391B">
        <w:t xml:space="preserve">creative </w:t>
      </w:r>
      <w:r w:rsidR="003B0BE5" w:rsidRPr="0088391B">
        <w:t>works</w:t>
      </w:r>
      <w:r w:rsidR="007C4695" w:rsidRPr="0088391B">
        <w:t xml:space="preserve"> </w:t>
      </w:r>
      <w:r w:rsidR="003B0BE5" w:rsidRPr="0088391B">
        <w:t>linked</w:t>
      </w:r>
      <w:r w:rsidR="1D40D298" w:rsidRPr="0088391B">
        <w:t xml:space="preserve"> </w:t>
      </w:r>
      <w:r w:rsidR="007C4695" w:rsidRPr="0088391B">
        <w:t xml:space="preserve">explicitly </w:t>
      </w:r>
      <w:r w:rsidR="003B0BE5" w:rsidRPr="0088391B">
        <w:t>to the documentation</w:t>
      </w:r>
      <w:r w:rsidRPr="0088391B">
        <w:t>,</w:t>
      </w:r>
      <w:r w:rsidR="003B0BE5" w:rsidRPr="0088391B">
        <w:t xml:space="preserve"> </w:t>
      </w:r>
      <w:r w:rsidR="0088391B">
        <w:t>ranging from</w:t>
      </w:r>
      <w:r w:rsidR="753A6ED2" w:rsidRPr="0088391B">
        <w:t xml:space="preserve"> </w:t>
      </w:r>
      <w:r w:rsidR="003B0BE5" w:rsidRPr="0088391B">
        <w:t>local changes within phrases</w:t>
      </w:r>
      <w:r w:rsidR="003B0BE5">
        <w:t xml:space="preserve"> to large</w:t>
      </w:r>
      <w:r w:rsidR="0088391B">
        <w:t>r</w:t>
      </w:r>
      <w:r w:rsidR="003B0BE5" w:rsidRPr="2E4B65F4">
        <w:rPr>
          <w:rFonts w:ascii="Cambria Math" w:hAnsi="Cambria Math" w:cs="Cambria Math"/>
        </w:rPr>
        <w:t>‑</w:t>
      </w:r>
      <w:r w:rsidR="003B0BE5">
        <w:t>scale sectional differences in</w:t>
      </w:r>
      <w:r w:rsidR="3DC4467C">
        <w:t>cluding</w:t>
      </w:r>
      <w:r w:rsidR="003B0BE5">
        <w:t xml:space="preserve"> tempo, </w:t>
      </w:r>
      <w:r w:rsidR="6F2EE3E3">
        <w:t>tonality/</w:t>
      </w:r>
      <w:r w:rsidR="003B0BE5">
        <w:t>key, texture, dynamic</w:t>
      </w:r>
      <w:r w:rsidR="007C4695">
        <w:t>s,</w:t>
      </w:r>
      <w:r w:rsidR="003B0BE5">
        <w:t xml:space="preserve"> </w:t>
      </w:r>
      <w:r w:rsidR="089A4803">
        <w:t xml:space="preserve">instrument </w:t>
      </w:r>
      <w:r w:rsidR="003B0BE5">
        <w:t>r</w:t>
      </w:r>
      <w:r w:rsidR="007C4695">
        <w:t>ange</w:t>
      </w:r>
      <w:r w:rsidR="003B0BE5">
        <w:t xml:space="preserve"> and tone colour. </w:t>
      </w:r>
      <w:r>
        <w:tab/>
      </w:r>
    </w:p>
    <w:p w14:paraId="74CF8FDA" w14:textId="253D14D0" w:rsidR="00D04E0C" w:rsidRDefault="00D04E0C" w:rsidP="00D04E0C">
      <w:pPr>
        <w:pStyle w:val="Heading3"/>
      </w:pPr>
      <w:r>
        <w:t>Criterion 2</w:t>
      </w:r>
      <w:r w:rsidR="00F61419">
        <w:t xml:space="preserve"> – </w:t>
      </w:r>
      <w:r w:rsidR="00253842">
        <w:t>Documentation</w:t>
      </w:r>
    </w:p>
    <w:tbl>
      <w:tblPr>
        <w:tblStyle w:val="VCAATableClosed1"/>
        <w:tblW w:w="10016" w:type="dxa"/>
        <w:tblLayout w:type="fixed"/>
        <w:tblLook w:val="04A0" w:firstRow="1" w:lastRow="0" w:firstColumn="1" w:lastColumn="0" w:noHBand="0" w:noVBand="1"/>
      </w:tblPr>
      <w:tblGrid>
        <w:gridCol w:w="706"/>
        <w:gridCol w:w="442"/>
        <w:gridCol w:w="442"/>
        <w:gridCol w:w="442"/>
        <w:gridCol w:w="442"/>
        <w:gridCol w:w="442"/>
        <w:gridCol w:w="443"/>
        <w:gridCol w:w="442"/>
        <w:gridCol w:w="442"/>
        <w:gridCol w:w="442"/>
        <w:gridCol w:w="442"/>
        <w:gridCol w:w="443"/>
        <w:gridCol w:w="454"/>
        <w:gridCol w:w="454"/>
        <w:gridCol w:w="442"/>
        <w:gridCol w:w="442"/>
        <w:gridCol w:w="443"/>
        <w:gridCol w:w="442"/>
        <w:gridCol w:w="442"/>
        <w:gridCol w:w="442"/>
        <w:gridCol w:w="442"/>
        <w:gridCol w:w="443"/>
      </w:tblGrid>
      <w:tr w:rsidR="005A5251" w:rsidRPr="00626839" w14:paraId="52039EBA" w14:textId="77777777" w:rsidTr="00CD5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6" w:type="dxa"/>
          </w:tcPr>
          <w:p w14:paraId="76D94FDE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Mark</w:t>
            </w:r>
          </w:p>
        </w:tc>
        <w:tc>
          <w:tcPr>
            <w:tcW w:w="442" w:type="dxa"/>
          </w:tcPr>
          <w:p w14:paraId="09D9F562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0</w:t>
            </w:r>
          </w:p>
        </w:tc>
        <w:tc>
          <w:tcPr>
            <w:tcW w:w="442" w:type="dxa"/>
          </w:tcPr>
          <w:p w14:paraId="09A75C23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</w:t>
            </w:r>
          </w:p>
        </w:tc>
        <w:tc>
          <w:tcPr>
            <w:tcW w:w="442" w:type="dxa"/>
          </w:tcPr>
          <w:p w14:paraId="748672A5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2</w:t>
            </w:r>
          </w:p>
        </w:tc>
        <w:tc>
          <w:tcPr>
            <w:tcW w:w="442" w:type="dxa"/>
          </w:tcPr>
          <w:p w14:paraId="64E90C2A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3</w:t>
            </w:r>
          </w:p>
        </w:tc>
        <w:tc>
          <w:tcPr>
            <w:tcW w:w="442" w:type="dxa"/>
          </w:tcPr>
          <w:p w14:paraId="5B849A92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4</w:t>
            </w:r>
          </w:p>
        </w:tc>
        <w:tc>
          <w:tcPr>
            <w:tcW w:w="443" w:type="dxa"/>
          </w:tcPr>
          <w:p w14:paraId="092AC1C9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5</w:t>
            </w:r>
          </w:p>
        </w:tc>
        <w:tc>
          <w:tcPr>
            <w:tcW w:w="442" w:type="dxa"/>
          </w:tcPr>
          <w:p w14:paraId="48590154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6</w:t>
            </w:r>
          </w:p>
        </w:tc>
        <w:tc>
          <w:tcPr>
            <w:tcW w:w="442" w:type="dxa"/>
          </w:tcPr>
          <w:p w14:paraId="1994CE08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7</w:t>
            </w:r>
          </w:p>
        </w:tc>
        <w:tc>
          <w:tcPr>
            <w:tcW w:w="442" w:type="dxa"/>
          </w:tcPr>
          <w:p w14:paraId="7CB0CC90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8</w:t>
            </w:r>
          </w:p>
        </w:tc>
        <w:tc>
          <w:tcPr>
            <w:tcW w:w="442" w:type="dxa"/>
          </w:tcPr>
          <w:p w14:paraId="25A4B157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9</w:t>
            </w:r>
          </w:p>
        </w:tc>
        <w:tc>
          <w:tcPr>
            <w:tcW w:w="443" w:type="dxa"/>
          </w:tcPr>
          <w:p w14:paraId="3A342834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10</w:t>
            </w:r>
          </w:p>
        </w:tc>
        <w:tc>
          <w:tcPr>
            <w:tcW w:w="454" w:type="dxa"/>
          </w:tcPr>
          <w:p w14:paraId="7DF7254F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11</w:t>
            </w:r>
          </w:p>
        </w:tc>
        <w:tc>
          <w:tcPr>
            <w:tcW w:w="454" w:type="dxa"/>
          </w:tcPr>
          <w:p w14:paraId="0D5F406A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12</w:t>
            </w:r>
          </w:p>
        </w:tc>
        <w:tc>
          <w:tcPr>
            <w:tcW w:w="442" w:type="dxa"/>
          </w:tcPr>
          <w:p w14:paraId="1A36C79A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13</w:t>
            </w:r>
          </w:p>
        </w:tc>
        <w:tc>
          <w:tcPr>
            <w:tcW w:w="442" w:type="dxa"/>
          </w:tcPr>
          <w:p w14:paraId="42940F0D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14</w:t>
            </w:r>
          </w:p>
        </w:tc>
        <w:tc>
          <w:tcPr>
            <w:tcW w:w="443" w:type="dxa"/>
          </w:tcPr>
          <w:p w14:paraId="451230BA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15</w:t>
            </w:r>
          </w:p>
        </w:tc>
        <w:tc>
          <w:tcPr>
            <w:tcW w:w="442" w:type="dxa"/>
          </w:tcPr>
          <w:p w14:paraId="65E42297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16</w:t>
            </w:r>
          </w:p>
        </w:tc>
        <w:tc>
          <w:tcPr>
            <w:tcW w:w="442" w:type="dxa"/>
          </w:tcPr>
          <w:p w14:paraId="7C0FDE95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17</w:t>
            </w:r>
          </w:p>
        </w:tc>
        <w:tc>
          <w:tcPr>
            <w:tcW w:w="442" w:type="dxa"/>
          </w:tcPr>
          <w:p w14:paraId="07DAF145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18</w:t>
            </w:r>
          </w:p>
        </w:tc>
        <w:tc>
          <w:tcPr>
            <w:tcW w:w="442" w:type="dxa"/>
          </w:tcPr>
          <w:p w14:paraId="75669032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19</w:t>
            </w:r>
          </w:p>
        </w:tc>
        <w:tc>
          <w:tcPr>
            <w:tcW w:w="443" w:type="dxa"/>
          </w:tcPr>
          <w:p w14:paraId="7AB6CDD7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20</w:t>
            </w:r>
          </w:p>
        </w:tc>
      </w:tr>
      <w:tr w:rsidR="005A5251" w:rsidRPr="00626839" w14:paraId="4D6680D2" w14:textId="77777777" w:rsidTr="00934DFE">
        <w:tc>
          <w:tcPr>
            <w:tcW w:w="706" w:type="dxa"/>
          </w:tcPr>
          <w:p w14:paraId="6FED1584" w14:textId="77777777" w:rsidR="005A5251" w:rsidRPr="00741DF1" w:rsidRDefault="005A5251" w:rsidP="00741DF1">
            <w:pPr>
              <w:pStyle w:val="Tablecondensed"/>
            </w:pPr>
            <w:r w:rsidRPr="00741DF1">
              <w:t>%</w:t>
            </w:r>
          </w:p>
        </w:tc>
        <w:tc>
          <w:tcPr>
            <w:tcW w:w="442" w:type="dxa"/>
            <w:vAlign w:val="bottom"/>
          </w:tcPr>
          <w:p w14:paraId="755F61E2" w14:textId="74F34649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0</w:t>
            </w:r>
          </w:p>
        </w:tc>
        <w:tc>
          <w:tcPr>
            <w:tcW w:w="442" w:type="dxa"/>
            <w:vAlign w:val="bottom"/>
          </w:tcPr>
          <w:p w14:paraId="673B21BF" w14:textId="246D7BF2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0</w:t>
            </w:r>
          </w:p>
        </w:tc>
        <w:tc>
          <w:tcPr>
            <w:tcW w:w="442" w:type="dxa"/>
            <w:vAlign w:val="bottom"/>
          </w:tcPr>
          <w:p w14:paraId="628A85F5" w14:textId="77B249B0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0</w:t>
            </w:r>
          </w:p>
        </w:tc>
        <w:tc>
          <w:tcPr>
            <w:tcW w:w="442" w:type="dxa"/>
            <w:vAlign w:val="bottom"/>
          </w:tcPr>
          <w:p w14:paraId="77420595" w14:textId="63A87A6D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0</w:t>
            </w:r>
          </w:p>
        </w:tc>
        <w:tc>
          <w:tcPr>
            <w:tcW w:w="442" w:type="dxa"/>
            <w:vAlign w:val="bottom"/>
          </w:tcPr>
          <w:p w14:paraId="3ADD0F74" w14:textId="765B1A2F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0</w:t>
            </w:r>
          </w:p>
        </w:tc>
        <w:tc>
          <w:tcPr>
            <w:tcW w:w="443" w:type="dxa"/>
            <w:vAlign w:val="bottom"/>
          </w:tcPr>
          <w:p w14:paraId="4DA6A563" w14:textId="01C072B3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0</w:t>
            </w:r>
          </w:p>
        </w:tc>
        <w:tc>
          <w:tcPr>
            <w:tcW w:w="442" w:type="dxa"/>
            <w:vAlign w:val="bottom"/>
          </w:tcPr>
          <w:p w14:paraId="0D23B56A" w14:textId="59DCA871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0</w:t>
            </w:r>
          </w:p>
        </w:tc>
        <w:tc>
          <w:tcPr>
            <w:tcW w:w="442" w:type="dxa"/>
            <w:vAlign w:val="bottom"/>
          </w:tcPr>
          <w:p w14:paraId="2DF34CF2" w14:textId="2E465485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0</w:t>
            </w:r>
          </w:p>
        </w:tc>
        <w:tc>
          <w:tcPr>
            <w:tcW w:w="442" w:type="dxa"/>
            <w:vAlign w:val="bottom"/>
          </w:tcPr>
          <w:p w14:paraId="69DBA48C" w14:textId="3EE20EFC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0</w:t>
            </w:r>
          </w:p>
        </w:tc>
        <w:tc>
          <w:tcPr>
            <w:tcW w:w="442" w:type="dxa"/>
            <w:vAlign w:val="bottom"/>
          </w:tcPr>
          <w:p w14:paraId="2A447763" w14:textId="33F08209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1</w:t>
            </w:r>
          </w:p>
        </w:tc>
        <w:tc>
          <w:tcPr>
            <w:tcW w:w="443" w:type="dxa"/>
            <w:vAlign w:val="bottom"/>
          </w:tcPr>
          <w:p w14:paraId="1FA4D35B" w14:textId="6131219E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1</w:t>
            </w:r>
          </w:p>
        </w:tc>
        <w:tc>
          <w:tcPr>
            <w:tcW w:w="454" w:type="dxa"/>
            <w:vAlign w:val="bottom"/>
          </w:tcPr>
          <w:p w14:paraId="114CFAFD" w14:textId="1BD705F3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1</w:t>
            </w:r>
          </w:p>
        </w:tc>
        <w:tc>
          <w:tcPr>
            <w:tcW w:w="454" w:type="dxa"/>
            <w:vAlign w:val="bottom"/>
          </w:tcPr>
          <w:p w14:paraId="514586D6" w14:textId="1B887726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4</w:t>
            </w:r>
          </w:p>
        </w:tc>
        <w:tc>
          <w:tcPr>
            <w:tcW w:w="442" w:type="dxa"/>
            <w:vAlign w:val="bottom"/>
          </w:tcPr>
          <w:p w14:paraId="7352B228" w14:textId="57428819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1</w:t>
            </w:r>
          </w:p>
        </w:tc>
        <w:tc>
          <w:tcPr>
            <w:tcW w:w="442" w:type="dxa"/>
            <w:vAlign w:val="bottom"/>
          </w:tcPr>
          <w:p w14:paraId="46899062" w14:textId="0088EE1E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3</w:t>
            </w:r>
          </w:p>
        </w:tc>
        <w:tc>
          <w:tcPr>
            <w:tcW w:w="443" w:type="dxa"/>
            <w:vAlign w:val="bottom"/>
          </w:tcPr>
          <w:p w14:paraId="2674D000" w14:textId="1280C23E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6</w:t>
            </w:r>
          </w:p>
        </w:tc>
        <w:tc>
          <w:tcPr>
            <w:tcW w:w="442" w:type="dxa"/>
            <w:vAlign w:val="bottom"/>
          </w:tcPr>
          <w:p w14:paraId="6A5C6604" w14:textId="0A25F8B5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8</w:t>
            </w:r>
          </w:p>
        </w:tc>
        <w:tc>
          <w:tcPr>
            <w:tcW w:w="442" w:type="dxa"/>
            <w:vAlign w:val="bottom"/>
          </w:tcPr>
          <w:p w14:paraId="75C2955F" w14:textId="67F55D0E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9</w:t>
            </w:r>
          </w:p>
        </w:tc>
        <w:tc>
          <w:tcPr>
            <w:tcW w:w="442" w:type="dxa"/>
            <w:vAlign w:val="bottom"/>
          </w:tcPr>
          <w:p w14:paraId="44E94942" w14:textId="52182AE7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9</w:t>
            </w:r>
          </w:p>
        </w:tc>
        <w:tc>
          <w:tcPr>
            <w:tcW w:w="442" w:type="dxa"/>
            <w:vAlign w:val="bottom"/>
          </w:tcPr>
          <w:p w14:paraId="44AC4A75" w14:textId="2BF2B7C9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3</w:t>
            </w:r>
          </w:p>
        </w:tc>
        <w:tc>
          <w:tcPr>
            <w:tcW w:w="443" w:type="dxa"/>
            <w:vAlign w:val="bottom"/>
          </w:tcPr>
          <w:p w14:paraId="20B15069" w14:textId="121940B5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7</w:t>
            </w:r>
          </w:p>
        </w:tc>
      </w:tr>
    </w:tbl>
    <w:p w14:paraId="7068C65D" w14:textId="77777777" w:rsidR="005A5251" w:rsidRPr="00626839" w:rsidRDefault="005A5251" w:rsidP="005A5251">
      <w:pPr>
        <w:spacing w:after="0"/>
        <w:rPr>
          <w:lang w:val="en-AU"/>
        </w:rPr>
      </w:pPr>
    </w:p>
    <w:tbl>
      <w:tblPr>
        <w:tblStyle w:val="VCAATableClosed1"/>
        <w:tblW w:w="5540" w:type="dxa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864"/>
      </w:tblGrid>
      <w:tr w:rsidR="005A5251" w:rsidRPr="00626839" w14:paraId="2C4822A2" w14:textId="77777777" w:rsidTr="00CD5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" w:type="dxa"/>
          </w:tcPr>
          <w:p w14:paraId="7E8EC1F6" w14:textId="77777777" w:rsidR="005A5251" w:rsidRPr="00741DF1" w:rsidRDefault="005A5251" w:rsidP="00741DF1">
            <w:pPr>
              <w:pStyle w:val="Tablecondensedheading"/>
            </w:pPr>
            <w:r w:rsidRPr="00741DF1">
              <w:t>21</w:t>
            </w:r>
          </w:p>
        </w:tc>
        <w:tc>
          <w:tcPr>
            <w:tcW w:w="467" w:type="dxa"/>
          </w:tcPr>
          <w:p w14:paraId="45B3F506" w14:textId="77777777" w:rsidR="005A5251" w:rsidRPr="00741DF1" w:rsidRDefault="005A5251" w:rsidP="00741DF1">
            <w:pPr>
              <w:pStyle w:val="Tablecondensedheading"/>
            </w:pPr>
            <w:r w:rsidRPr="00741DF1">
              <w:t>22</w:t>
            </w:r>
          </w:p>
        </w:tc>
        <w:tc>
          <w:tcPr>
            <w:tcW w:w="467" w:type="dxa"/>
          </w:tcPr>
          <w:p w14:paraId="23CBCE5C" w14:textId="77777777" w:rsidR="005A5251" w:rsidRPr="00741DF1" w:rsidRDefault="005A5251" w:rsidP="00741DF1">
            <w:pPr>
              <w:pStyle w:val="Tablecondensedheading"/>
            </w:pPr>
            <w:r w:rsidRPr="00741DF1">
              <w:t>23</w:t>
            </w:r>
          </w:p>
        </w:tc>
        <w:tc>
          <w:tcPr>
            <w:tcW w:w="467" w:type="dxa"/>
          </w:tcPr>
          <w:p w14:paraId="5CB85778" w14:textId="77777777" w:rsidR="005A5251" w:rsidRPr="00741DF1" w:rsidRDefault="005A5251" w:rsidP="00741DF1">
            <w:pPr>
              <w:pStyle w:val="Tablecondensedheading"/>
            </w:pPr>
            <w:r w:rsidRPr="00741DF1">
              <w:t>24</w:t>
            </w:r>
          </w:p>
        </w:tc>
        <w:tc>
          <w:tcPr>
            <w:tcW w:w="468" w:type="dxa"/>
          </w:tcPr>
          <w:p w14:paraId="27006B57" w14:textId="77777777" w:rsidR="005A5251" w:rsidRPr="00741DF1" w:rsidRDefault="005A5251" w:rsidP="00741DF1">
            <w:pPr>
              <w:pStyle w:val="Tablecondensedheading"/>
            </w:pPr>
            <w:r w:rsidRPr="00741DF1">
              <w:t>25</w:t>
            </w:r>
          </w:p>
        </w:tc>
        <w:tc>
          <w:tcPr>
            <w:tcW w:w="468" w:type="dxa"/>
          </w:tcPr>
          <w:p w14:paraId="5622ACCA" w14:textId="77777777" w:rsidR="005A5251" w:rsidRPr="00741DF1" w:rsidRDefault="005A5251" w:rsidP="00741DF1">
            <w:pPr>
              <w:pStyle w:val="Tablecondensedheading"/>
            </w:pPr>
            <w:r w:rsidRPr="00741DF1">
              <w:t>26</w:t>
            </w:r>
          </w:p>
        </w:tc>
        <w:tc>
          <w:tcPr>
            <w:tcW w:w="468" w:type="dxa"/>
          </w:tcPr>
          <w:p w14:paraId="0B4BA677" w14:textId="77777777" w:rsidR="005A5251" w:rsidRPr="00741DF1" w:rsidRDefault="005A5251" w:rsidP="00741DF1">
            <w:pPr>
              <w:pStyle w:val="Tablecondensedheading"/>
            </w:pPr>
            <w:r w:rsidRPr="00741DF1">
              <w:t>27</w:t>
            </w:r>
          </w:p>
        </w:tc>
        <w:tc>
          <w:tcPr>
            <w:tcW w:w="468" w:type="dxa"/>
          </w:tcPr>
          <w:p w14:paraId="703DD7FA" w14:textId="77777777" w:rsidR="005A5251" w:rsidRPr="00741DF1" w:rsidRDefault="005A5251" w:rsidP="00741DF1">
            <w:pPr>
              <w:pStyle w:val="Tablecondensedheading"/>
            </w:pPr>
            <w:r w:rsidRPr="00741DF1">
              <w:t>28</w:t>
            </w:r>
          </w:p>
        </w:tc>
        <w:tc>
          <w:tcPr>
            <w:tcW w:w="468" w:type="dxa"/>
          </w:tcPr>
          <w:p w14:paraId="0F938D3B" w14:textId="77777777" w:rsidR="005A5251" w:rsidRPr="00741DF1" w:rsidRDefault="005A5251" w:rsidP="00741DF1">
            <w:pPr>
              <w:pStyle w:val="Tablecondensedheading"/>
            </w:pPr>
            <w:r w:rsidRPr="00741DF1">
              <w:t>29</w:t>
            </w:r>
          </w:p>
        </w:tc>
        <w:tc>
          <w:tcPr>
            <w:tcW w:w="468" w:type="dxa"/>
          </w:tcPr>
          <w:p w14:paraId="2A9DCA34" w14:textId="77777777" w:rsidR="005A5251" w:rsidRPr="00741DF1" w:rsidRDefault="005A5251" w:rsidP="00741DF1">
            <w:pPr>
              <w:pStyle w:val="Tablecondensedheading"/>
            </w:pPr>
            <w:r w:rsidRPr="00741DF1">
              <w:t>30</w:t>
            </w:r>
          </w:p>
        </w:tc>
        <w:tc>
          <w:tcPr>
            <w:tcW w:w="864" w:type="dxa"/>
          </w:tcPr>
          <w:p w14:paraId="02630875" w14:textId="77777777" w:rsidR="005A5251" w:rsidRPr="00741DF1" w:rsidRDefault="005A5251" w:rsidP="00741DF1">
            <w:pPr>
              <w:pStyle w:val="Tablecondensedheading"/>
            </w:pPr>
            <w:r w:rsidRPr="00741DF1">
              <w:t>Average</w:t>
            </w:r>
          </w:p>
        </w:tc>
      </w:tr>
      <w:tr w:rsidR="005A5251" w:rsidRPr="00626839" w14:paraId="28BA9358" w14:textId="77777777" w:rsidTr="003D52BA">
        <w:tc>
          <w:tcPr>
            <w:tcW w:w="467" w:type="dxa"/>
            <w:vAlign w:val="bottom"/>
          </w:tcPr>
          <w:p w14:paraId="6665682F" w14:textId="63B31B01" w:rsidR="005A5251" w:rsidRPr="00741DF1" w:rsidRDefault="005A5251" w:rsidP="00741DF1">
            <w:pPr>
              <w:pStyle w:val="Tablecondensed"/>
            </w:pPr>
            <w:r w:rsidRPr="00D47479">
              <w:t>2</w:t>
            </w:r>
          </w:p>
        </w:tc>
        <w:tc>
          <w:tcPr>
            <w:tcW w:w="467" w:type="dxa"/>
            <w:vAlign w:val="bottom"/>
          </w:tcPr>
          <w:p w14:paraId="5B5AC0EB" w14:textId="071A3003" w:rsidR="005A5251" w:rsidRPr="00741DF1" w:rsidRDefault="005A5251" w:rsidP="00741DF1">
            <w:pPr>
              <w:pStyle w:val="Tablecondensed"/>
            </w:pPr>
            <w:r w:rsidRPr="00D47479">
              <w:t>9</w:t>
            </w:r>
          </w:p>
        </w:tc>
        <w:tc>
          <w:tcPr>
            <w:tcW w:w="467" w:type="dxa"/>
            <w:vAlign w:val="bottom"/>
          </w:tcPr>
          <w:p w14:paraId="43A7DC26" w14:textId="1A455918" w:rsidR="005A5251" w:rsidRPr="00741DF1" w:rsidRDefault="005A5251" w:rsidP="00741DF1">
            <w:pPr>
              <w:pStyle w:val="Tablecondensed"/>
            </w:pPr>
            <w:r w:rsidRPr="00D47479">
              <w:t>5</w:t>
            </w:r>
          </w:p>
        </w:tc>
        <w:tc>
          <w:tcPr>
            <w:tcW w:w="467" w:type="dxa"/>
            <w:vAlign w:val="bottom"/>
          </w:tcPr>
          <w:p w14:paraId="19B58369" w14:textId="16C8BD52" w:rsidR="005A5251" w:rsidRPr="00741DF1" w:rsidRDefault="005A5251" w:rsidP="00741DF1">
            <w:pPr>
              <w:pStyle w:val="Tablecondensed"/>
            </w:pPr>
            <w:r w:rsidRPr="00D47479">
              <w:t>9</w:t>
            </w:r>
          </w:p>
        </w:tc>
        <w:tc>
          <w:tcPr>
            <w:tcW w:w="468" w:type="dxa"/>
            <w:vAlign w:val="bottom"/>
          </w:tcPr>
          <w:p w14:paraId="637F124F" w14:textId="436E09E9" w:rsidR="005A5251" w:rsidRPr="00741DF1" w:rsidRDefault="005A5251" w:rsidP="00741DF1">
            <w:pPr>
              <w:pStyle w:val="Tablecondensed"/>
            </w:pPr>
            <w:r w:rsidRPr="00D47479">
              <w:t>6</w:t>
            </w:r>
          </w:p>
        </w:tc>
        <w:tc>
          <w:tcPr>
            <w:tcW w:w="468" w:type="dxa"/>
            <w:vAlign w:val="bottom"/>
          </w:tcPr>
          <w:p w14:paraId="1CEE3F43" w14:textId="75684510" w:rsidR="005A5251" w:rsidRPr="00741DF1" w:rsidRDefault="005A5251" w:rsidP="00741DF1">
            <w:pPr>
              <w:pStyle w:val="Tablecondensed"/>
            </w:pPr>
            <w:r w:rsidRPr="00D47479">
              <w:t>7</w:t>
            </w:r>
          </w:p>
        </w:tc>
        <w:tc>
          <w:tcPr>
            <w:tcW w:w="468" w:type="dxa"/>
            <w:vAlign w:val="bottom"/>
          </w:tcPr>
          <w:p w14:paraId="7AFDA9A7" w14:textId="5DD7E35A" w:rsidR="005A5251" w:rsidRPr="00741DF1" w:rsidRDefault="005A5251" w:rsidP="00741DF1">
            <w:pPr>
              <w:pStyle w:val="Tablecondensed"/>
            </w:pPr>
            <w:r w:rsidRPr="00D47479">
              <w:t>3</w:t>
            </w:r>
          </w:p>
        </w:tc>
        <w:tc>
          <w:tcPr>
            <w:tcW w:w="468" w:type="dxa"/>
            <w:vAlign w:val="bottom"/>
          </w:tcPr>
          <w:p w14:paraId="70627456" w14:textId="4F31FD07" w:rsidR="005A5251" w:rsidRPr="00741DF1" w:rsidRDefault="005A5251" w:rsidP="00741DF1">
            <w:pPr>
              <w:pStyle w:val="Tablecondensed"/>
            </w:pPr>
            <w:r w:rsidRPr="00D47479">
              <w:t>5</w:t>
            </w:r>
          </w:p>
        </w:tc>
        <w:tc>
          <w:tcPr>
            <w:tcW w:w="468" w:type="dxa"/>
            <w:vAlign w:val="bottom"/>
          </w:tcPr>
          <w:p w14:paraId="0C15ED13" w14:textId="5BE9AB04" w:rsidR="005A5251" w:rsidRPr="00741DF1" w:rsidRDefault="005A5251" w:rsidP="00741DF1">
            <w:pPr>
              <w:pStyle w:val="Tablecondensed"/>
            </w:pPr>
            <w:r w:rsidRPr="00D47479">
              <w:t>2</w:t>
            </w:r>
          </w:p>
        </w:tc>
        <w:tc>
          <w:tcPr>
            <w:tcW w:w="468" w:type="dxa"/>
            <w:vAlign w:val="bottom"/>
          </w:tcPr>
          <w:p w14:paraId="40349FAF" w14:textId="34E7C933" w:rsidR="005A5251" w:rsidRPr="00741DF1" w:rsidRDefault="005A5251" w:rsidP="00741DF1">
            <w:pPr>
              <w:pStyle w:val="Tablecondensed"/>
            </w:pPr>
            <w:r w:rsidRPr="00D47479">
              <w:t>2</w:t>
            </w:r>
          </w:p>
        </w:tc>
        <w:tc>
          <w:tcPr>
            <w:tcW w:w="864" w:type="dxa"/>
          </w:tcPr>
          <w:p w14:paraId="3DDED5BD" w14:textId="022654B0" w:rsidR="005A5251" w:rsidRPr="00741DF1" w:rsidRDefault="005A5251" w:rsidP="00741DF1">
            <w:pPr>
              <w:pStyle w:val="Tablecondensed"/>
            </w:pPr>
            <w:r w:rsidRPr="00741DF1">
              <w:t>20.5</w:t>
            </w:r>
          </w:p>
        </w:tc>
      </w:tr>
    </w:tbl>
    <w:p w14:paraId="220D649B" w14:textId="77777777" w:rsidR="005A5251" w:rsidRPr="005A5251" w:rsidRDefault="005A5251" w:rsidP="005A5251">
      <w:pPr>
        <w:rPr>
          <w:lang w:val="en-AU"/>
        </w:rPr>
      </w:pPr>
    </w:p>
    <w:p w14:paraId="36CE5E8D" w14:textId="2152AF04" w:rsidR="00D04E0C" w:rsidRPr="007C4695" w:rsidRDefault="003320DF" w:rsidP="00741DF1">
      <w:pPr>
        <w:pStyle w:val="BodyText"/>
      </w:pPr>
      <w:r>
        <w:t>Overall, most students provided an</w:t>
      </w:r>
      <w:r w:rsidR="00793A55">
        <w:t xml:space="preserve"> appropriate</w:t>
      </w:r>
      <w:r>
        <w:t xml:space="preserve"> outline of the</w:t>
      </w:r>
      <w:r w:rsidR="00453C8A">
        <w:t xml:space="preserve"> creative</w:t>
      </w:r>
      <w:r>
        <w:t xml:space="preserve"> intention with </w:t>
      </w:r>
      <w:r w:rsidR="00465479">
        <w:t xml:space="preserve">reference to </w:t>
      </w:r>
      <w:r>
        <w:t xml:space="preserve">the stimulus material. </w:t>
      </w:r>
      <w:r w:rsidR="00453C8A">
        <w:t>Students who received highe</w:t>
      </w:r>
      <w:r w:rsidR="00B67DE7">
        <w:t>r</w:t>
      </w:r>
      <w:r w:rsidR="00453C8A">
        <w:t xml:space="preserve"> marks </w:t>
      </w:r>
      <w:r w:rsidR="00761BB4">
        <w:t xml:space="preserve">provided documentation that was </w:t>
      </w:r>
      <w:r w:rsidR="00453C8A">
        <w:t>explicit, precise and thorough</w:t>
      </w:r>
      <w:r w:rsidR="00A56ECC">
        <w:t>,</w:t>
      </w:r>
      <w:r w:rsidR="00453C8A">
        <w:t xml:space="preserve"> and this clarity was consistently </w:t>
      </w:r>
      <w:r w:rsidR="00A56ECC">
        <w:t xml:space="preserve">evident </w:t>
      </w:r>
      <w:r w:rsidR="00453C8A">
        <w:t xml:space="preserve">in the </w:t>
      </w:r>
      <w:r w:rsidR="0630D827">
        <w:t>original</w:t>
      </w:r>
      <w:r w:rsidR="00453C8A">
        <w:t xml:space="preserve"> work. The</w:t>
      </w:r>
      <w:r w:rsidR="00465479">
        <w:t>se</w:t>
      </w:r>
      <w:r w:rsidR="00453C8A">
        <w:t xml:space="preserve"> written accounts </w:t>
      </w:r>
      <w:r w:rsidR="00A56ECC">
        <w:t xml:space="preserve">provided </w:t>
      </w:r>
      <w:r w:rsidR="00453C8A">
        <w:t xml:space="preserve">a direct and observable connection between stated intentions, key decisions, </w:t>
      </w:r>
      <w:r w:rsidR="00934D6B">
        <w:t xml:space="preserve">references, </w:t>
      </w:r>
      <w:r w:rsidR="00453C8A">
        <w:t xml:space="preserve">revisions and refinements at different stages, </w:t>
      </w:r>
      <w:r w:rsidR="00A56ECC">
        <w:t xml:space="preserve">making </w:t>
      </w:r>
      <w:r w:rsidR="00B67DE7">
        <w:t xml:space="preserve">specific references to how structural, melodic, rhythmic, harmonic, textural and timbral decisions were used to balance unity and diversity in the work. </w:t>
      </w:r>
      <w:r w:rsidR="007C4695">
        <w:t>Indications</w:t>
      </w:r>
      <w:r w:rsidR="00793A55">
        <w:t xml:space="preserve"> of where material </w:t>
      </w:r>
      <w:r w:rsidR="00A56ECC">
        <w:t xml:space="preserve">was </w:t>
      </w:r>
      <w:r w:rsidR="00793A55">
        <w:t xml:space="preserve">repeated, varied or contrasted, and where transitions </w:t>
      </w:r>
      <w:r w:rsidR="00B67DE7">
        <w:t>were</w:t>
      </w:r>
      <w:r w:rsidR="00793A55">
        <w:t xml:space="preserve"> employed to connect sections smoothly while maintaining the overall integrity of the musical intention</w:t>
      </w:r>
      <w:r w:rsidR="00A56ECC">
        <w:t>,</w:t>
      </w:r>
      <w:r w:rsidR="00B67DE7">
        <w:t xml:space="preserve"> were also highlighted through </w:t>
      </w:r>
      <w:r w:rsidR="00761BB4">
        <w:t xml:space="preserve">the use of </w:t>
      </w:r>
      <w:r w:rsidR="00B67DE7">
        <w:t>well-articulated music terminology</w:t>
      </w:r>
      <w:r w:rsidR="00A56ECC">
        <w:t>. This made</w:t>
      </w:r>
      <w:r w:rsidR="00B67DE7">
        <w:t xml:space="preserve"> it straightforward to see how compositional thinking was inspired and realised in the </w:t>
      </w:r>
      <w:r w:rsidR="007C4695">
        <w:t xml:space="preserve">final </w:t>
      </w:r>
      <w:r w:rsidR="7C0A9BCB">
        <w:t>original</w:t>
      </w:r>
      <w:r w:rsidR="00B67DE7">
        <w:t xml:space="preserve"> work. </w:t>
      </w:r>
      <w:r w:rsidR="00465479">
        <w:t xml:space="preserve">Some </w:t>
      </w:r>
      <w:r w:rsidR="00B67DE7">
        <w:t>submissions</w:t>
      </w:r>
      <w:r w:rsidR="00465479">
        <w:t xml:space="preserve"> provided additional analytical annotations</w:t>
      </w:r>
      <w:r w:rsidR="00793A55">
        <w:t xml:space="preserve"> or </w:t>
      </w:r>
      <w:r w:rsidR="00A56ECC">
        <w:t>ir</w:t>
      </w:r>
      <w:r w:rsidR="00793A55">
        <w:t>relevant comparisons</w:t>
      </w:r>
      <w:r w:rsidR="00465479">
        <w:t xml:space="preserve"> in excess to the word count</w:t>
      </w:r>
      <w:r w:rsidR="00A56ECC">
        <w:t>,</w:t>
      </w:r>
      <w:r w:rsidR="00465479">
        <w:t xml:space="preserve"> often duplicating what had been </w:t>
      </w:r>
      <w:r w:rsidR="00A56ECC">
        <w:t xml:space="preserve">stated </w:t>
      </w:r>
      <w:r w:rsidR="00465479">
        <w:t xml:space="preserve">previously. </w:t>
      </w:r>
    </w:p>
    <w:p w14:paraId="42192585" w14:textId="228BD95A" w:rsidR="00D04E0C" w:rsidRDefault="00D04E0C" w:rsidP="00D04E0C">
      <w:pPr>
        <w:pStyle w:val="Heading3"/>
      </w:pPr>
      <w:r>
        <w:t xml:space="preserve">Criterion 3 – </w:t>
      </w:r>
      <w:r w:rsidR="00253842">
        <w:t>Notation</w:t>
      </w:r>
    </w:p>
    <w:tbl>
      <w:tblPr>
        <w:tblStyle w:val="VCAATableClosed1"/>
        <w:tblW w:w="5524" w:type="dxa"/>
        <w:tblLayout w:type="fixed"/>
        <w:tblLook w:val="04A0" w:firstRow="1" w:lastRow="0" w:firstColumn="1" w:lastColumn="0" w:noHBand="0" w:noVBand="1"/>
      </w:tblPr>
      <w:tblGrid>
        <w:gridCol w:w="691"/>
        <w:gridCol w:w="308"/>
        <w:gridCol w:w="308"/>
        <w:gridCol w:w="308"/>
        <w:gridCol w:w="308"/>
        <w:gridCol w:w="308"/>
        <w:gridCol w:w="308"/>
        <w:gridCol w:w="399"/>
        <w:gridCol w:w="399"/>
        <w:gridCol w:w="399"/>
        <w:gridCol w:w="399"/>
        <w:gridCol w:w="399"/>
        <w:gridCol w:w="990"/>
      </w:tblGrid>
      <w:tr w:rsidR="005A5251" w:rsidRPr="00626839" w14:paraId="048D896B" w14:textId="77777777" w:rsidTr="006A0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1" w:type="dxa"/>
          </w:tcPr>
          <w:p w14:paraId="46D40580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Marks</w:t>
            </w:r>
          </w:p>
        </w:tc>
        <w:tc>
          <w:tcPr>
            <w:tcW w:w="308" w:type="dxa"/>
          </w:tcPr>
          <w:p w14:paraId="4EE3D37E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0</w:t>
            </w:r>
          </w:p>
        </w:tc>
        <w:tc>
          <w:tcPr>
            <w:tcW w:w="308" w:type="dxa"/>
          </w:tcPr>
          <w:p w14:paraId="15357A5E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</w:t>
            </w:r>
          </w:p>
        </w:tc>
        <w:tc>
          <w:tcPr>
            <w:tcW w:w="308" w:type="dxa"/>
          </w:tcPr>
          <w:p w14:paraId="3FA429B6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2</w:t>
            </w:r>
          </w:p>
        </w:tc>
        <w:tc>
          <w:tcPr>
            <w:tcW w:w="308" w:type="dxa"/>
          </w:tcPr>
          <w:p w14:paraId="17E1027D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3</w:t>
            </w:r>
          </w:p>
        </w:tc>
        <w:tc>
          <w:tcPr>
            <w:tcW w:w="308" w:type="dxa"/>
          </w:tcPr>
          <w:p w14:paraId="2E2920F2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4</w:t>
            </w:r>
          </w:p>
        </w:tc>
        <w:tc>
          <w:tcPr>
            <w:tcW w:w="308" w:type="dxa"/>
          </w:tcPr>
          <w:p w14:paraId="7AE1ABD8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5</w:t>
            </w:r>
          </w:p>
        </w:tc>
        <w:tc>
          <w:tcPr>
            <w:tcW w:w="399" w:type="dxa"/>
          </w:tcPr>
          <w:p w14:paraId="3E8A65B2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6</w:t>
            </w:r>
          </w:p>
        </w:tc>
        <w:tc>
          <w:tcPr>
            <w:tcW w:w="399" w:type="dxa"/>
          </w:tcPr>
          <w:p w14:paraId="5E6C2A9D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7</w:t>
            </w:r>
          </w:p>
        </w:tc>
        <w:tc>
          <w:tcPr>
            <w:tcW w:w="399" w:type="dxa"/>
          </w:tcPr>
          <w:p w14:paraId="76ABB7C7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8</w:t>
            </w:r>
          </w:p>
        </w:tc>
        <w:tc>
          <w:tcPr>
            <w:tcW w:w="399" w:type="dxa"/>
          </w:tcPr>
          <w:p w14:paraId="34B638F7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9</w:t>
            </w:r>
          </w:p>
        </w:tc>
        <w:tc>
          <w:tcPr>
            <w:tcW w:w="399" w:type="dxa"/>
          </w:tcPr>
          <w:p w14:paraId="4DB43651" w14:textId="77777777" w:rsidR="005A5251" w:rsidRPr="00626839" w:rsidRDefault="005A5251" w:rsidP="00741DF1">
            <w:pPr>
              <w:pStyle w:val="Tablecondensedheading"/>
              <w:rPr>
                <w:lang w:val="en-AU"/>
              </w:rPr>
            </w:pPr>
            <w:r w:rsidRPr="00626839">
              <w:rPr>
                <w:lang w:val="en-AU"/>
              </w:rPr>
              <w:t>10</w:t>
            </w:r>
          </w:p>
        </w:tc>
        <w:tc>
          <w:tcPr>
            <w:tcW w:w="990" w:type="dxa"/>
          </w:tcPr>
          <w:p w14:paraId="1594B26C" w14:textId="77777777" w:rsidR="005A5251" w:rsidRPr="00626839" w:rsidRDefault="35C430FD" w:rsidP="00741DF1">
            <w:pPr>
              <w:pStyle w:val="Tablecondensedheading"/>
              <w:rPr>
                <w:lang w:val="en-AU"/>
              </w:rPr>
            </w:pPr>
            <w:r w:rsidRPr="2E4B65F4">
              <w:rPr>
                <w:lang w:val="en-AU"/>
              </w:rPr>
              <w:t>Average</w:t>
            </w:r>
          </w:p>
        </w:tc>
      </w:tr>
      <w:tr w:rsidR="005A5251" w:rsidRPr="00626839" w14:paraId="4A213162" w14:textId="77777777" w:rsidTr="006A0875">
        <w:tc>
          <w:tcPr>
            <w:tcW w:w="691" w:type="dxa"/>
          </w:tcPr>
          <w:p w14:paraId="44DD797B" w14:textId="77777777" w:rsidR="005A5251" w:rsidRPr="00741DF1" w:rsidRDefault="005A5251" w:rsidP="00741DF1">
            <w:pPr>
              <w:pStyle w:val="Tablecondensed"/>
            </w:pPr>
            <w:r w:rsidRPr="00741DF1">
              <w:t>%</w:t>
            </w:r>
          </w:p>
        </w:tc>
        <w:tc>
          <w:tcPr>
            <w:tcW w:w="308" w:type="dxa"/>
            <w:vAlign w:val="bottom"/>
          </w:tcPr>
          <w:p w14:paraId="7F8A3294" w14:textId="1661EAAF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0</w:t>
            </w:r>
          </w:p>
        </w:tc>
        <w:tc>
          <w:tcPr>
            <w:tcW w:w="308" w:type="dxa"/>
            <w:vAlign w:val="bottom"/>
          </w:tcPr>
          <w:p w14:paraId="73C3623B" w14:textId="36142894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2</w:t>
            </w:r>
          </w:p>
        </w:tc>
        <w:tc>
          <w:tcPr>
            <w:tcW w:w="308" w:type="dxa"/>
            <w:vAlign w:val="bottom"/>
          </w:tcPr>
          <w:p w14:paraId="299C650D" w14:textId="59D87841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3</w:t>
            </w:r>
          </w:p>
        </w:tc>
        <w:tc>
          <w:tcPr>
            <w:tcW w:w="308" w:type="dxa"/>
            <w:vAlign w:val="bottom"/>
          </w:tcPr>
          <w:p w14:paraId="6FDD61B0" w14:textId="329B6C2C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7</w:t>
            </w:r>
          </w:p>
        </w:tc>
        <w:tc>
          <w:tcPr>
            <w:tcW w:w="308" w:type="dxa"/>
            <w:vAlign w:val="bottom"/>
          </w:tcPr>
          <w:p w14:paraId="1AF97F19" w14:textId="61F752A2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4</w:t>
            </w:r>
          </w:p>
        </w:tc>
        <w:tc>
          <w:tcPr>
            <w:tcW w:w="308" w:type="dxa"/>
            <w:vAlign w:val="bottom"/>
          </w:tcPr>
          <w:p w14:paraId="708D939B" w14:textId="2F44EA20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8</w:t>
            </w:r>
          </w:p>
        </w:tc>
        <w:tc>
          <w:tcPr>
            <w:tcW w:w="399" w:type="dxa"/>
            <w:vAlign w:val="bottom"/>
          </w:tcPr>
          <w:p w14:paraId="0264A3FD" w14:textId="1E880415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16</w:t>
            </w:r>
          </w:p>
        </w:tc>
        <w:tc>
          <w:tcPr>
            <w:tcW w:w="399" w:type="dxa"/>
            <w:vAlign w:val="bottom"/>
          </w:tcPr>
          <w:p w14:paraId="69F3CBFE" w14:textId="2D9F0141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12</w:t>
            </w:r>
          </w:p>
        </w:tc>
        <w:tc>
          <w:tcPr>
            <w:tcW w:w="399" w:type="dxa"/>
            <w:vAlign w:val="bottom"/>
          </w:tcPr>
          <w:p w14:paraId="48E5BA20" w14:textId="4165F6E8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14</w:t>
            </w:r>
          </w:p>
        </w:tc>
        <w:tc>
          <w:tcPr>
            <w:tcW w:w="399" w:type="dxa"/>
            <w:vAlign w:val="bottom"/>
          </w:tcPr>
          <w:p w14:paraId="302228DB" w14:textId="37D9D349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17</w:t>
            </w:r>
          </w:p>
        </w:tc>
        <w:tc>
          <w:tcPr>
            <w:tcW w:w="399" w:type="dxa"/>
            <w:vAlign w:val="bottom"/>
          </w:tcPr>
          <w:p w14:paraId="29861B1F" w14:textId="127D289D" w:rsidR="005A5251" w:rsidRPr="00741DF1" w:rsidRDefault="005A5251" w:rsidP="00741DF1">
            <w:pPr>
              <w:pStyle w:val="Tablecondensed"/>
            </w:pPr>
            <w:r w:rsidRPr="00741DF1">
              <w:rPr>
                <w:color w:val="auto"/>
              </w:rPr>
              <w:t>17</w:t>
            </w:r>
          </w:p>
        </w:tc>
        <w:tc>
          <w:tcPr>
            <w:tcW w:w="990" w:type="dxa"/>
          </w:tcPr>
          <w:p w14:paraId="18CB4BA1" w14:textId="52993AD0" w:rsidR="005A5251" w:rsidRPr="00741DF1" w:rsidRDefault="005A5251" w:rsidP="00741DF1">
            <w:pPr>
              <w:pStyle w:val="Tablecondensed"/>
            </w:pPr>
            <w:r w:rsidRPr="00741DF1">
              <w:t>7.0</w:t>
            </w:r>
          </w:p>
        </w:tc>
      </w:tr>
    </w:tbl>
    <w:p w14:paraId="42EADAAD" w14:textId="77777777" w:rsidR="005A5251" w:rsidRPr="005A5251" w:rsidRDefault="005A5251" w:rsidP="005A5251">
      <w:pPr>
        <w:rPr>
          <w:lang w:val="en-AU"/>
        </w:rPr>
      </w:pPr>
    </w:p>
    <w:p w14:paraId="605A3F92" w14:textId="62F1DBCC" w:rsidR="00D04E0C" w:rsidRPr="00D04E0C" w:rsidRDefault="00F01843" w:rsidP="00D47479">
      <w:pPr>
        <w:pStyle w:val="BodyText"/>
        <w:rPr>
          <w:highlight w:val="lightGray"/>
        </w:rPr>
      </w:pPr>
      <w:r>
        <w:t xml:space="preserve">Overall, </w:t>
      </w:r>
      <w:r w:rsidR="00941C97">
        <w:t>notation was in an appropriate format</w:t>
      </w:r>
      <w:r>
        <w:t xml:space="preserve"> for the styles and genres presented</w:t>
      </w:r>
      <w:r w:rsidR="00941C97">
        <w:t xml:space="preserve">. </w:t>
      </w:r>
      <w:r w:rsidR="00A56ECC">
        <w:t>High-scoring works provided</w:t>
      </w:r>
      <w:r w:rsidR="007C4695">
        <w:t xml:space="preserve"> notational scores and</w:t>
      </w:r>
      <w:r w:rsidR="00941C97">
        <w:t xml:space="preserve"> other</w:t>
      </w:r>
      <w:r w:rsidR="007C4695">
        <w:t xml:space="preserve"> visual</w:t>
      </w:r>
      <w:r w:rsidR="00941C97">
        <w:t xml:space="preserve"> representations</w:t>
      </w:r>
      <w:r w:rsidR="007C4695">
        <w:t xml:space="preserve"> that</w:t>
      </w:r>
      <w:r w:rsidR="00941C97">
        <w:t xml:space="preserve"> clearly conveyed</w:t>
      </w:r>
      <w:r w:rsidR="005C7130">
        <w:t xml:space="preserve"> </w:t>
      </w:r>
      <w:r w:rsidR="00941C97">
        <w:t xml:space="preserve">music elements such as pitch, rhythm, dynamics, articulation and expressive detail </w:t>
      </w:r>
      <w:r w:rsidR="00A56ECC">
        <w:t xml:space="preserve">that was </w:t>
      </w:r>
      <w:r w:rsidR="00941C97">
        <w:t>specific to instruments and sound sources</w:t>
      </w:r>
      <w:r w:rsidR="00A56ECC">
        <w:t>. This</w:t>
      </w:r>
      <w:r w:rsidR="00941C97">
        <w:t xml:space="preserve"> </w:t>
      </w:r>
      <w:r w:rsidR="00A56ECC">
        <w:t>demonstrated</w:t>
      </w:r>
      <w:r w:rsidR="00941C97">
        <w:t xml:space="preserve"> a high level of technical control</w:t>
      </w:r>
      <w:r w:rsidR="00710FAE">
        <w:t xml:space="preserve"> and clearly established</w:t>
      </w:r>
      <w:r w:rsidR="005C7130">
        <w:t xml:space="preserve"> the musical intentions </w:t>
      </w:r>
      <w:r w:rsidR="00710FAE">
        <w:t>and</w:t>
      </w:r>
      <w:r w:rsidR="00941C97">
        <w:t xml:space="preserve"> verif</w:t>
      </w:r>
      <w:r w:rsidR="00710FAE">
        <w:t>ied</w:t>
      </w:r>
      <w:r w:rsidR="00941C97">
        <w:t xml:space="preserve"> claims made in the documentation.</w:t>
      </w:r>
      <w:r w:rsidR="003B0BE5">
        <w:t xml:space="preserve"> </w:t>
      </w:r>
      <w:r w:rsidR="00710FAE">
        <w:t>N</w:t>
      </w:r>
      <w:r>
        <w:t xml:space="preserve">otation </w:t>
      </w:r>
      <w:r w:rsidR="00710FAE">
        <w:t xml:space="preserve">in lower-scoring work </w:t>
      </w:r>
      <w:r>
        <w:t>was</w:t>
      </w:r>
      <w:r w:rsidR="001670A4">
        <w:t xml:space="preserve"> limited to chord symbols </w:t>
      </w:r>
      <w:r>
        <w:t>or screenshots</w:t>
      </w:r>
      <w:r w:rsidR="00710FAE">
        <w:t>, and did not provide</w:t>
      </w:r>
      <w:r w:rsidR="001670A4">
        <w:t xml:space="preserve"> </w:t>
      </w:r>
      <w:r>
        <w:t xml:space="preserve">instructions or visual </w:t>
      </w:r>
      <w:r w:rsidR="001670A4">
        <w:t>representation</w:t>
      </w:r>
      <w:r w:rsidR="00710FAE">
        <w:t>s</w:t>
      </w:r>
      <w:r w:rsidR="001670A4">
        <w:t xml:space="preserve"> o</w:t>
      </w:r>
      <w:r w:rsidR="00710FAE">
        <w:t>f</w:t>
      </w:r>
      <w:r w:rsidR="001670A4">
        <w:t xml:space="preserve"> how to interpret or reproduce the work. </w:t>
      </w:r>
    </w:p>
    <w:sectPr w:rsidR="00D04E0C" w:rsidRPr="00D04E0C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1E90A40D" w:rsidR="00FD29D3" w:rsidRPr="002B0664" w:rsidRDefault="00297CF9" w:rsidP="00D86DE4">
    <w:sdt>
      <w:sdt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774A">
          <w:t xml:space="preserve">2025 VCE </w:t>
        </w:r>
        <w:r w:rsidR="00631B94">
          <w:t xml:space="preserve">Music Composition </w:t>
        </w:r>
        <w:r w:rsidR="00AE774A">
          <w:t>Externally Assessed Task report</w:t>
        </w:r>
      </w:sdtContent>
    </w:sdt>
    <w:r w:rsidR="00FD29D3" w:rsidRPr="002B066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A26C8AEE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87D1E"/>
    <w:multiLevelType w:val="multilevel"/>
    <w:tmpl w:val="4A5AD68E"/>
    <w:styleLink w:val="CurrentList1"/>
    <w:lvl w:ilvl="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E0221206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E984F43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BD141B32"/>
    <w:lvl w:ilvl="0" w:tplc="3FD66600">
      <w:start w:val="1"/>
      <w:numFmt w:val="decimal"/>
      <w:pStyle w:val="Bullet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005429346">
    <w:abstractNumId w:val="13"/>
  </w:num>
  <w:num w:numId="17" w16cid:durableId="655449802">
    <w:abstractNumId w:val="16"/>
  </w:num>
  <w:num w:numId="18" w16cid:durableId="775487762">
    <w:abstractNumId w:val="14"/>
  </w:num>
  <w:num w:numId="19" w16cid:durableId="1916624213">
    <w:abstractNumId w:val="10"/>
  </w:num>
  <w:num w:numId="20" w16cid:durableId="414205031">
    <w:abstractNumId w:val="15"/>
  </w:num>
  <w:num w:numId="21" w16cid:durableId="1590460290">
    <w:abstractNumId w:val="14"/>
  </w:num>
  <w:num w:numId="22" w16cid:durableId="772824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isplayBackgroundShape/>
  <w:hideSpellingErrors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6144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42C26"/>
    <w:rsid w:val="0005780E"/>
    <w:rsid w:val="00065CC6"/>
    <w:rsid w:val="000A71F7"/>
    <w:rsid w:val="000D1438"/>
    <w:rsid w:val="000F09E4"/>
    <w:rsid w:val="000F16FD"/>
    <w:rsid w:val="000F5AAF"/>
    <w:rsid w:val="00142593"/>
    <w:rsid w:val="00143520"/>
    <w:rsid w:val="00153AD2"/>
    <w:rsid w:val="001549E5"/>
    <w:rsid w:val="001670A4"/>
    <w:rsid w:val="001779EA"/>
    <w:rsid w:val="0018470E"/>
    <w:rsid w:val="00190CC5"/>
    <w:rsid w:val="001D3246"/>
    <w:rsid w:val="002002C3"/>
    <w:rsid w:val="002153E8"/>
    <w:rsid w:val="002279BA"/>
    <w:rsid w:val="00227FC7"/>
    <w:rsid w:val="002329F3"/>
    <w:rsid w:val="00243F0D"/>
    <w:rsid w:val="00253842"/>
    <w:rsid w:val="00260767"/>
    <w:rsid w:val="002647BB"/>
    <w:rsid w:val="002754C1"/>
    <w:rsid w:val="002841C8"/>
    <w:rsid w:val="0028516B"/>
    <w:rsid w:val="00297CF9"/>
    <w:rsid w:val="002A0C8F"/>
    <w:rsid w:val="002B0664"/>
    <w:rsid w:val="002C6F90"/>
    <w:rsid w:val="002E24BB"/>
    <w:rsid w:val="002E4FB5"/>
    <w:rsid w:val="00302FB8"/>
    <w:rsid w:val="00304EA1"/>
    <w:rsid w:val="00314D81"/>
    <w:rsid w:val="00322FC6"/>
    <w:rsid w:val="00327BD6"/>
    <w:rsid w:val="00331FB5"/>
    <w:rsid w:val="003320DF"/>
    <w:rsid w:val="00340374"/>
    <w:rsid w:val="0035293F"/>
    <w:rsid w:val="00365146"/>
    <w:rsid w:val="00381C75"/>
    <w:rsid w:val="00391986"/>
    <w:rsid w:val="003A00B4"/>
    <w:rsid w:val="003A06B2"/>
    <w:rsid w:val="003B0BE5"/>
    <w:rsid w:val="003C5E71"/>
    <w:rsid w:val="00417AA3"/>
    <w:rsid w:val="00425DFE"/>
    <w:rsid w:val="00434EDB"/>
    <w:rsid w:val="00440B32"/>
    <w:rsid w:val="00453C8A"/>
    <w:rsid w:val="0046078D"/>
    <w:rsid w:val="0046388D"/>
    <w:rsid w:val="00465479"/>
    <w:rsid w:val="0048143D"/>
    <w:rsid w:val="00490451"/>
    <w:rsid w:val="00490D0D"/>
    <w:rsid w:val="00495C80"/>
    <w:rsid w:val="004A2073"/>
    <w:rsid w:val="004A2ED8"/>
    <w:rsid w:val="004A48FE"/>
    <w:rsid w:val="004B243D"/>
    <w:rsid w:val="004F0C8B"/>
    <w:rsid w:val="004F5BDA"/>
    <w:rsid w:val="00511429"/>
    <w:rsid w:val="0051631E"/>
    <w:rsid w:val="00531DDC"/>
    <w:rsid w:val="00537A1F"/>
    <w:rsid w:val="00547C24"/>
    <w:rsid w:val="005537D1"/>
    <w:rsid w:val="0056282D"/>
    <w:rsid w:val="00566029"/>
    <w:rsid w:val="00580103"/>
    <w:rsid w:val="005923CB"/>
    <w:rsid w:val="005A5251"/>
    <w:rsid w:val="005B391B"/>
    <w:rsid w:val="005B6D1F"/>
    <w:rsid w:val="005C7130"/>
    <w:rsid w:val="005D0D32"/>
    <w:rsid w:val="005D3D78"/>
    <w:rsid w:val="005E2EF0"/>
    <w:rsid w:val="005E3B83"/>
    <w:rsid w:val="005F4092"/>
    <w:rsid w:val="00631B94"/>
    <w:rsid w:val="00670688"/>
    <w:rsid w:val="0068471E"/>
    <w:rsid w:val="00684F98"/>
    <w:rsid w:val="00693FFD"/>
    <w:rsid w:val="006A0875"/>
    <w:rsid w:val="006D2159"/>
    <w:rsid w:val="006F787C"/>
    <w:rsid w:val="00702636"/>
    <w:rsid w:val="00710FAE"/>
    <w:rsid w:val="00724507"/>
    <w:rsid w:val="00741DF1"/>
    <w:rsid w:val="00761BB4"/>
    <w:rsid w:val="0077024E"/>
    <w:rsid w:val="00773E6C"/>
    <w:rsid w:val="00775B6F"/>
    <w:rsid w:val="00781FB1"/>
    <w:rsid w:val="00793A55"/>
    <w:rsid w:val="007965FD"/>
    <w:rsid w:val="007C4695"/>
    <w:rsid w:val="007D1B6D"/>
    <w:rsid w:val="007F483C"/>
    <w:rsid w:val="00813C37"/>
    <w:rsid w:val="008154B5"/>
    <w:rsid w:val="00823962"/>
    <w:rsid w:val="00850410"/>
    <w:rsid w:val="00852719"/>
    <w:rsid w:val="00860115"/>
    <w:rsid w:val="00870A89"/>
    <w:rsid w:val="0088391B"/>
    <w:rsid w:val="008867C3"/>
    <w:rsid w:val="0088783C"/>
    <w:rsid w:val="008A39A2"/>
    <w:rsid w:val="008B1603"/>
    <w:rsid w:val="008D10E0"/>
    <w:rsid w:val="009077FE"/>
    <w:rsid w:val="00910FA4"/>
    <w:rsid w:val="009132B1"/>
    <w:rsid w:val="00934D6B"/>
    <w:rsid w:val="009370BC"/>
    <w:rsid w:val="00941C97"/>
    <w:rsid w:val="00963EE3"/>
    <w:rsid w:val="0096556B"/>
    <w:rsid w:val="0096755D"/>
    <w:rsid w:val="00970580"/>
    <w:rsid w:val="0098739B"/>
    <w:rsid w:val="009A282C"/>
    <w:rsid w:val="009B61E5"/>
    <w:rsid w:val="009C7C94"/>
    <w:rsid w:val="009D084F"/>
    <w:rsid w:val="009D1E89"/>
    <w:rsid w:val="009D28DE"/>
    <w:rsid w:val="009E519D"/>
    <w:rsid w:val="009E5707"/>
    <w:rsid w:val="00A17661"/>
    <w:rsid w:val="00A24B2D"/>
    <w:rsid w:val="00A40966"/>
    <w:rsid w:val="00A56ECC"/>
    <w:rsid w:val="00A81E2B"/>
    <w:rsid w:val="00A921E0"/>
    <w:rsid w:val="00A922F4"/>
    <w:rsid w:val="00AC65AE"/>
    <w:rsid w:val="00AC7B29"/>
    <w:rsid w:val="00AE5526"/>
    <w:rsid w:val="00AE774A"/>
    <w:rsid w:val="00AF051B"/>
    <w:rsid w:val="00B01578"/>
    <w:rsid w:val="00B0738F"/>
    <w:rsid w:val="00B13D3B"/>
    <w:rsid w:val="00B230DB"/>
    <w:rsid w:val="00B26601"/>
    <w:rsid w:val="00B41951"/>
    <w:rsid w:val="00B45417"/>
    <w:rsid w:val="00B53229"/>
    <w:rsid w:val="00B62480"/>
    <w:rsid w:val="00B67DE7"/>
    <w:rsid w:val="00B724B4"/>
    <w:rsid w:val="00B81B70"/>
    <w:rsid w:val="00BB3BAB"/>
    <w:rsid w:val="00BB5A4A"/>
    <w:rsid w:val="00BB7413"/>
    <w:rsid w:val="00BD0724"/>
    <w:rsid w:val="00BD2B91"/>
    <w:rsid w:val="00BD64D6"/>
    <w:rsid w:val="00BE0319"/>
    <w:rsid w:val="00BE0D9C"/>
    <w:rsid w:val="00BE5521"/>
    <w:rsid w:val="00BF6C23"/>
    <w:rsid w:val="00C027F9"/>
    <w:rsid w:val="00C10906"/>
    <w:rsid w:val="00C14F16"/>
    <w:rsid w:val="00C33E8D"/>
    <w:rsid w:val="00C479EC"/>
    <w:rsid w:val="00C53263"/>
    <w:rsid w:val="00C623B2"/>
    <w:rsid w:val="00C75F1D"/>
    <w:rsid w:val="00C80917"/>
    <w:rsid w:val="00C81757"/>
    <w:rsid w:val="00C867E8"/>
    <w:rsid w:val="00C93578"/>
    <w:rsid w:val="00C95156"/>
    <w:rsid w:val="00CA0DC2"/>
    <w:rsid w:val="00CA6F23"/>
    <w:rsid w:val="00CB68E8"/>
    <w:rsid w:val="00CD1305"/>
    <w:rsid w:val="00D04E0C"/>
    <w:rsid w:val="00D04F01"/>
    <w:rsid w:val="00D06414"/>
    <w:rsid w:val="00D24E5A"/>
    <w:rsid w:val="00D275DF"/>
    <w:rsid w:val="00D338E4"/>
    <w:rsid w:val="00D47479"/>
    <w:rsid w:val="00D51947"/>
    <w:rsid w:val="00D532F0"/>
    <w:rsid w:val="00D56E0F"/>
    <w:rsid w:val="00D64008"/>
    <w:rsid w:val="00D76E10"/>
    <w:rsid w:val="00D77413"/>
    <w:rsid w:val="00D82759"/>
    <w:rsid w:val="00D86DE4"/>
    <w:rsid w:val="00DB411E"/>
    <w:rsid w:val="00DD3E31"/>
    <w:rsid w:val="00DE1909"/>
    <w:rsid w:val="00DE51DB"/>
    <w:rsid w:val="00DF7107"/>
    <w:rsid w:val="00E208DF"/>
    <w:rsid w:val="00E23F1D"/>
    <w:rsid w:val="00E30E05"/>
    <w:rsid w:val="00E36361"/>
    <w:rsid w:val="00E46E7C"/>
    <w:rsid w:val="00E55AE9"/>
    <w:rsid w:val="00E61572"/>
    <w:rsid w:val="00E67ED6"/>
    <w:rsid w:val="00E71100"/>
    <w:rsid w:val="00E7229D"/>
    <w:rsid w:val="00E8707C"/>
    <w:rsid w:val="00EB0C84"/>
    <w:rsid w:val="00EB76AB"/>
    <w:rsid w:val="00F01843"/>
    <w:rsid w:val="00F17FDE"/>
    <w:rsid w:val="00F20E4D"/>
    <w:rsid w:val="00F20F96"/>
    <w:rsid w:val="00F40D53"/>
    <w:rsid w:val="00F4525C"/>
    <w:rsid w:val="00F50D86"/>
    <w:rsid w:val="00F61419"/>
    <w:rsid w:val="00F61DCC"/>
    <w:rsid w:val="00F6601D"/>
    <w:rsid w:val="00F738B2"/>
    <w:rsid w:val="00FD0F2E"/>
    <w:rsid w:val="00FD1776"/>
    <w:rsid w:val="00FD29D3"/>
    <w:rsid w:val="00FE27C5"/>
    <w:rsid w:val="00FE3F0B"/>
    <w:rsid w:val="00FF47CB"/>
    <w:rsid w:val="01E4D862"/>
    <w:rsid w:val="0630D827"/>
    <w:rsid w:val="06426485"/>
    <w:rsid w:val="076D181F"/>
    <w:rsid w:val="089A4803"/>
    <w:rsid w:val="0B433AA1"/>
    <w:rsid w:val="0C3A098C"/>
    <w:rsid w:val="0E13A11E"/>
    <w:rsid w:val="0F2BF6CC"/>
    <w:rsid w:val="0F6960A7"/>
    <w:rsid w:val="11A74796"/>
    <w:rsid w:val="12156D73"/>
    <w:rsid w:val="12F564C1"/>
    <w:rsid w:val="161EF3C0"/>
    <w:rsid w:val="1A34F4AB"/>
    <w:rsid w:val="1B5590EE"/>
    <w:rsid w:val="1D40D298"/>
    <w:rsid w:val="1DF61C87"/>
    <w:rsid w:val="21A2D1C0"/>
    <w:rsid w:val="21CF42AB"/>
    <w:rsid w:val="24CAFC2C"/>
    <w:rsid w:val="2729E98B"/>
    <w:rsid w:val="2730D898"/>
    <w:rsid w:val="28ECB34A"/>
    <w:rsid w:val="2A149B2A"/>
    <w:rsid w:val="2B41A1DA"/>
    <w:rsid w:val="2B7AEB42"/>
    <w:rsid w:val="2CAA195A"/>
    <w:rsid w:val="2E159CFD"/>
    <w:rsid w:val="2E4B65F4"/>
    <w:rsid w:val="2FFFE912"/>
    <w:rsid w:val="33BA8E4B"/>
    <w:rsid w:val="3458D911"/>
    <w:rsid w:val="34FF9D21"/>
    <w:rsid w:val="35C430FD"/>
    <w:rsid w:val="3DC4467C"/>
    <w:rsid w:val="409BB73A"/>
    <w:rsid w:val="41306EC0"/>
    <w:rsid w:val="42673CDF"/>
    <w:rsid w:val="459283C8"/>
    <w:rsid w:val="48C6C8B2"/>
    <w:rsid w:val="4A6CC81D"/>
    <w:rsid w:val="4A6F322E"/>
    <w:rsid w:val="4C090216"/>
    <w:rsid w:val="4D807BB7"/>
    <w:rsid w:val="4DCF1557"/>
    <w:rsid w:val="50B7BABD"/>
    <w:rsid w:val="5215B452"/>
    <w:rsid w:val="534966FE"/>
    <w:rsid w:val="53994A94"/>
    <w:rsid w:val="548CEC53"/>
    <w:rsid w:val="5ACAF5A0"/>
    <w:rsid w:val="5C08EF5A"/>
    <w:rsid w:val="5FB9B496"/>
    <w:rsid w:val="610B5544"/>
    <w:rsid w:val="6484AB35"/>
    <w:rsid w:val="64FFA6E0"/>
    <w:rsid w:val="65B57AD3"/>
    <w:rsid w:val="685F6AC9"/>
    <w:rsid w:val="69463EBF"/>
    <w:rsid w:val="6D72476E"/>
    <w:rsid w:val="6EB4F49F"/>
    <w:rsid w:val="6F2EE3E3"/>
    <w:rsid w:val="71AF590B"/>
    <w:rsid w:val="74FBD6B2"/>
    <w:rsid w:val="753A6ED2"/>
    <w:rsid w:val="75A291DA"/>
    <w:rsid w:val="79744E9B"/>
    <w:rsid w:val="7BBC5A96"/>
    <w:rsid w:val="7C0A9BCB"/>
    <w:rsid w:val="7EE7A10E"/>
    <w:rsid w:val="7F0FC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9E5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1549E5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9E5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9E5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1549E5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1549E5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6601D"/>
    <w:pPr>
      <w:numPr>
        <w:numId w:val="1"/>
      </w:numPr>
      <w:tabs>
        <w:tab w:val="left" w:pos="425"/>
      </w:tabs>
      <w:spacing w:before="60" w:after="60"/>
      <w:contextualSpacing/>
    </w:pPr>
    <w:rPr>
      <w:rFonts w:ascii="Arial" w:eastAsia="Times New Roman" w:hAnsi="Arial" w:cs="Arial"/>
      <w:color w:val="000000" w:themeColor="text1"/>
      <w:kern w:val="22"/>
      <w:sz w:val="20"/>
      <w:lang w:val="en-AU" w:eastAsia="ja-JP"/>
    </w:rPr>
  </w:style>
  <w:style w:type="paragraph" w:customStyle="1" w:styleId="Bulletlevel2">
    <w:name w:val="Bullet level 2"/>
    <w:basedOn w:val="Bullet"/>
    <w:qFormat/>
    <w:rsid w:val="004B243D"/>
    <w:pPr>
      <w:numPr>
        <w:numId w:val="21"/>
      </w:numPr>
      <w:ind w:left="850" w:hanging="425"/>
    </w:pPr>
    <w:rPr>
      <w:lang w:val="en-GB"/>
    </w:r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1549E5"/>
    <w:pPr>
      <w:numPr>
        <w:numId w:val="19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numbering" w:customStyle="1" w:styleId="CurrentList1">
    <w:name w:val="Current List1"/>
    <w:uiPriority w:val="99"/>
    <w:rsid w:val="00F6601D"/>
    <w:pPr>
      <w:numPr>
        <w:numId w:val="22"/>
      </w:numPr>
    </w:pPr>
  </w:style>
  <w:style w:type="paragraph" w:customStyle="1" w:styleId="Trademarkinfo">
    <w:name w:val="Trademark info"/>
    <w:basedOn w:val="Normal"/>
    <w:qFormat/>
    <w:rsid w:val="00D47479"/>
    <w:pPr>
      <w:spacing w:before="120" w:after="0"/>
    </w:pPr>
    <w:rPr>
      <w:rFonts w:ascii="Arial" w:hAnsi="Arial" w:cs="Arial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1549E5"/>
    <w:pPr>
      <w:numPr>
        <w:numId w:val="20"/>
      </w:numPr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1549E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1549E5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870A89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1549E5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1549E5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549E5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1549E5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1B94"/>
    <w:rPr>
      <w:sz w:val="16"/>
      <w:szCs w:val="16"/>
    </w:rPr>
  </w:style>
  <w:style w:type="paragraph" w:customStyle="1" w:styleId="VCAAtablecondensed">
    <w:name w:val="VCAA table condensed"/>
    <w:qFormat/>
    <w:rsid w:val="005A5251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5A5251"/>
    <w:rPr>
      <w:color w:val="FFFFFF" w:themeColor="background1"/>
    </w:rPr>
  </w:style>
  <w:style w:type="table" w:customStyle="1" w:styleId="VCAATableClosed1">
    <w:name w:val="VCAA Table Closed1"/>
    <w:basedOn w:val="TableNormal"/>
    <w:uiPriority w:val="99"/>
    <w:rsid w:val="005A5251"/>
    <w:pPr>
      <w:spacing w:before="40" w:after="0" w:line="240" w:lineRule="auto"/>
    </w:pPr>
    <w:rPr>
      <w:rFonts w:ascii="Arial Narrow" w:hAnsi="Arial Narrow"/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styleId="Revision">
    <w:name w:val="Revision"/>
    <w:hidden/>
    <w:uiPriority w:val="99"/>
    <w:semiHidden/>
    <w:rsid w:val="00670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25CB1"/>
    <w:rsid w:val="002E24BB"/>
    <w:rsid w:val="00425F90"/>
    <w:rsid w:val="004900A2"/>
    <w:rsid w:val="006C444C"/>
    <w:rsid w:val="007C0666"/>
    <w:rsid w:val="008867C3"/>
    <w:rsid w:val="009325D2"/>
    <w:rsid w:val="0096755D"/>
    <w:rsid w:val="009D084F"/>
    <w:rsid w:val="009E519D"/>
    <w:rsid w:val="00BB5A4A"/>
    <w:rsid w:val="00BD2CC9"/>
    <w:rsid w:val="00BD5660"/>
    <w:rsid w:val="00C027F9"/>
    <w:rsid w:val="00C867E8"/>
    <w:rsid w:val="00E67ED6"/>
    <w:rsid w:val="00E71100"/>
    <w:rsid w:val="00E8707C"/>
    <w:rsid w:val="00FB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1c720-40cf-4a29-a59b-798f72d42987" xsi:nil="true"/>
    <lcf76f155ced4ddcb4097134ff3c332f xmlns="e9ccb2cb-7aa8-4bc9-a094-f008dabcc21d">
      <Terms xmlns="http://schemas.microsoft.com/office/infopath/2007/PartnerControls"/>
    </lcf76f155ced4ddcb4097134ff3c332f>
    <VersionControl xmlns="e9ccb2cb-7aa8-4bc9-a094-f008dabcc2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0f55dc40e9c838ef78209e7ca20d09fa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c1534436aef4a1b0addd54b8ef8831a0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elements/1.1/"/>
    <ds:schemaRef ds:uri="http://purl.org/dc/dcmitype/"/>
    <ds:schemaRef ds:uri="5e91c720-40cf-4a29-a59b-798f72d42987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9ccb2cb-7aa8-4bc9-a094-f008dabcc21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942DBB-B27E-4958-8508-0125743FC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1255</Words>
  <Characters>7211</Characters>
  <Application>Microsoft Office Word</Application>
  <DocSecurity>0</DocSecurity>
  <Lines>190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Music Composition Externally Assessed Task report</vt:lpstr>
    </vt:vector>
  </TitlesOfParts>
  <Manager/>
  <Company/>
  <LinksUpToDate>false</LinksUpToDate>
  <CharactersWithSpaces>8362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Music Composition Externally Assessed Task report</dc:title>
  <dc:subject/>
  <dc:creator/>
  <cp:keywords/>
  <dc:description/>
  <cp:lastModifiedBy/>
  <cp:revision>2</cp:revision>
  <cp:lastPrinted>2015-05-15T02:36:00Z</cp:lastPrinted>
  <dcterms:created xsi:type="dcterms:W3CDTF">2026-01-10T03:28:00Z</dcterms:created>
  <dcterms:modified xsi:type="dcterms:W3CDTF">2026-01-10T03:28:00Z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0x0101009AA54BA6E3721C459EB3C95B9B8F1A35</vt:lpwstr>
  </property>
  <property fmtid="{D5CDD505-2E9C-101B-9397-08002B2CF9AE}" pid="3" name="MediaServiceImageTags">
    <vt:lpwstr/>
  </property>
</Properties>
</file>