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C4BB" w14:textId="42658B7A" w:rsidR="00F4525C" w:rsidRPr="00870A89" w:rsidRDefault="00DF7107" w:rsidP="00E7229D">
      <w:pPr>
        <w:pStyle w:val="Title"/>
      </w:pPr>
      <w:r>
        <w:t xml:space="preserve">2025 VCE </w:t>
      </w:r>
      <w:r w:rsidR="00BC0D8B">
        <w:t>Philosophy</w:t>
      </w:r>
      <w:r>
        <w:t xml:space="preserve"> external assessment report</w:t>
      </w:r>
    </w:p>
    <w:p w14:paraId="656B9873" w14:textId="77777777" w:rsidR="00BC630F" w:rsidRDefault="00BC630F" w:rsidP="00BC630F">
      <w:pPr>
        <w:pStyle w:val="BodyText"/>
      </w:pPr>
      <w:bookmarkStart w:id="0" w:name="TemplateOverview"/>
      <w:bookmarkEnd w:id="0"/>
      <w:r>
        <w:t xml:space="preserve">Note: Student responses reproduced in this report have not been corrected for grammar, spelling or </w:t>
      </w:r>
      <w:proofErr w:type="gramStart"/>
      <w:r>
        <w:t>factual information</w:t>
      </w:r>
      <w:proofErr w:type="gramEnd"/>
      <w:r>
        <w:t>.</w:t>
      </w:r>
    </w:p>
    <w:p w14:paraId="59D26C60" w14:textId="5F452C12" w:rsidR="00DF7107" w:rsidRDefault="00DF7107" w:rsidP="00DF7107">
      <w:pPr>
        <w:pStyle w:val="BodyText"/>
      </w:pPr>
      <w:r>
        <w:t xml:space="preserve">This report provides sample </w:t>
      </w:r>
      <w:proofErr w:type="gramStart"/>
      <w:r>
        <w:t>answers</w:t>
      </w:r>
      <w:proofErr w:type="gramEnd"/>
      <w:r>
        <w:t xml:space="preserve"> or an indication of what answers may have included. Unless otherwise stated, these are not intended to be exemplary or complete responses. </w:t>
      </w:r>
    </w:p>
    <w:p w14:paraId="75493ABB" w14:textId="650FD20A" w:rsidR="00DF7107" w:rsidRDefault="00DF7107" w:rsidP="0097626B">
      <w:pPr>
        <w:pStyle w:val="BodyText"/>
      </w:pPr>
      <w:r>
        <w:t>The statistics in this report may be subject to rounding resulting in a total more or less than 100 per cent.</w:t>
      </w:r>
    </w:p>
    <w:p w14:paraId="21F25C94" w14:textId="1B450CB3" w:rsidR="00614EA1" w:rsidRDefault="00614EA1" w:rsidP="00215364">
      <w:pPr>
        <w:pStyle w:val="Heading1"/>
      </w:pPr>
      <w:r>
        <w:t>Section A</w:t>
      </w:r>
    </w:p>
    <w:p w14:paraId="1875B0D7" w14:textId="56899FDF" w:rsidR="00614EA1" w:rsidRDefault="00740847" w:rsidP="00E848DD">
      <w:pPr>
        <w:pStyle w:val="BodyText"/>
      </w:pPr>
      <w:r>
        <w:t>The questions in Section A each required students to respond to a</w:t>
      </w:r>
      <w:r w:rsidR="000C32C2">
        <w:t xml:space="preserve"> stimulus</w:t>
      </w:r>
      <w:r>
        <w:t xml:space="preserve"> text. </w:t>
      </w:r>
      <w:r w:rsidR="00614EA1">
        <w:t xml:space="preserve">The responses to </w:t>
      </w:r>
      <w:r>
        <w:t>each question were</w:t>
      </w:r>
      <w:r w:rsidR="00614EA1">
        <w:t xml:space="preserve"> marked holistically. While this report provide</w:t>
      </w:r>
      <w:r w:rsidR="007E7EC1">
        <w:t>s</w:t>
      </w:r>
      <w:r w:rsidR="00614EA1">
        <w:t xml:space="preserve"> advice related to performance on each </w:t>
      </w:r>
      <w:r w:rsidR="00A07F74">
        <w:t xml:space="preserve">part (a–c) </w:t>
      </w:r>
      <w:r w:rsidR="00614EA1">
        <w:t xml:space="preserve">within each question, it is important to </w:t>
      </w:r>
      <w:r w:rsidR="007E7EC1">
        <w:t xml:space="preserve">note </w:t>
      </w:r>
      <w:r w:rsidR="00614EA1">
        <w:t xml:space="preserve">that marks were not awarded individually to these </w:t>
      </w:r>
      <w:r w:rsidR="00C07507">
        <w:t xml:space="preserve">question </w:t>
      </w:r>
      <w:r w:rsidR="00A07F74">
        <w:t>parts</w:t>
      </w:r>
      <w:r w:rsidR="00614EA1">
        <w:t>.</w:t>
      </w:r>
    </w:p>
    <w:p w14:paraId="6250D8BB" w14:textId="1FE00A62" w:rsidR="00620FDC" w:rsidRPr="0008168B" w:rsidRDefault="00614EA1" w:rsidP="0008168B">
      <w:pPr>
        <w:pStyle w:val="Heading2"/>
      </w:pPr>
      <w:r>
        <w:t>Question 1</w:t>
      </w:r>
    </w:p>
    <w:tbl>
      <w:tblPr>
        <w:tblStyle w:val="VCAATableClosed"/>
        <w:tblW w:w="6263" w:type="dxa"/>
        <w:tblLayout w:type="fixed"/>
        <w:tblLook w:val="04A0" w:firstRow="1" w:lastRow="0" w:firstColumn="1" w:lastColumn="0" w:noHBand="0" w:noVBand="1"/>
      </w:tblPr>
      <w:tblGrid>
        <w:gridCol w:w="691"/>
        <w:gridCol w:w="399"/>
        <w:gridCol w:w="536"/>
        <w:gridCol w:w="399"/>
        <w:gridCol w:w="399"/>
        <w:gridCol w:w="399"/>
        <w:gridCol w:w="399"/>
        <w:gridCol w:w="399"/>
        <w:gridCol w:w="399"/>
        <w:gridCol w:w="399"/>
        <w:gridCol w:w="399"/>
        <w:gridCol w:w="490"/>
        <w:gridCol w:w="955"/>
      </w:tblGrid>
      <w:tr w:rsidR="005D0DF1" w:rsidRPr="00141A4D" w14:paraId="616B665B" w14:textId="77777777" w:rsidTr="006440AB">
        <w:trPr>
          <w:cnfStyle w:val="100000000000" w:firstRow="1" w:lastRow="0" w:firstColumn="0" w:lastColumn="0" w:oddVBand="0" w:evenVBand="0" w:oddHBand="0" w:evenHBand="0" w:firstRowFirstColumn="0" w:firstRowLastColumn="0" w:lastRowFirstColumn="0" w:lastRowLastColumn="0"/>
        </w:trPr>
        <w:tc>
          <w:tcPr>
            <w:tcW w:w="691" w:type="dxa"/>
          </w:tcPr>
          <w:p w14:paraId="566225DE" w14:textId="77777777" w:rsidR="005D0DF1" w:rsidRPr="00141A4D" w:rsidRDefault="005D0DF1" w:rsidP="006A562B">
            <w:pPr>
              <w:pStyle w:val="Tablecondensedheading"/>
              <w:rPr>
                <w:lang w:val="en-AU"/>
              </w:rPr>
            </w:pPr>
            <w:r w:rsidRPr="00141A4D">
              <w:rPr>
                <w:lang w:val="en-AU"/>
              </w:rPr>
              <w:t>Mark</w:t>
            </w:r>
          </w:p>
        </w:tc>
        <w:tc>
          <w:tcPr>
            <w:tcW w:w="399" w:type="dxa"/>
          </w:tcPr>
          <w:p w14:paraId="0E538F57" w14:textId="77777777" w:rsidR="005D0DF1" w:rsidRPr="00141A4D" w:rsidRDefault="005D0DF1" w:rsidP="006A562B">
            <w:pPr>
              <w:pStyle w:val="Tablecondensedheading"/>
              <w:rPr>
                <w:lang w:val="en-AU"/>
              </w:rPr>
            </w:pPr>
            <w:r w:rsidRPr="00141A4D">
              <w:rPr>
                <w:lang w:val="en-AU"/>
              </w:rPr>
              <w:t>0</w:t>
            </w:r>
          </w:p>
        </w:tc>
        <w:tc>
          <w:tcPr>
            <w:tcW w:w="536" w:type="dxa"/>
          </w:tcPr>
          <w:p w14:paraId="36AEC057" w14:textId="77777777" w:rsidR="005D0DF1" w:rsidRPr="00141A4D" w:rsidRDefault="005D0DF1" w:rsidP="006A562B">
            <w:pPr>
              <w:pStyle w:val="Tablecondensedheading"/>
              <w:rPr>
                <w:lang w:val="en-AU"/>
              </w:rPr>
            </w:pPr>
            <w:r w:rsidRPr="00141A4D">
              <w:rPr>
                <w:lang w:val="en-AU"/>
              </w:rPr>
              <w:t>1</w:t>
            </w:r>
          </w:p>
        </w:tc>
        <w:tc>
          <w:tcPr>
            <w:tcW w:w="399" w:type="dxa"/>
          </w:tcPr>
          <w:p w14:paraId="6915AB3C" w14:textId="77777777" w:rsidR="005D0DF1" w:rsidRPr="00141A4D" w:rsidRDefault="005D0DF1" w:rsidP="006A562B">
            <w:pPr>
              <w:pStyle w:val="Tablecondensedheading"/>
              <w:rPr>
                <w:lang w:val="en-AU"/>
              </w:rPr>
            </w:pPr>
            <w:r w:rsidRPr="00141A4D">
              <w:rPr>
                <w:lang w:val="en-AU"/>
              </w:rPr>
              <w:t>2</w:t>
            </w:r>
          </w:p>
        </w:tc>
        <w:tc>
          <w:tcPr>
            <w:tcW w:w="399" w:type="dxa"/>
          </w:tcPr>
          <w:p w14:paraId="7F5710A2" w14:textId="77777777" w:rsidR="005D0DF1" w:rsidRPr="00141A4D" w:rsidRDefault="005D0DF1" w:rsidP="006A562B">
            <w:pPr>
              <w:pStyle w:val="Tablecondensedheading"/>
              <w:rPr>
                <w:lang w:val="en-AU"/>
              </w:rPr>
            </w:pPr>
            <w:r w:rsidRPr="00141A4D">
              <w:rPr>
                <w:lang w:val="en-AU"/>
              </w:rPr>
              <w:t>3</w:t>
            </w:r>
          </w:p>
        </w:tc>
        <w:tc>
          <w:tcPr>
            <w:tcW w:w="399" w:type="dxa"/>
          </w:tcPr>
          <w:p w14:paraId="4A261003" w14:textId="77777777" w:rsidR="005D0DF1" w:rsidRPr="00141A4D" w:rsidRDefault="005D0DF1" w:rsidP="006A562B">
            <w:pPr>
              <w:pStyle w:val="Tablecondensedheading"/>
              <w:rPr>
                <w:lang w:val="en-AU"/>
              </w:rPr>
            </w:pPr>
            <w:r w:rsidRPr="00141A4D">
              <w:rPr>
                <w:lang w:val="en-AU"/>
              </w:rPr>
              <w:t>4</w:t>
            </w:r>
          </w:p>
        </w:tc>
        <w:tc>
          <w:tcPr>
            <w:tcW w:w="399" w:type="dxa"/>
          </w:tcPr>
          <w:p w14:paraId="314111FE" w14:textId="77777777" w:rsidR="005D0DF1" w:rsidRPr="00141A4D" w:rsidRDefault="005D0DF1" w:rsidP="006A562B">
            <w:pPr>
              <w:pStyle w:val="Tablecondensedheading"/>
              <w:rPr>
                <w:lang w:val="en-AU"/>
              </w:rPr>
            </w:pPr>
            <w:r>
              <w:rPr>
                <w:lang w:val="en-AU"/>
              </w:rPr>
              <w:t>5</w:t>
            </w:r>
          </w:p>
        </w:tc>
        <w:tc>
          <w:tcPr>
            <w:tcW w:w="399" w:type="dxa"/>
          </w:tcPr>
          <w:p w14:paraId="285BFB04" w14:textId="77777777" w:rsidR="005D0DF1" w:rsidRPr="00141A4D" w:rsidRDefault="005D0DF1" w:rsidP="006A562B">
            <w:pPr>
              <w:pStyle w:val="Tablecondensedheading"/>
              <w:rPr>
                <w:lang w:val="en-AU"/>
              </w:rPr>
            </w:pPr>
            <w:r>
              <w:rPr>
                <w:lang w:val="en-AU"/>
              </w:rPr>
              <w:t>6</w:t>
            </w:r>
          </w:p>
        </w:tc>
        <w:tc>
          <w:tcPr>
            <w:tcW w:w="399" w:type="dxa"/>
          </w:tcPr>
          <w:p w14:paraId="6BB995B4" w14:textId="77777777" w:rsidR="005D0DF1" w:rsidRPr="00141A4D" w:rsidRDefault="005D0DF1" w:rsidP="006A562B">
            <w:pPr>
              <w:pStyle w:val="Tablecondensedheading"/>
              <w:rPr>
                <w:lang w:val="en-AU"/>
              </w:rPr>
            </w:pPr>
            <w:r>
              <w:rPr>
                <w:lang w:val="en-AU"/>
              </w:rPr>
              <w:t>7</w:t>
            </w:r>
          </w:p>
        </w:tc>
        <w:tc>
          <w:tcPr>
            <w:tcW w:w="399" w:type="dxa"/>
          </w:tcPr>
          <w:p w14:paraId="49B0FEA5" w14:textId="77777777" w:rsidR="005D0DF1" w:rsidRPr="00141A4D" w:rsidRDefault="005D0DF1" w:rsidP="006A562B">
            <w:pPr>
              <w:pStyle w:val="Tablecondensedheading"/>
              <w:rPr>
                <w:lang w:val="en-AU"/>
              </w:rPr>
            </w:pPr>
            <w:r>
              <w:rPr>
                <w:lang w:val="en-AU"/>
              </w:rPr>
              <w:t>8</w:t>
            </w:r>
          </w:p>
        </w:tc>
        <w:tc>
          <w:tcPr>
            <w:tcW w:w="399" w:type="dxa"/>
          </w:tcPr>
          <w:p w14:paraId="2625DB48" w14:textId="77777777" w:rsidR="005D0DF1" w:rsidRPr="00141A4D" w:rsidRDefault="005D0DF1" w:rsidP="006A562B">
            <w:pPr>
              <w:pStyle w:val="Tablecondensedheading"/>
              <w:rPr>
                <w:lang w:val="en-AU"/>
              </w:rPr>
            </w:pPr>
            <w:r>
              <w:rPr>
                <w:lang w:val="en-AU"/>
              </w:rPr>
              <w:t>9</w:t>
            </w:r>
          </w:p>
        </w:tc>
        <w:tc>
          <w:tcPr>
            <w:tcW w:w="490" w:type="dxa"/>
          </w:tcPr>
          <w:p w14:paraId="155A1CBF" w14:textId="77777777" w:rsidR="005D0DF1" w:rsidRPr="00141A4D" w:rsidRDefault="005D0DF1" w:rsidP="006A562B">
            <w:pPr>
              <w:pStyle w:val="Tablecondensedheading"/>
              <w:rPr>
                <w:lang w:val="en-AU"/>
              </w:rPr>
            </w:pPr>
            <w:r>
              <w:rPr>
                <w:lang w:val="en-AU"/>
              </w:rPr>
              <w:t>10</w:t>
            </w:r>
          </w:p>
        </w:tc>
        <w:tc>
          <w:tcPr>
            <w:tcW w:w="955" w:type="dxa"/>
          </w:tcPr>
          <w:p w14:paraId="48DD0090" w14:textId="10017415" w:rsidR="005D0DF1" w:rsidRPr="00141A4D" w:rsidRDefault="005D0DF1" w:rsidP="006A562B">
            <w:pPr>
              <w:pStyle w:val="Tablecondensedheading"/>
              <w:rPr>
                <w:lang w:val="en-AU"/>
              </w:rPr>
            </w:pPr>
            <w:r>
              <w:rPr>
                <w:lang w:val="en-AU"/>
              </w:rPr>
              <w:t>Average</w:t>
            </w:r>
          </w:p>
        </w:tc>
      </w:tr>
      <w:tr w:rsidR="005D0DF1" w:rsidRPr="00494345" w14:paraId="5B49C558" w14:textId="77777777" w:rsidTr="006440AB">
        <w:tc>
          <w:tcPr>
            <w:tcW w:w="691" w:type="dxa"/>
          </w:tcPr>
          <w:p w14:paraId="7042AD49" w14:textId="77777777" w:rsidR="005D0DF1" w:rsidRPr="00141A4D" w:rsidRDefault="005D0DF1" w:rsidP="006A562B">
            <w:pPr>
              <w:pStyle w:val="Tablecondensed"/>
              <w:rPr>
                <w:lang w:val="en-AU"/>
              </w:rPr>
            </w:pPr>
            <w:r w:rsidRPr="00141A4D">
              <w:rPr>
                <w:lang w:val="en-AU"/>
              </w:rPr>
              <w:t>%</w:t>
            </w:r>
          </w:p>
        </w:tc>
        <w:tc>
          <w:tcPr>
            <w:tcW w:w="399" w:type="dxa"/>
            <w:vAlign w:val="center"/>
          </w:tcPr>
          <w:p w14:paraId="48FECFDE" w14:textId="5D810C13" w:rsidR="005D0DF1" w:rsidRPr="00141A4D" w:rsidRDefault="006440AB" w:rsidP="006A562B">
            <w:pPr>
              <w:pStyle w:val="Tablecondensed"/>
              <w:rPr>
                <w:lang w:val="en-AU"/>
              </w:rPr>
            </w:pPr>
            <w:r>
              <w:rPr>
                <w:lang w:val="en-AU"/>
              </w:rPr>
              <w:t>1</w:t>
            </w:r>
          </w:p>
        </w:tc>
        <w:tc>
          <w:tcPr>
            <w:tcW w:w="536" w:type="dxa"/>
            <w:vAlign w:val="center"/>
          </w:tcPr>
          <w:p w14:paraId="72794559" w14:textId="388B9287" w:rsidR="005D0DF1" w:rsidRPr="00141A4D" w:rsidRDefault="006440AB" w:rsidP="006A562B">
            <w:pPr>
              <w:pStyle w:val="Tablecondensed"/>
              <w:rPr>
                <w:lang w:val="en-AU"/>
              </w:rPr>
            </w:pPr>
            <w:r>
              <w:rPr>
                <w:lang w:val="en-AU"/>
              </w:rPr>
              <w:t>0.7</w:t>
            </w:r>
          </w:p>
        </w:tc>
        <w:tc>
          <w:tcPr>
            <w:tcW w:w="399" w:type="dxa"/>
            <w:vAlign w:val="center"/>
          </w:tcPr>
          <w:p w14:paraId="31664F09" w14:textId="3AB921B3" w:rsidR="005D0DF1" w:rsidRPr="00141A4D" w:rsidRDefault="006440AB" w:rsidP="006A562B">
            <w:pPr>
              <w:pStyle w:val="Tablecondensed"/>
              <w:rPr>
                <w:lang w:val="en-AU"/>
              </w:rPr>
            </w:pPr>
            <w:r>
              <w:rPr>
                <w:lang w:val="en-AU"/>
              </w:rPr>
              <w:t>3</w:t>
            </w:r>
          </w:p>
        </w:tc>
        <w:tc>
          <w:tcPr>
            <w:tcW w:w="399" w:type="dxa"/>
            <w:vAlign w:val="center"/>
          </w:tcPr>
          <w:p w14:paraId="3CF2CEBB" w14:textId="6B4E9FF9" w:rsidR="005D0DF1" w:rsidRPr="00141A4D" w:rsidRDefault="006440AB" w:rsidP="006A562B">
            <w:pPr>
              <w:pStyle w:val="Tablecondensed"/>
              <w:rPr>
                <w:lang w:val="en-AU"/>
              </w:rPr>
            </w:pPr>
            <w:r>
              <w:rPr>
                <w:lang w:val="en-AU"/>
              </w:rPr>
              <w:t>7</w:t>
            </w:r>
          </w:p>
        </w:tc>
        <w:tc>
          <w:tcPr>
            <w:tcW w:w="399" w:type="dxa"/>
            <w:vAlign w:val="center"/>
          </w:tcPr>
          <w:p w14:paraId="49F1BA31" w14:textId="605438C2" w:rsidR="005D0DF1" w:rsidRPr="00141A4D" w:rsidRDefault="006440AB" w:rsidP="006A562B">
            <w:pPr>
              <w:pStyle w:val="Tablecondensed"/>
              <w:rPr>
                <w:lang w:val="en-AU"/>
              </w:rPr>
            </w:pPr>
            <w:r>
              <w:rPr>
                <w:lang w:val="en-AU"/>
              </w:rPr>
              <w:t>14</w:t>
            </w:r>
          </w:p>
        </w:tc>
        <w:tc>
          <w:tcPr>
            <w:tcW w:w="399" w:type="dxa"/>
          </w:tcPr>
          <w:p w14:paraId="5980D6F8" w14:textId="4E431603" w:rsidR="005D0DF1" w:rsidRPr="00494345" w:rsidRDefault="006440AB" w:rsidP="006A562B">
            <w:pPr>
              <w:pStyle w:val="Tablecondensed"/>
              <w:rPr>
                <w:lang w:val="en-AU"/>
              </w:rPr>
            </w:pPr>
            <w:r>
              <w:rPr>
                <w:lang w:val="en-AU"/>
              </w:rPr>
              <w:t>18</w:t>
            </w:r>
          </w:p>
        </w:tc>
        <w:tc>
          <w:tcPr>
            <w:tcW w:w="399" w:type="dxa"/>
          </w:tcPr>
          <w:p w14:paraId="3EC3DAE2" w14:textId="4F6A9946" w:rsidR="005D0DF1" w:rsidRPr="00494345" w:rsidRDefault="006440AB" w:rsidP="006A562B">
            <w:pPr>
              <w:pStyle w:val="Tablecondensed"/>
              <w:rPr>
                <w:lang w:val="en-AU"/>
              </w:rPr>
            </w:pPr>
            <w:r>
              <w:rPr>
                <w:lang w:val="en-AU"/>
              </w:rPr>
              <w:t>20</w:t>
            </w:r>
          </w:p>
        </w:tc>
        <w:tc>
          <w:tcPr>
            <w:tcW w:w="399" w:type="dxa"/>
          </w:tcPr>
          <w:p w14:paraId="7AB0F46D" w14:textId="204ACBE9" w:rsidR="005D0DF1" w:rsidRPr="00494345" w:rsidRDefault="006440AB" w:rsidP="006A562B">
            <w:pPr>
              <w:pStyle w:val="Tablecondensed"/>
              <w:rPr>
                <w:lang w:val="en-AU"/>
              </w:rPr>
            </w:pPr>
            <w:r>
              <w:rPr>
                <w:lang w:val="en-AU"/>
              </w:rPr>
              <w:t>18</w:t>
            </w:r>
          </w:p>
        </w:tc>
        <w:tc>
          <w:tcPr>
            <w:tcW w:w="399" w:type="dxa"/>
          </w:tcPr>
          <w:p w14:paraId="719E021D" w14:textId="1680E7E2" w:rsidR="005D0DF1" w:rsidRPr="00494345" w:rsidRDefault="006440AB" w:rsidP="006A562B">
            <w:pPr>
              <w:pStyle w:val="Tablecondensed"/>
              <w:rPr>
                <w:lang w:val="en-AU"/>
              </w:rPr>
            </w:pPr>
            <w:r>
              <w:rPr>
                <w:lang w:val="en-AU"/>
              </w:rPr>
              <w:t>10</w:t>
            </w:r>
          </w:p>
        </w:tc>
        <w:tc>
          <w:tcPr>
            <w:tcW w:w="399" w:type="dxa"/>
          </w:tcPr>
          <w:p w14:paraId="55C410F0" w14:textId="6A4C7CE0" w:rsidR="005D0DF1" w:rsidRPr="00494345" w:rsidRDefault="006440AB" w:rsidP="006A562B">
            <w:pPr>
              <w:pStyle w:val="Tablecondensed"/>
              <w:rPr>
                <w:lang w:val="en-AU"/>
              </w:rPr>
            </w:pPr>
            <w:r>
              <w:rPr>
                <w:lang w:val="en-AU"/>
              </w:rPr>
              <w:t>6</w:t>
            </w:r>
          </w:p>
        </w:tc>
        <w:tc>
          <w:tcPr>
            <w:tcW w:w="490" w:type="dxa"/>
          </w:tcPr>
          <w:p w14:paraId="5DCAB182" w14:textId="135F8AEC" w:rsidR="005D0DF1" w:rsidRPr="00494345" w:rsidRDefault="006440AB" w:rsidP="006A562B">
            <w:pPr>
              <w:pStyle w:val="Tablecondensed"/>
              <w:rPr>
                <w:lang w:val="en-AU"/>
              </w:rPr>
            </w:pPr>
            <w:r>
              <w:rPr>
                <w:lang w:val="en-AU"/>
              </w:rPr>
              <w:t>2</w:t>
            </w:r>
          </w:p>
        </w:tc>
        <w:tc>
          <w:tcPr>
            <w:tcW w:w="955" w:type="dxa"/>
          </w:tcPr>
          <w:p w14:paraId="1E8B2651" w14:textId="1E9F4EC8" w:rsidR="005D0DF1" w:rsidRPr="00494345" w:rsidRDefault="00EA3B5D" w:rsidP="006A562B">
            <w:pPr>
              <w:pStyle w:val="Tablecondensed"/>
              <w:rPr>
                <w:lang w:val="en-AU"/>
              </w:rPr>
            </w:pPr>
            <w:r>
              <w:rPr>
                <w:lang w:val="en-AU"/>
              </w:rPr>
              <w:t>5.7</w:t>
            </w:r>
          </w:p>
        </w:tc>
      </w:tr>
    </w:tbl>
    <w:p w14:paraId="4638C674" w14:textId="5D45BF6F" w:rsidR="009A18A0" w:rsidRDefault="009A18A0" w:rsidP="009A18A0">
      <w:pPr>
        <w:pStyle w:val="Heading3"/>
      </w:pPr>
      <w:bookmarkStart w:id="1" w:name="_Hlk216007122"/>
      <w:r>
        <w:t>Question 1a.</w:t>
      </w:r>
    </w:p>
    <w:p w14:paraId="308FDA44" w14:textId="7E79679E" w:rsidR="00E4757A" w:rsidRDefault="00740847" w:rsidP="00E848DD">
      <w:pPr>
        <w:pStyle w:val="BodyText"/>
      </w:pPr>
      <w:r>
        <w:t>Question 1a</w:t>
      </w:r>
      <w:r w:rsidR="00E4757A">
        <w:t xml:space="preserve"> required students to bring together three elements:</w:t>
      </w:r>
      <w:r w:rsidR="009C4B6E">
        <w:t xml:space="preserve"> r</w:t>
      </w:r>
      <w:r>
        <w:t>esponses needed</w:t>
      </w:r>
      <w:r w:rsidR="00E4757A">
        <w:t xml:space="preserve"> to directly respond to the ideas provided in the passage</w:t>
      </w:r>
      <w:r>
        <w:t xml:space="preserve"> by Nietzsche</w:t>
      </w:r>
      <w:r w:rsidR="00E4757A">
        <w:t xml:space="preserve">; to explain Nietzsche’s position on the philosophical concept of self-discipline; and to relate </w:t>
      </w:r>
      <w:r w:rsidR="00E83CDA">
        <w:t>these to</w:t>
      </w:r>
      <w:r w:rsidR="00E4757A">
        <w:t xml:space="preserve"> the overall concept of ‘the good life’.</w:t>
      </w:r>
    </w:p>
    <w:p w14:paraId="231E95C6" w14:textId="0C8403B6" w:rsidR="00E83CDA" w:rsidRDefault="00FF005A" w:rsidP="00E848DD">
      <w:pPr>
        <w:pStyle w:val="BodyText"/>
      </w:pPr>
      <w:r>
        <w:t>H</w:t>
      </w:r>
      <w:r w:rsidR="00E83CDA">
        <w:t>igh-scoring</w:t>
      </w:r>
      <w:r>
        <w:t xml:space="preserve"> responses </w:t>
      </w:r>
      <w:r w:rsidR="009D0762">
        <w:t>recogni</w:t>
      </w:r>
      <w:r w:rsidR="007C551B">
        <w:t>sed</w:t>
      </w:r>
      <w:r w:rsidR="009D0762">
        <w:t xml:space="preserve"> </w:t>
      </w:r>
      <w:r>
        <w:t xml:space="preserve">that the passage spoke about the discipline of suffering and </w:t>
      </w:r>
      <w:r w:rsidR="009D0762">
        <w:t>connected</w:t>
      </w:r>
      <w:r>
        <w:t xml:space="preserve"> this concept with the related concept of self-discipline, arguing that the role of self-discipline in Nietzsche’s understanding of the good life </w:t>
      </w:r>
      <w:r w:rsidR="000B19A6">
        <w:t xml:space="preserve">is </w:t>
      </w:r>
      <w:r>
        <w:t xml:space="preserve">to enable the individual to accept and embrace suffering rather </w:t>
      </w:r>
      <w:r w:rsidR="009D0762">
        <w:t xml:space="preserve">than </w:t>
      </w:r>
      <w:r>
        <w:t>avoid it, and thus to cultivate the noble virtues necessary for the good life.</w:t>
      </w:r>
    </w:p>
    <w:p w14:paraId="7B237196" w14:textId="34630F3A" w:rsidR="00FF005A" w:rsidRDefault="00B14809" w:rsidP="00E848DD">
      <w:pPr>
        <w:pStyle w:val="BodyText"/>
      </w:pPr>
      <w:r>
        <w:t>Lower-scoring responses often focused on</w:t>
      </w:r>
      <w:r w:rsidR="00FF005A">
        <w:t xml:space="preserve"> the role of suffering in the good life, responded to the ‘discipline of suffering’ without making the connection to self-discipline</w:t>
      </w:r>
      <w:r>
        <w:t xml:space="preserve">, or </w:t>
      </w:r>
      <w:r w:rsidR="00FF005A">
        <w:t xml:space="preserve">focused on the contemptibility of the man who avoids suffering </w:t>
      </w:r>
      <w:r>
        <w:t>without making a</w:t>
      </w:r>
      <w:r w:rsidR="00FF005A">
        <w:t xml:space="preserve"> connection between this part of the passage and the concept of self-discipline.</w:t>
      </w:r>
    </w:p>
    <w:p w14:paraId="666DF9FE" w14:textId="3F8F1F81" w:rsidR="002E1A8C" w:rsidRDefault="00FF005A" w:rsidP="00E848DD">
      <w:pPr>
        <w:pStyle w:val="BodyText"/>
      </w:pPr>
      <w:r>
        <w:t xml:space="preserve">It was not necessary </w:t>
      </w:r>
      <w:r w:rsidR="00B14809">
        <w:t>for responses to this question part</w:t>
      </w:r>
      <w:r>
        <w:t xml:space="preserve"> to discuss Nietzsche’s broader philosophical concepts such as </w:t>
      </w:r>
      <w:r w:rsidR="007D25FB">
        <w:t>‘</w:t>
      </w:r>
      <w:r w:rsidR="00C8293C">
        <w:t>herd morality’</w:t>
      </w:r>
      <w:r w:rsidR="006C14A5">
        <w:t xml:space="preserve"> </w:t>
      </w:r>
      <w:r w:rsidR="000B19A6">
        <w:t>/</w:t>
      </w:r>
      <w:r w:rsidR="006C14A5">
        <w:t xml:space="preserve"> </w:t>
      </w:r>
      <w:r w:rsidR="00C8293C">
        <w:t>‘</w:t>
      </w:r>
      <w:r w:rsidR="000B19A6">
        <w:t>slave</w:t>
      </w:r>
      <w:r w:rsidR="00C8293C">
        <w:t xml:space="preserve"> </w:t>
      </w:r>
      <w:r w:rsidR="000B19A6">
        <w:t>morality</w:t>
      </w:r>
      <w:r w:rsidR="00C8293C">
        <w:t>’</w:t>
      </w:r>
      <w:r w:rsidR="000B19A6">
        <w:t xml:space="preserve">, </w:t>
      </w:r>
      <w:r w:rsidR="00C8293C">
        <w:t>‘</w:t>
      </w:r>
      <w:r w:rsidR="000B19A6">
        <w:t>master</w:t>
      </w:r>
      <w:r w:rsidR="00C8293C">
        <w:t xml:space="preserve"> </w:t>
      </w:r>
      <w:r w:rsidR="000B19A6">
        <w:t>morality</w:t>
      </w:r>
      <w:r w:rsidR="00C8293C">
        <w:t>’</w:t>
      </w:r>
      <w:r>
        <w:t xml:space="preserve">, the virtue of solitude, the role of fear as the mother of morality, the hypocrisy of commanders, his arguments against </w:t>
      </w:r>
      <w:r w:rsidR="009C142E">
        <w:t>u</w:t>
      </w:r>
      <w:r>
        <w:t>tilitarianism etc</w:t>
      </w:r>
      <w:r w:rsidR="00B14809">
        <w:t>.</w:t>
      </w:r>
      <w:r>
        <w:t xml:space="preserve"> Responses tha</w:t>
      </w:r>
      <w:r w:rsidR="002E1A8C">
        <w:t xml:space="preserve">t were not selective in identifying the most salient perspectives and positions in Nietzsche’s text, as they relate specifically to the passage provided, </w:t>
      </w:r>
      <w:r w:rsidR="00F1458C">
        <w:t>generally scored less highly</w:t>
      </w:r>
      <w:r w:rsidR="002E1A8C">
        <w:t>.</w:t>
      </w:r>
    </w:p>
    <w:p w14:paraId="7C3B8D11" w14:textId="045ECD8E" w:rsidR="00FF005A" w:rsidRDefault="00E55C1E" w:rsidP="00E848DD">
      <w:pPr>
        <w:pStyle w:val="BodyText"/>
      </w:pPr>
      <w:r>
        <w:lastRenderedPageBreak/>
        <w:t>Some lower-scoring r</w:t>
      </w:r>
      <w:r w:rsidR="002E1A8C">
        <w:t xml:space="preserve">esponses made no reference to </w:t>
      </w:r>
      <w:r w:rsidR="005450C2">
        <w:t>‘</w:t>
      </w:r>
      <w:r w:rsidR="002E1A8C">
        <w:t xml:space="preserve">the passage above’ at all </w:t>
      </w:r>
      <w:r>
        <w:t xml:space="preserve">and thus </w:t>
      </w:r>
      <w:r w:rsidR="002E1A8C">
        <w:t>were not considered to have fully answered the question, even if they were able to demonstrate comprehensive or detailed knowledge of the relevant set text.</w:t>
      </w:r>
    </w:p>
    <w:bookmarkEnd w:id="1"/>
    <w:p w14:paraId="144472BD" w14:textId="31D32F47" w:rsidR="009A18A0" w:rsidRDefault="009A18A0" w:rsidP="009A18A0">
      <w:pPr>
        <w:pStyle w:val="Heading3"/>
      </w:pPr>
      <w:r>
        <w:t>Question 1b.</w:t>
      </w:r>
    </w:p>
    <w:p w14:paraId="01B7227D" w14:textId="549D3B09" w:rsidR="00A749D0" w:rsidRDefault="00E93438" w:rsidP="00E848DD">
      <w:pPr>
        <w:pStyle w:val="BodyText"/>
      </w:pPr>
      <w:r>
        <w:t xml:space="preserve">For </w:t>
      </w:r>
      <w:r w:rsidR="001406EB">
        <w:t>Q</w:t>
      </w:r>
      <w:r>
        <w:t>uestion 1b, s</w:t>
      </w:r>
      <w:r w:rsidR="00A749D0">
        <w:t>tudents were able to select any thinker from any of the Unit 3 texts</w:t>
      </w:r>
      <w:r>
        <w:t xml:space="preserve">. </w:t>
      </w:r>
      <w:r w:rsidR="0053154E">
        <w:t>High-</w:t>
      </w:r>
      <w:r w:rsidR="00A749D0">
        <w:t xml:space="preserve">scoring responses </w:t>
      </w:r>
      <w:r w:rsidR="00E4707C">
        <w:t>selected</w:t>
      </w:r>
      <w:r w:rsidR="00A749D0">
        <w:t xml:space="preserve"> a thinker from that list </w:t>
      </w:r>
      <w:r w:rsidR="00E4707C">
        <w:t>with specific relevance</w:t>
      </w:r>
      <w:r w:rsidR="00A749D0">
        <w:t xml:space="preserve"> to the concept of self-discipline.</w:t>
      </w:r>
    </w:p>
    <w:p w14:paraId="07E0C0BC" w14:textId="30CE34E8" w:rsidR="00D05E82" w:rsidRDefault="00D05962" w:rsidP="00E848DD">
      <w:pPr>
        <w:pStyle w:val="BodyText"/>
      </w:pPr>
      <w:r>
        <w:t xml:space="preserve">Of these, the thinkers in Plato’s </w:t>
      </w:r>
      <w:r w:rsidRPr="00360564">
        <w:rPr>
          <w:rStyle w:val="Emphasis"/>
        </w:rPr>
        <w:t>Gorgias</w:t>
      </w:r>
      <w:r>
        <w:t xml:space="preserve">, both Callicles and Socrates, were often used </w:t>
      </w:r>
      <w:r w:rsidR="0053154E">
        <w:t xml:space="preserve">in high-scoring responses </w:t>
      </w:r>
      <w:r>
        <w:t>as a comparison to Nietzsche’s view on the role of self-discipline, and both thinkers provided relevant comparisons in their differing views on self-discipline.</w:t>
      </w:r>
      <w:r w:rsidR="0053154E">
        <w:t xml:space="preserve"> (In the case of Callicles, that he would reject Nietzsche’s view of self-discipline as a form of self-enslavement;</w:t>
      </w:r>
      <w:r w:rsidR="0053154E" w:rsidRPr="0053154E">
        <w:t xml:space="preserve"> </w:t>
      </w:r>
      <w:r w:rsidR="0053154E">
        <w:t>in the case of Socrates, that he would value self-discipline, but that his understanding of self-discipline is greatly different from Nietzsche’s.)</w:t>
      </w:r>
      <w:r>
        <w:t xml:space="preserve"> </w:t>
      </w:r>
      <w:r w:rsidR="00D05E82">
        <w:t xml:space="preserve">Aristotle was also a popular choice and provided a relevant comparative perspective. </w:t>
      </w:r>
      <w:r w:rsidR="0053154E">
        <w:t>(That</w:t>
      </w:r>
      <w:r w:rsidR="00D05E82">
        <w:t xml:space="preserve"> he would agree with the need for self-discipline as a means of cultivating </w:t>
      </w:r>
      <w:proofErr w:type="gramStart"/>
      <w:r w:rsidR="00D05E82">
        <w:t>virtue, but</w:t>
      </w:r>
      <w:proofErr w:type="gramEnd"/>
      <w:r w:rsidR="00D05E82">
        <w:t xml:space="preserve"> would have a greatly different view of what virtues constituted the good life.</w:t>
      </w:r>
      <w:r w:rsidR="0053154E">
        <w:t>)</w:t>
      </w:r>
    </w:p>
    <w:p w14:paraId="528185D2" w14:textId="0A1889CD" w:rsidR="00D05E82" w:rsidRDefault="0053154E" w:rsidP="00E848DD">
      <w:pPr>
        <w:pStyle w:val="BodyText"/>
      </w:pPr>
      <w:r>
        <w:t>Responses that included</w:t>
      </w:r>
      <w:r w:rsidR="00D05E82">
        <w:t xml:space="preserve"> a relevant thinker </w:t>
      </w:r>
      <w:r w:rsidR="00343133">
        <w:t>for</w:t>
      </w:r>
      <w:r w:rsidR="00D05E82">
        <w:t xml:space="preserve"> the comparison but did not directly address the philosophical concept of </w:t>
      </w:r>
      <w:proofErr w:type="gramStart"/>
      <w:r w:rsidR="00D05E82">
        <w:t>self-discipline, or</w:t>
      </w:r>
      <w:proofErr w:type="gramEnd"/>
      <w:r w:rsidR="00D05E82">
        <w:t xml:space="preserve"> outlined the chosen thinker’s view without making a direct connection between that view and Nietzsche’s own, </w:t>
      </w:r>
      <w:r w:rsidR="008557F6">
        <w:t>generally scored less highly</w:t>
      </w:r>
      <w:r w:rsidR="00D05E82">
        <w:t>.</w:t>
      </w:r>
      <w:r w:rsidR="00AF1841">
        <w:t xml:space="preserve"> For example, some responses chose </w:t>
      </w:r>
      <w:proofErr w:type="gramStart"/>
      <w:r w:rsidR="00AF1841">
        <w:t>Callicles, but</w:t>
      </w:r>
      <w:proofErr w:type="gramEnd"/>
      <w:r w:rsidR="00AF1841">
        <w:t xml:space="preserve"> focused on the avoidance of suffering rather than on self-discipline; some chose Socrates, but focused on analogies such as the gully-bird or the leaky-jar; some chose Aristotle but understood discipline only in terms of an Aristotelian (‘golden’) mean.</w:t>
      </w:r>
    </w:p>
    <w:p w14:paraId="66ADCC7B" w14:textId="3CD8C46E" w:rsidR="00D05962" w:rsidRDefault="00D05E82" w:rsidP="00E848DD">
      <w:pPr>
        <w:pStyle w:val="BodyText"/>
      </w:pPr>
      <w:r>
        <w:t>S</w:t>
      </w:r>
      <w:r w:rsidR="00EA6CFB">
        <w:t xml:space="preserve">ome </w:t>
      </w:r>
      <w:r w:rsidR="00327800">
        <w:t xml:space="preserve">responses </w:t>
      </w:r>
      <w:r>
        <w:t xml:space="preserve">selected thinkers from Unit 3 who did not </w:t>
      </w:r>
      <w:r w:rsidR="00EA6CFB">
        <w:t>directly</w:t>
      </w:r>
      <w:r>
        <w:t xml:space="preserve"> address self-discipline in their works</w:t>
      </w:r>
      <w:r w:rsidR="00EA6CFB">
        <w:t xml:space="preserve">. For </w:t>
      </w:r>
      <w:r w:rsidR="0053154E">
        <w:t xml:space="preserve">example, some </w:t>
      </w:r>
      <w:r w:rsidR="00EA6CFB">
        <w:t xml:space="preserve">responses attempted to apply Simone de </w:t>
      </w:r>
      <w:r w:rsidR="20581217">
        <w:t>Beauvoir's</w:t>
      </w:r>
      <w:r w:rsidR="00EA6CFB">
        <w:t xml:space="preserve"> views on authenticity and freedom as a comparison to Nietzsche’s views on freedom and self-overcoming</w:t>
      </w:r>
      <w:r w:rsidR="0053154E">
        <w:t>, or</w:t>
      </w:r>
      <w:r w:rsidR="00EA6CFB">
        <w:t xml:space="preserve"> Singer’s utilitarian perspective on the reduction of suffering</w:t>
      </w:r>
      <w:r w:rsidR="0053154E">
        <w:t xml:space="preserve"> as a comparison</w:t>
      </w:r>
      <w:r w:rsidR="00EA6CFB">
        <w:t xml:space="preserve"> to Nietzsche’s advocacy for the role of suffering. These responses were less able to meet the specific demands of this </w:t>
      </w:r>
      <w:r w:rsidR="0053154E">
        <w:t>question part</w:t>
      </w:r>
      <w:r w:rsidR="00EA6CFB">
        <w:t xml:space="preserve">, and so were less likely to </w:t>
      </w:r>
      <w:r w:rsidR="00343133">
        <w:t>score highly</w:t>
      </w:r>
      <w:r w:rsidR="00EA6CFB">
        <w:t>.</w:t>
      </w:r>
    </w:p>
    <w:p w14:paraId="49D3F173" w14:textId="1441C18B" w:rsidR="00871409" w:rsidRPr="00A749D0" w:rsidRDefault="00C761FB" w:rsidP="00E848DD">
      <w:pPr>
        <w:pStyle w:val="BodyText"/>
      </w:pPr>
      <w:r>
        <w:t>Some lower-scoring responses</w:t>
      </w:r>
      <w:r w:rsidR="002D1B37">
        <w:t xml:space="preserve"> </w:t>
      </w:r>
      <w:r w:rsidR="00EA6CFB">
        <w:t>selected a thinker other than those from the Unit 3 prescribed texts</w:t>
      </w:r>
      <w:r>
        <w:t xml:space="preserve"> and thus</w:t>
      </w:r>
      <w:r w:rsidR="00EA6CFB">
        <w:t xml:space="preserve"> were not considered to have fully answered the question, even if they were able to demonstrate comprehensive or detailed knowledge of the chosen thinker.</w:t>
      </w:r>
    </w:p>
    <w:p w14:paraId="522D215A" w14:textId="7393EA99" w:rsidR="009A18A0" w:rsidRDefault="009A18A0" w:rsidP="009A18A0">
      <w:pPr>
        <w:pStyle w:val="Heading3"/>
      </w:pPr>
      <w:r>
        <w:t>Question 1c.</w:t>
      </w:r>
    </w:p>
    <w:p w14:paraId="1FE0844C" w14:textId="4C6458E3" w:rsidR="00A749D0" w:rsidRDefault="000B4F1F" w:rsidP="00113BC7">
      <w:pPr>
        <w:pStyle w:val="BodyText"/>
      </w:pPr>
      <w:r>
        <w:t xml:space="preserve">Question 1c </w:t>
      </w:r>
      <w:r w:rsidR="00A749D0">
        <w:t xml:space="preserve">required students to </w:t>
      </w:r>
      <w:r>
        <w:t xml:space="preserve">recognise </w:t>
      </w:r>
      <w:r w:rsidR="00A749D0">
        <w:t>a shift in focus, from the role of self-discipline to the role of suffering,</w:t>
      </w:r>
      <w:r w:rsidR="00A1142A">
        <w:t xml:space="preserve"> and to address suffering as a </w:t>
      </w:r>
      <w:r w:rsidR="00A749D0">
        <w:t>distinct but related philosophical concept</w:t>
      </w:r>
      <w:r w:rsidR="00A1142A">
        <w:t xml:space="preserve"> with relation to the good life</w:t>
      </w:r>
      <w:r w:rsidR="00A749D0">
        <w:t>.</w:t>
      </w:r>
    </w:p>
    <w:p w14:paraId="20671F26" w14:textId="0B8F1D86" w:rsidR="00A1142A" w:rsidRDefault="000B4F1F" w:rsidP="00113BC7">
      <w:pPr>
        <w:pStyle w:val="BodyText"/>
      </w:pPr>
      <w:r>
        <w:t>This question part</w:t>
      </w:r>
      <w:r w:rsidR="00A1142A">
        <w:t xml:space="preserve"> specifically required students to support their reasoning with an example. Students who did not use an example were not considered to have fully answered the question.</w:t>
      </w:r>
    </w:p>
    <w:p w14:paraId="2B551F16" w14:textId="702C2110" w:rsidR="007856DF" w:rsidRDefault="00A1142A" w:rsidP="00113BC7">
      <w:pPr>
        <w:pStyle w:val="BodyText"/>
      </w:pPr>
      <w:r>
        <w:t xml:space="preserve">There </w:t>
      </w:r>
      <w:r w:rsidR="009E5DE0">
        <w:t xml:space="preserve">was </w:t>
      </w:r>
      <w:r>
        <w:t xml:space="preserve">a wide variety of possible responses to this </w:t>
      </w:r>
      <w:r w:rsidR="000B4F1F">
        <w:t>question part</w:t>
      </w:r>
      <w:r w:rsidR="00943FBF">
        <w:t xml:space="preserve">. </w:t>
      </w:r>
      <w:r w:rsidR="000B4F1F">
        <w:t>Below is</w:t>
      </w:r>
      <w:r w:rsidR="00943FBF">
        <w:t xml:space="preserve"> </w:t>
      </w:r>
      <w:r w:rsidR="000B4F1F">
        <w:t xml:space="preserve">one </w:t>
      </w:r>
      <w:r w:rsidR="00943FBF">
        <w:t xml:space="preserve">example </w:t>
      </w:r>
      <w:r>
        <w:t xml:space="preserve">of a </w:t>
      </w:r>
      <w:r w:rsidR="000B4F1F">
        <w:t>high-</w:t>
      </w:r>
      <w:r>
        <w:t>scoring response,</w:t>
      </w:r>
      <w:r w:rsidR="00943FBF">
        <w:t xml:space="preserve"> but</w:t>
      </w:r>
      <w:r>
        <w:t xml:space="preserve"> other </w:t>
      </w:r>
      <w:r w:rsidR="000B4F1F">
        <w:t>high-</w:t>
      </w:r>
      <w:r>
        <w:t xml:space="preserve">scoring responses may have taken a different perspective, </w:t>
      </w:r>
      <w:r w:rsidR="000B4F1F">
        <w:t xml:space="preserve">including </w:t>
      </w:r>
      <w:r>
        <w:t>a directly contradictory perspective on the role of suffering</w:t>
      </w:r>
      <w:r w:rsidR="00943FBF">
        <w:t>, provided they were insightfully justified and supported by a carefully selected and relevant example.</w:t>
      </w:r>
    </w:p>
    <w:p w14:paraId="4FAFF40F" w14:textId="1282B91E" w:rsidR="000B4F1F" w:rsidRPr="00FD061D" w:rsidRDefault="000B4F1F" w:rsidP="000B4F1F">
      <w:pPr>
        <w:pStyle w:val="BodyText"/>
      </w:pPr>
      <w:r>
        <w:t>The following is an example of a high-scoring response to Question 1:</w:t>
      </w:r>
    </w:p>
    <w:p w14:paraId="0C62171E" w14:textId="77777777" w:rsidR="004235E4" w:rsidRDefault="00113BC7" w:rsidP="00113BC7">
      <w:pPr>
        <w:pStyle w:val="Studentsample"/>
      </w:pPr>
      <w:r w:rsidRPr="00113BC7">
        <w:t>a</w:t>
      </w:r>
      <w:r>
        <w:t>)</w:t>
      </w:r>
      <w:r w:rsidRPr="00113BC7">
        <w:t xml:space="preserve"> </w:t>
      </w:r>
      <w:r w:rsidR="00D33A30" w:rsidRPr="00113BC7">
        <w:t xml:space="preserve">Nietzsche </w:t>
      </w:r>
      <w:r w:rsidR="00C70113" w:rsidRPr="00113BC7">
        <w:t>criticizes what he describes as ‘slave morality’, the morality of the majority that believes in trying to minimize suffering</w:t>
      </w:r>
      <w:r w:rsidR="00D33A30" w:rsidRPr="00113BC7">
        <w:t>.</w:t>
      </w:r>
      <w:r w:rsidR="00C70113" w:rsidRPr="00113BC7">
        <w:t xml:space="preserve"> To Nietzsche, modes of morality that assess things based on pleasure and pain ignore the benefits of suffering: that it allows for the development of greatness amongst mankind. He argues that </w:t>
      </w:r>
      <w:proofErr w:type="gramStart"/>
      <w:r w:rsidR="00C70113" w:rsidRPr="00113BC7">
        <w:t>all of</w:t>
      </w:r>
      <w:proofErr w:type="gramEnd"/>
      <w:r w:rsidR="00C70113" w:rsidRPr="00113BC7">
        <w:t xml:space="preserve"> the greatest achievements of mankind have come about due to </w:t>
      </w:r>
      <w:proofErr w:type="gramStart"/>
      <w:r w:rsidR="00C70113" w:rsidRPr="00113BC7">
        <w:t>suffering, and</w:t>
      </w:r>
      <w:proofErr w:type="gramEnd"/>
      <w:r w:rsidR="00C70113" w:rsidRPr="00113BC7">
        <w:t xml:space="preserve"> argues for the discipline of suffering. This could be seen as a type of self-discipline, in which case Nietzsche would </w:t>
      </w:r>
      <w:r w:rsidR="00C70113" w:rsidRPr="00113BC7">
        <w:lastRenderedPageBreak/>
        <w:t>agree that self-discipline is a key ingredient in the good life. However, as he disagrees with modes of morality that assess based on the amount of pleasure and pain, self-discipline that aims at minimizing suffering would be ridiculous to him and a part of the morality of the herd.</w:t>
      </w:r>
    </w:p>
    <w:p w14:paraId="5A135B5B" w14:textId="3FA85869" w:rsidR="004235E4" w:rsidRDefault="00113BC7" w:rsidP="00113BC7">
      <w:pPr>
        <w:pStyle w:val="Studentsample"/>
      </w:pPr>
      <w:r w:rsidRPr="00113BC7">
        <w:t>b</w:t>
      </w:r>
      <w:r>
        <w:t>)</w:t>
      </w:r>
      <w:r w:rsidRPr="00113BC7">
        <w:t xml:space="preserve"> </w:t>
      </w:r>
      <w:r w:rsidR="00D33A30" w:rsidRPr="00113BC7">
        <w:t xml:space="preserve">Callicles </w:t>
      </w:r>
      <w:r w:rsidR="00C70113" w:rsidRPr="00113BC7">
        <w:t>argues for the hedonist view that pleasure is the key to the good life, arguing that we should let our desires grow as much as possible, rather than try to limit them</w:t>
      </w:r>
      <w:r w:rsidR="00D33A30" w:rsidRPr="00113BC7">
        <w:t xml:space="preserve">. </w:t>
      </w:r>
      <w:r w:rsidR="00C70113" w:rsidRPr="00113BC7">
        <w:t xml:space="preserve">To justify his view, Callicles turns to nature, arguing that natural law has made some individuals stronger than others, thus nature wants those individuals to use their strength to grow their pleasure, even if it’s at the expense of the naturally weak. Callicles would disagree with Nietzsche’s view on the discipline of suffering, seeing all forms of self-discipline as a hindrance to desire and thus incompatible with the good life. However, his views on the naturally weak and the naturally strong mirror Nietzsche’s, with both thinkers </w:t>
      </w:r>
      <w:r w:rsidR="00901339" w:rsidRPr="00113BC7">
        <w:t xml:space="preserve">see the morality of the weak/slave </w:t>
      </w:r>
      <w:proofErr w:type="gramStart"/>
      <w:r w:rsidR="00901339" w:rsidRPr="00113BC7">
        <w:t>as a way to</w:t>
      </w:r>
      <w:proofErr w:type="gramEnd"/>
      <w:r w:rsidR="00901339" w:rsidRPr="00113BC7">
        <w:t xml:space="preserve"> try to suppress the strength of the strong. Callicles however, thinks that pleasure is the most important thing, while Nietzsche believes it is suffering.</w:t>
      </w:r>
    </w:p>
    <w:p w14:paraId="45984C34" w14:textId="22094E73" w:rsidR="007856DF" w:rsidRDefault="00113BC7" w:rsidP="00113BC7">
      <w:pPr>
        <w:pStyle w:val="Studentsample"/>
      </w:pPr>
      <w:r w:rsidRPr="00113BC7">
        <w:t>c</w:t>
      </w:r>
      <w:r>
        <w:t>)</w:t>
      </w:r>
      <w:r w:rsidRPr="00113BC7">
        <w:t xml:space="preserve"> </w:t>
      </w:r>
      <w:r w:rsidR="00901339" w:rsidRPr="00113BC7">
        <w:t xml:space="preserve">I believe that suffering plays a role in the good life, agreeing with Nietzsche that suffering often allows for immense growth of strength and character. Without knowing suffering, happiness wouldn’t feel as good as we would have nothing to compare it to. Some of the greatest pieces of art have been created because of suffering. However, I don’t believe that all suffering is necessary. Take for example a young child suffering greatly from an illness and dying. What did that child gain from suffering? Moreover, imagine a deer in the forest who gets gravely injured and </w:t>
      </w:r>
      <w:proofErr w:type="gramStart"/>
      <w:r w:rsidR="00901339" w:rsidRPr="00113BC7">
        <w:t>has to</w:t>
      </w:r>
      <w:proofErr w:type="gramEnd"/>
      <w:r w:rsidR="00901339" w:rsidRPr="00113BC7">
        <w:t xml:space="preserve"> suffer for days before passing away from injury. What does that deer gain? It cannot grow from suffering the same way we can. It cannot learn and ultimately dies. I believe that we only think suffering is important because we experience it, because we don’t know any different, thus we give a reason for it. I think that if we didn’t have to suffer at all, if we had the choice between experiencing suffering or not, we would choose not to. It is only because we don’t have the choice that we believe it is necessary. </w:t>
      </w:r>
    </w:p>
    <w:p w14:paraId="4CA906D5" w14:textId="510AF0AA" w:rsidR="00620FDC" w:rsidRPr="00391C0F" w:rsidRDefault="00614EA1" w:rsidP="00391C0F">
      <w:pPr>
        <w:pStyle w:val="Heading2"/>
      </w:pPr>
      <w:r>
        <w:t>Question 2</w:t>
      </w:r>
    </w:p>
    <w:tbl>
      <w:tblPr>
        <w:tblStyle w:val="VCAATableClosed"/>
        <w:tblW w:w="6126" w:type="dxa"/>
        <w:tblLayout w:type="fixed"/>
        <w:tblLook w:val="04A0" w:firstRow="1" w:lastRow="0" w:firstColumn="1" w:lastColumn="0" w:noHBand="0" w:noVBand="1"/>
      </w:tblPr>
      <w:tblGrid>
        <w:gridCol w:w="691"/>
        <w:gridCol w:w="399"/>
        <w:gridCol w:w="399"/>
        <w:gridCol w:w="399"/>
        <w:gridCol w:w="399"/>
        <w:gridCol w:w="399"/>
        <w:gridCol w:w="399"/>
        <w:gridCol w:w="399"/>
        <w:gridCol w:w="399"/>
        <w:gridCol w:w="399"/>
        <w:gridCol w:w="399"/>
        <w:gridCol w:w="490"/>
        <w:gridCol w:w="955"/>
      </w:tblGrid>
      <w:tr w:rsidR="005D0DF1" w:rsidRPr="00141A4D" w14:paraId="6A5CA92D" w14:textId="77777777" w:rsidTr="006A562B">
        <w:trPr>
          <w:cnfStyle w:val="100000000000" w:firstRow="1" w:lastRow="0" w:firstColumn="0" w:lastColumn="0" w:oddVBand="0" w:evenVBand="0" w:oddHBand="0" w:evenHBand="0" w:firstRowFirstColumn="0" w:firstRowLastColumn="0" w:lastRowFirstColumn="0" w:lastRowLastColumn="0"/>
        </w:trPr>
        <w:tc>
          <w:tcPr>
            <w:tcW w:w="691" w:type="dxa"/>
          </w:tcPr>
          <w:p w14:paraId="4CE1C0F5" w14:textId="77777777" w:rsidR="005D0DF1" w:rsidRPr="00141A4D" w:rsidRDefault="005D0DF1" w:rsidP="006A562B">
            <w:pPr>
              <w:pStyle w:val="Tablecondensedheading"/>
              <w:rPr>
                <w:lang w:val="en-AU"/>
              </w:rPr>
            </w:pPr>
            <w:r w:rsidRPr="00141A4D">
              <w:rPr>
                <w:lang w:val="en-AU"/>
              </w:rPr>
              <w:t>Mark</w:t>
            </w:r>
          </w:p>
        </w:tc>
        <w:tc>
          <w:tcPr>
            <w:tcW w:w="399" w:type="dxa"/>
          </w:tcPr>
          <w:p w14:paraId="0BB46826" w14:textId="77777777" w:rsidR="005D0DF1" w:rsidRPr="00141A4D" w:rsidRDefault="005D0DF1" w:rsidP="006A562B">
            <w:pPr>
              <w:pStyle w:val="Tablecondensedheading"/>
              <w:rPr>
                <w:lang w:val="en-AU"/>
              </w:rPr>
            </w:pPr>
            <w:r w:rsidRPr="00141A4D">
              <w:rPr>
                <w:lang w:val="en-AU"/>
              </w:rPr>
              <w:t>0</w:t>
            </w:r>
          </w:p>
        </w:tc>
        <w:tc>
          <w:tcPr>
            <w:tcW w:w="399" w:type="dxa"/>
          </w:tcPr>
          <w:p w14:paraId="230C37EC" w14:textId="77777777" w:rsidR="005D0DF1" w:rsidRPr="00141A4D" w:rsidRDefault="005D0DF1" w:rsidP="006A562B">
            <w:pPr>
              <w:pStyle w:val="Tablecondensedheading"/>
              <w:rPr>
                <w:lang w:val="en-AU"/>
              </w:rPr>
            </w:pPr>
            <w:r w:rsidRPr="00141A4D">
              <w:rPr>
                <w:lang w:val="en-AU"/>
              </w:rPr>
              <w:t>1</w:t>
            </w:r>
          </w:p>
        </w:tc>
        <w:tc>
          <w:tcPr>
            <w:tcW w:w="399" w:type="dxa"/>
          </w:tcPr>
          <w:p w14:paraId="26CA2277" w14:textId="77777777" w:rsidR="005D0DF1" w:rsidRPr="00141A4D" w:rsidRDefault="005D0DF1" w:rsidP="006A562B">
            <w:pPr>
              <w:pStyle w:val="Tablecondensedheading"/>
              <w:rPr>
                <w:lang w:val="en-AU"/>
              </w:rPr>
            </w:pPr>
            <w:r w:rsidRPr="00141A4D">
              <w:rPr>
                <w:lang w:val="en-AU"/>
              </w:rPr>
              <w:t>2</w:t>
            </w:r>
          </w:p>
        </w:tc>
        <w:tc>
          <w:tcPr>
            <w:tcW w:w="399" w:type="dxa"/>
          </w:tcPr>
          <w:p w14:paraId="3398FEE1" w14:textId="77777777" w:rsidR="005D0DF1" w:rsidRPr="00141A4D" w:rsidRDefault="005D0DF1" w:rsidP="006A562B">
            <w:pPr>
              <w:pStyle w:val="Tablecondensedheading"/>
              <w:rPr>
                <w:lang w:val="en-AU"/>
              </w:rPr>
            </w:pPr>
            <w:r w:rsidRPr="00141A4D">
              <w:rPr>
                <w:lang w:val="en-AU"/>
              </w:rPr>
              <w:t>3</w:t>
            </w:r>
          </w:p>
        </w:tc>
        <w:tc>
          <w:tcPr>
            <w:tcW w:w="399" w:type="dxa"/>
          </w:tcPr>
          <w:p w14:paraId="0F76DACD" w14:textId="77777777" w:rsidR="005D0DF1" w:rsidRPr="00141A4D" w:rsidRDefault="005D0DF1" w:rsidP="006A562B">
            <w:pPr>
              <w:pStyle w:val="Tablecondensedheading"/>
              <w:rPr>
                <w:lang w:val="en-AU"/>
              </w:rPr>
            </w:pPr>
            <w:r w:rsidRPr="00141A4D">
              <w:rPr>
                <w:lang w:val="en-AU"/>
              </w:rPr>
              <w:t>4</w:t>
            </w:r>
          </w:p>
        </w:tc>
        <w:tc>
          <w:tcPr>
            <w:tcW w:w="399" w:type="dxa"/>
          </w:tcPr>
          <w:p w14:paraId="5DB4B4E0" w14:textId="77777777" w:rsidR="005D0DF1" w:rsidRPr="00141A4D" w:rsidRDefault="005D0DF1" w:rsidP="006A562B">
            <w:pPr>
              <w:pStyle w:val="Tablecondensedheading"/>
              <w:rPr>
                <w:lang w:val="en-AU"/>
              </w:rPr>
            </w:pPr>
            <w:r>
              <w:rPr>
                <w:lang w:val="en-AU"/>
              </w:rPr>
              <w:t>5</w:t>
            </w:r>
          </w:p>
        </w:tc>
        <w:tc>
          <w:tcPr>
            <w:tcW w:w="399" w:type="dxa"/>
          </w:tcPr>
          <w:p w14:paraId="788BDD5F" w14:textId="77777777" w:rsidR="005D0DF1" w:rsidRPr="00141A4D" w:rsidRDefault="005D0DF1" w:rsidP="006A562B">
            <w:pPr>
              <w:pStyle w:val="Tablecondensedheading"/>
              <w:rPr>
                <w:lang w:val="en-AU"/>
              </w:rPr>
            </w:pPr>
            <w:r>
              <w:rPr>
                <w:lang w:val="en-AU"/>
              </w:rPr>
              <w:t>6</w:t>
            </w:r>
          </w:p>
        </w:tc>
        <w:tc>
          <w:tcPr>
            <w:tcW w:w="399" w:type="dxa"/>
          </w:tcPr>
          <w:p w14:paraId="28B88A36" w14:textId="77777777" w:rsidR="005D0DF1" w:rsidRPr="00141A4D" w:rsidRDefault="005D0DF1" w:rsidP="006A562B">
            <w:pPr>
              <w:pStyle w:val="Tablecondensedheading"/>
              <w:rPr>
                <w:lang w:val="en-AU"/>
              </w:rPr>
            </w:pPr>
            <w:r>
              <w:rPr>
                <w:lang w:val="en-AU"/>
              </w:rPr>
              <w:t>7</w:t>
            </w:r>
          </w:p>
        </w:tc>
        <w:tc>
          <w:tcPr>
            <w:tcW w:w="399" w:type="dxa"/>
          </w:tcPr>
          <w:p w14:paraId="4A9B0778" w14:textId="77777777" w:rsidR="005D0DF1" w:rsidRPr="00141A4D" w:rsidRDefault="005D0DF1" w:rsidP="006A562B">
            <w:pPr>
              <w:pStyle w:val="Tablecondensedheading"/>
              <w:rPr>
                <w:lang w:val="en-AU"/>
              </w:rPr>
            </w:pPr>
            <w:r>
              <w:rPr>
                <w:lang w:val="en-AU"/>
              </w:rPr>
              <w:t>8</w:t>
            </w:r>
          </w:p>
        </w:tc>
        <w:tc>
          <w:tcPr>
            <w:tcW w:w="399" w:type="dxa"/>
          </w:tcPr>
          <w:p w14:paraId="387A55DE" w14:textId="77777777" w:rsidR="005D0DF1" w:rsidRPr="00141A4D" w:rsidRDefault="005D0DF1" w:rsidP="006A562B">
            <w:pPr>
              <w:pStyle w:val="Tablecondensedheading"/>
              <w:rPr>
                <w:lang w:val="en-AU"/>
              </w:rPr>
            </w:pPr>
            <w:r>
              <w:rPr>
                <w:lang w:val="en-AU"/>
              </w:rPr>
              <w:t>9</w:t>
            </w:r>
          </w:p>
        </w:tc>
        <w:tc>
          <w:tcPr>
            <w:tcW w:w="490" w:type="dxa"/>
          </w:tcPr>
          <w:p w14:paraId="483D063B" w14:textId="77777777" w:rsidR="005D0DF1" w:rsidRPr="00141A4D" w:rsidRDefault="005D0DF1" w:rsidP="006A562B">
            <w:pPr>
              <w:pStyle w:val="Tablecondensedheading"/>
              <w:rPr>
                <w:lang w:val="en-AU"/>
              </w:rPr>
            </w:pPr>
            <w:r>
              <w:rPr>
                <w:lang w:val="en-AU"/>
              </w:rPr>
              <w:t>10</w:t>
            </w:r>
          </w:p>
        </w:tc>
        <w:tc>
          <w:tcPr>
            <w:tcW w:w="955" w:type="dxa"/>
          </w:tcPr>
          <w:p w14:paraId="6824E471" w14:textId="77777777" w:rsidR="005D0DF1" w:rsidRPr="00141A4D" w:rsidRDefault="005D0DF1" w:rsidP="006A562B">
            <w:pPr>
              <w:pStyle w:val="Tablecondensedheading"/>
              <w:rPr>
                <w:lang w:val="en-AU"/>
              </w:rPr>
            </w:pPr>
            <w:r>
              <w:rPr>
                <w:lang w:val="en-AU"/>
              </w:rPr>
              <w:t>Average</w:t>
            </w:r>
          </w:p>
        </w:tc>
      </w:tr>
      <w:tr w:rsidR="005D0DF1" w:rsidRPr="00494345" w14:paraId="554DD88C" w14:textId="77777777" w:rsidTr="006A562B">
        <w:tc>
          <w:tcPr>
            <w:tcW w:w="691" w:type="dxa"/>
          </w:tcPr>
          <w:p w14:paraId="7FD31349" w14:textId="77777777" w:rsidR="005D0DF1" w:rsidRPr="00141A4D" w:rsidRDefault="005D0DF1" w:rsidP="006A562B">
            <w:pPr>
              <w:pStyle w:val="Tablecondensed"/>
              <w:rPr>
                <w:lang w:val="en-AU"/>
              </w:rPr>
            </w:pPr>
            <w:r w:rsidRPr="00141A4D">
              <w:rPr>
                <w:lang w:val="en-AU"/>
              </w:rPr>
              <w:t>%</w:t>
            </w:r>
          </w:p>
        </w:tc>
        <w:tc>
          <w:tcPr>
            <w:tcW w:w="399" w:type="dxa"/>
            <w:vAlign w:val="center"/>
          </w:tcPr>
          <w:p w14:paraId="5F97E5F5" w14:textId="0D0D387A" w:rsidR="005D0DF1" w:rsidRPr="00141A4D" w:rsidRDefault="00385DAB" w:rsidP="006A562B">
            <w:pPr>
              <w:pStyle w:val="Tablecondensed"/>
              <w:rPr>
                <w:lang w:val="en-AU"/>
              </w:rPr>
            </w:pPr>
            <w:r>
              <w:rPr>
                <w:lang w:val="en-AU"/>
              </w:rPr>
              <w:t>3</w:t>
            </w:r>
          </w:p>
        </w:tc>
        <w:tc>
          <w:tcPr>
            <w:tcW w:w="399" w:type="dxa"/>
            <w:vAlign w:val="center"/>
          </w:tcPr>
          <w:p w14:paraId="615DCD61" w14:textId="4F3C5897" w:rsidR="005D0DF1" w:rsidRPr="00141A4D" w:rsidRDefault="00385DAB" w:rsidP="006A562B">
            <w:pPr>
              <w:pStyle w:val="Tablecondensed"/>
              <w:rPr>
                <w:lang w:val="en-AU"/>
              </w:rPr>
            </w:pPr>
            <w:r>
              <w:rPr>
                <w:lang w:val="en-AU"/>
              </w:rPr>
              <w:t>2</w:t>
            </w:r>
          </w:p>
        </w:tc>
        <w:tc>
          <w:tcPr>
            <w:tcW w:w="399" w:type="dxa"/>
            <w:vAlign w:val="center"/>
          </w:tcPr>
          <w:p w14:paraId="669CF939" w14:textId="591F8281" w:rsidR="005D0DF1" w:rsidRPr="00141A4D" w:rsidRDefault="00385DAB" w:rsidP="006A562B">
            <w:pPr>
              <w:pStyle w:val="Tablecondensed"/>
              <w:rPr>
                <w:lang w:val="en-AU"/>
              </w:rPr>
            </w:pPr>
            <w:r>
              <w:rPr>
                <w:lang w:val="en-AU"/>
              </w:rPr>
              <w:t>7</w:t>
            </w:r>
          </w:p>
        </w:tc>
        <w:tc>
          <w:tcPr>
            <w:tcW w:w="399" w:type="dxa"/>
            <w:vAlign w:val="center"/>
          </w:tcPr>
          <w:p w14:paraId="2F11EAA2" w14:textId="780A4B8F" w:rsidR="005D0DF1" w:rsidRPr="00141A4D" w:rsidRDefault="00385DAB" w:rsidP="006A562B">
            <w:pPr>
              <w:pStyle w:val="Tablecondensed"/>
              <w:rPr>
                <w:lang w:val="en-AU"/>
              </w:rPr>
            </w:pPr>
            <w:r>
              <w:rPr>
                <w:lang w:val="en-AU"/>
              </w:rPr>
              <w:t>12</w:t>
            </w:r>
          </w:p>
        </w:tc>
        <w:tc>
          <w:tcPr>
            <w:tcW w:w="399" w:type="dxa"/>
            <w:vAlign w:val="center"/>
          </w:tcPr>
          <w:p w14:paraId="5D63040B" w14:textId="5FF812F3" w:rsidR="005D0DF1" w:rsidRPr="00141A4D" w:rsidRDefault="00385DAB" w:rsidP="006A562B">
            <w:pPr>
              <w:pStyle w:val="Tablecondensed"/>
              <w:rPr>
                <w:lang w:val="en-AU"/>
              </w:rPr>
            </w:pPr>
            <w:r>
              <w:rPr>
                <w:lang w:val="en-AU"/>
              </w:rPr>
              <w:t>18</w:t>
            </w:r>
          </w:p>
        </w:tc>
        <w:tc>
          <w:tcPr>
            <w:tcW w:w="399" w:type="dxa"/>
          </w:tcPr>
          <w:p w14:paraId="3A9F06DE" w14:textId="3BF0A61C" w:rsidR="005D0DF1" w:rsidRPr="00494345" w:rsidRDefault="00385DAB" w:rsidP="006A562B">
            <w:pPr>
              <w:pStyle w:val="Tablecondensed"/>
              <w:rPr>
                <w:lang w:val="en-AU"/>
              </w:rPr>
            </w:pPr>
            <w:r>
              <w:rPr>
                <w:lang w:val="en-AU"/>
              </w:rPr>
              <w:t>18</w:t>
            </w:r>
          </w:p>
        </w:tc>
        <w:tc>
          <w:tcPr>
            <w:tcW w:w="399" w:type="dxa"/>
          </w:tcPr>
          <w:p w14:paraId="01D74992" w14:textId="0CAC5515" w:rsidR="005D0DF1" w:rsidRPr="00494345" w:rsidRDefault="00385DAB" w:rsidP="006A562B">
            <w:pPr>
              <w:pStyle w:val="Tablecondensed"/>
              <w:rPr>
                <w:lang w:val="en-AU"/>
              </w:rPr>
            </w:pPr>
            <w:r>
              <w:rPr>
                <w:lang w:val="en-AU"/>
              </w:rPr>
              <w:t>16</w:t>
            </w:r>
          </w:p>
        </w:tc>
        <w:tc>
          <w:tcPr>
            <w:tcW w:w="399" w:type="dxa"/>
          </w:tcPr>
          <w:p w14:paraId="3B2E0E20" w14:textId="667F684B" w:rsidR="005D0DF1" w:rsidRPr="00494345" w:rsidRDefault="00385DAB" w:rsidP="006A562B">
            <w:pPr>
              <w:pStyle w:val="Tablecondensed"/>
              <w:rPr>
                <w:lang w:val="en-AU"/>
              </w:rPr>
            </w:pPr>
            <w:r>
              <w:rPr>
                <w:lang w:val="en-AU"/>
              </w:rPr>
              <w:t>12</w:t>
            </w:r>
          </w:p>
        </w:tc>
        <w:tc>
          <w:tcPr>
            <w:tcW w:w="399" w:type="dxa"/>
          </w:tcPr>
          <w:p w14:paraId="70E0C248" w14:textId="40D0EFF2" w:rsidR="005D0DF1" w:rsidRPr="00494345" w:rsidRDefault="00385DAB" w:rsidP="006A562B">
            <w:pPr>
              <w:pStyle w:val="Tablecondensed"/>
              <w:rPr>
                <w:lang w:val="en-AU"/>
              </w:rPr>
            </w:pPr>
            <w:r>
              <w:rPr>
                <w:lang w:val="en-AU"/>
              </w:rPr>
              <w:t>8</w:t>
            </w:r>
          </w:p>
        </w:tc>
        <w:tc>
          <w:tcPr>
            <w:tcW w:w="399" w:type="dxa"/>
          </w:tcPr>
          <w:p w14:paraId="798A4122" w14:textId="2A91E391" w:rsidR="005D0DF1" w:rsidRPr="00494345" w:rsidRDefault="00385DAB" w:rsidP="006A562B">
            <w:pPr>
              <w:pStyle w:val="Tablecondensed"/>
              <w:rPr>
                <w:lang w:val="en-AU"/>
              </w:rPr>
            </w:pPr>
            <w:r>
              <w:rPr>
                <w:lang w:val="en-AU"/>
              </w:rPr>
              <w:t>3</w:t>
            </w:r>
          </w:p>
        </w:tc>
        <w:tc>
          <w:tcPr>
            <w:tcW w:w="490" w:type="dxa"/>
          </w:tcPr>
          <w:p w14:paraId="47F1B4A8" w14:textId="61C63C89" w:rsidR="005D0DF1" w:rsidRPr="00494345" w:rsidRDefault="00385DAB" w:rsidP="006A562B">
            <w:pPr>
              <w:pStyle w:val="Tablecondensed"/>
              <w:rPr>
                <w:lang w:val="en-AU"/>
              </w:rPr>
            </w:pPr>
            <w:r>
              <w:rPr>
                <w:lang w:val="en-AU"/>
              </w:rPr>
              <w:t>0.9</w:t>
            </w:r>
          </w:p>
        </w:tc>
        <w:tc>
          <w:tcPr>
            <w:tcW w:w="955" w:type="dxa"/>
          </w:tcPr>
          <w:p w14:paraId="1EAC5BE3" w14:textId="00DC157F" w:rsidR="005D0DF1" w:rsidRPr="00494345" w:rsidRDefault="00EA3B5D" w:rsidP="006A562B">
            <w:pPr>
              <w:pStyle w:val="Tablecondensed"/>
              <w:rPr>
                <w:lang w:val="en-AU"/>
              </w:rPr>
            </w:pPr>
            <w:r>
              <w:rPr>
                <w:lang w:val="en-AU"/>
              </w:rPr>
              <w:t>5.0</w:t>
            </w:r>
          </w:p>
        </w:tc>
      </w:tr>
    </w:tbl>
    <w:p w14:paraId="5348A4F6" w14:textId="096F31C3" w:rsidR="009A18A0" w:rsidRDefault="009A18A0" w:rsidP="009A18A0">
      <w:pPr>
        <w:pStyle w:val="Heading3"/>
      </w:pPr>
      <w:r>
        <w:t>Question 2a.</w:t>
      </w:r>
    </w:p>
    <w:p w14:paraId="5B8670BA" w14:textId="40A50C7D" w:rsidR="00A749D0" w:rsidRDefault="00323DFA" w:rsidP="00E848DD">
      <w:pPr>
        <w:pStyle w:val="BodyText"/>
      </w:pPr>
      <w:r>
        <w:t xml:space="preserve">Question 2a required students </w:t>
      </w:r>
      <w:r w:rsidR="00A749D0">
        <w:t>to directly respond to the ideas provided in the passage; to explain Allen’s use of Aristotle’s position on the philosophical concept of justice; and to relate these to the distribution of goods in terms of equality, equity or ‘unevenness’.</w:t>
      </w:r>
    </w:p>
    <w:p w14:paraId="30B81BF1" w14:textId="164D1873" w:rsidR="004054DB" w:rsidRDefault="00A749D0" w:rsidP="00E848DD">
      <w:pPr>
        <w:pStyle w:val="BodyText"/>
      </w:pPr>
      <w:r>
        <w:t xml:space="preserve">High-scoring responses </w:t>
      </w:r>
      <w:r w:rsidR="009E5DE0">
        <w:t>recognised</w:t>
      </w:r>
      <w:r w:rsidR="00323DFA">
        <w:t xml:space="preserve"> </w:t>
      </w:r>
      <w:r>
        <w:t xml:space="preserve">that the passage spoke about Allen’s concept of distributive </w:t>
      </w:r>
      <w:proofErr w:type="gramStart"/>
      <w:r>
        <w:t>justice</w:t>
      </w:r>
      <w:r w:rsidR="00323DFA">
        <w:t>,</w:t>
      </w:r>
      <w:r>
        <w:t xml:space="preserve"> and</w:t>
      </w:r>
      <w:proofErr w:type="gramEnd"/>
      <w:r>
        <w:t xml:space="preserve"> </w:t>
      </w:r>
      <w:r w:rsidR="00323DFA">
        <w:t>connected</w:t>
      </w:r>
      <w:r>
        <w:t xml:space="preserve"> this concept with the related concepts of proportionality, equity, equality, evenness and fairness. </w:t>
      </w:r>
      <w:r w:rsidR="004054DB">
        <w:t xml:space="preserve">Additionally, </w:t>
      </w:r>
      <w:r w:rsidR="00323DFA">
        <w:t>high</w:t>
      </w:r>
      <w:r w:rsidR="004054DB">
        <w:t>-scoring responses were likely to demonstrate a complex and nuanced understanding of ‘society’s goods’ as required by the viewpoint provided in the prompt, and as described in the passage provided</w:t>
      </w:r>
      <w:r w:rsidR="00323DFA">
        <w:t xml:space="preserve">; for example, </w:t>
      </w:r>
      <w:r w:rsidR="004054DB">
        <w:t>that Aristotle argues that honour is a ‘good’ and so by extension Allen argues for an understanding of ‘goods’ beyond merely materialist or wealth-focused understandings of ‘society’s goods’</w:t>
      </w:r>
      <w:r w:rsidR="00C97783">
        <w:t>,</w:t>
      </w:r>
      <w:r w:rsidR="004054DB">
        <w:t xml:space="preserve"> by ‘drawing on’ Aristotle’s approach.</w:t>
      </w:r>
    </w:p>
    <w:p w14:paraId="33845CD5" w14:textId="52C469BB" w:rsidR="00A749D0" w:rsidRDefault="00323DFA" w:rsidP="00E848DD">
      <w:pPr>
        <w:pStyle w:val="BodyText"/>
      </w:pPr>
      <w:r>
        <w:t>Lower-scoring responses often focused on</w:t>
      </w:r>
      <w:r w:rsidR="00A749D0">
        <w:t xml:space="preserve"> </w:t>
      </w:r>
      <w:proofErr w:type="gramStart"/>
      <w:r w:rsidR="004054DB">
        <w:t>reciprocity</w:t>
      </w:r>
      <w:r w:rsidR="00A749D0">
        <w:t>, or</w:t>
      </w:r>
      <w:proofErr w:type="gramEnd"/>
      <w:r w:rsidR="00A749D0">
        <w:t xml:space="preserve"> responded to the </w:t>
      </w:r>
      <w:r w:rsidR="004054DB">
        <w:t>prompt only in terms of interpersonal distribution of goods (i</w:t>
      </w:r>
      <w:r w:rsidR="005450C2">
        <w:t>.</w:t>
      </w:r>
      <w:r w:rsidR="004054DB">
        <w:t>e</w:t>
      </w:r>
      <w:r w:rsidR="005450C2">
        <w:t>.</w:t>
      </w:r>
      <w:r w:rsidR="004054DB">
        <w:t xml:space="preserve"> individual acts of charity or friendship)</w:t>
      </w:r>
      <w:r w:rsidR="005450C2">
        <w:t>,</w:t>
      </w:r>
      <w:r w:rsidR="004054DB">
        <w:t xml:space="preserve"> without m</w:t>
      </w:r>
      <w:r w:rsidR="00A749D0">
        <w:t xml:space="preserve">aking the connection to </w:t>
      </w:r>
      <w:r w:rsidR="004054DB">
        <w:t>‘the allotment of public goods’ or ‘the public store’ as indicators of the need to consider distributive justice at the political, systemic or societal levels</w:t>
      </w:r>
      <w:r w:rsidR="00A749D0">
        <w:t xml:space="preserve">. </w:t>
      </w:r>
    </w:p>
    <w:p w14:paraId="77EA26BA" w14:textId="034BCCCF" w:rsidR="00A749D0" w:rsidRDefault="00A749D0" w:rsidP="00E848DD">
      <w:pPr>
        <w:pStyle w:val="BodyText"/>
      </w:pPr>
      <w:r>
        <w:t xml:space="preserve">It was not necessary </w:t>
      </w:r>
      <w:r w:rsidR="005450C2">
        <w:t>for response</w:t>
      </w:r>
      <w:r w:rsidR="00C97783">
        <w:t>s</w:t>
      </w:r>
      <w:r w:rsidR="005450C2">
        <w:t xml:space="preserve"> to this question part</w:t>
      </w:r>
      <w:r>
        <w:t xml:space="preserve"> to discuss </w:t>
      </w:r>
      <w:r w:rsidR="004054DB">
        <w:t>Allen</w:t>
      </w:r>
      <w:r>
        <w:t>’s broader philosophical concepts such as</w:t>
      </w:r>
      <w:r w:rsidR="004054DB">
        <w:t xml:space="preserve"> distinctions between rivalrous</w:t>
      </w:r>
      <w:r w:rsidR="000663B7">
        <w:t xml:space="preserve"> self-interest</w:t>
      </w:r>
      <w:r w:rsidR="004054DB">
        <w:t xml:space="preserve"> and equitable self-interest.</w:t>
      </w:r>
      <w:r w:rsidR="000663B7">
        <w:t xml:space="preserve"> There was some scope to briefly draw on an understanding of retributive justice as a counterpoint understanding of ‘justice’ as a </w:t>
      </w:r>
      <w:r w:rsidR="000663B7">
        <w:lastRenderedPageBreak/>
        <w:t xml:space="preserve">philosophical concept, or to clarify the specific meaning of ‘distributive justice’ relevant to the prompt. </w:t>
      </w:r>
      <w:r>
        <w:t xml:space="preserve">Responses that were not selective in identifying the most salient perspectives and positions in </w:t>
      </w:r>
      <w:r w:rsidR="004054DB">
        <w:t>Allen</w:t>
      </w:r>
      <w:r>
        <w:t xml:space="preserve">’s text, as they relate specifically to the passage provided, </w:t>
      </w:r>
      <w:r w:rsidR="001958AC">
        <w:t>generally scored less highly</w:t>
      </w:r>
      <w:r>
        <w:t>.</w:t>
      </w:r>
    </w:p>
    <w:p w14:paraId="6CDC951E" w14:textId="15A62129" w:rsidR="00A749D0" w:rsidRDefault="00E55C1E" w:rsidP="00E848DD">
      <w:pPr>
        <w:pStyle w:val="BodyText"/>
      </w:pPr>
      <w:r>
        <w:t>Some r</w:t>
      </w:r>
      <w:r w:rsidR="00A749D0">
        <w:t xml:space="preserve">esponses made no reference to the </w:t>
      </w:r>
      <w:r w:rsidR="00310595">
        <w:t xml:space="preserve">approach ‘described in the </w:t>
      </w:r>
      <w:r w:rsidR="00A749D0">
        <w:t xml:space="preserve">passage above’ at all </w:t>
      </w:r>
      <w:r>
        <w:t xml:space="preserve">and thus </w:t>
      </w:r>
      <w:r w:rsidR="00A749D0">
        <w:t>were not considered to have fully answered the question, even if they were able to demonstrate comprehensive or detailed knowledge of the relevant set text.</w:t>
      </w:r>
      <w:r w:rsidR="00310595">
        <w:t xml:space="preserve"> Similarly, because this </w:t>
      </w:r>
      <w:r w:rsidR="002D1B37">
        <w:t xml:space="preserve">question part </w:t>
      </w:r>
      <w:r w:rsidR="00310595">
        <w:t xml:space="preserve">specified the use of a contemporary example, responses </w:t>
      </w:r>
      <w:r w:rsidR="002D1B37">
        <w:t xml:space="preserve">that </w:t>
      </w:r>
      <w:r w:rsidR="00310595">
        <w:t>did not include a contemporary examp</w:t>
      </w:r>
      <w:r w:rsidR="009406B1">
        <w:t>l</w:t>
      </w:r>
      <w:r w:rsidR="00310595">
        <w:t>e were not considered to have fully answered the question. In some cases</w:t>
      </w:r>
      <w:r w:rsidR="002D1B37">
        <w:t>,</w:t>
      </w:r>
      <w:r w:rsidR="00310595">
        <w:t xml:space="preserve"> students chose generic examples, hypotheticals or non-contemporary examples, or repeated some variation of Allen’s own example of the proportional distribution of meals to appetites, as provided in the passage. These responses were also considered to</w:t>
      </w:r>
      <w:r w:rsidR="00C97783">
        <w:t xml:space="preserve"> have</w:t>
      </w:r>
      <w:r w:rsidR="00310595">
        <w:t xml:space="preserve"> not fully answered the question.</w:t>
      </w:r>
    </w:p>
    <w:p w14:paraId="3C494FC2" w14:textId="7E421E88" w:rsidR="009A18A0" w:rsidRDefault="009A18A0" w:rsidP="009A18A0">
      <w:pPr>
        <w:pStyle w:val="Heading3"/>
      </w:pPr>
      <w:r>
        <w:t>Question 2b.</w:t>
      </w:r>
    </w:p>
    <w:p w14:paraId="084D1EBA" w14:textId="6A913A2A" w:rsidR="000663B7" w:rsidRDefault="00C97783" w:rsidP="00E848DD">
      <w:pPr>
        <w:pStyle w:val="BodyText"/>
      </w:pPr>
      <w:r>
        <w:t xml:space="preserve">For Question 2b, </w:t>
      </w:r>
      <w:r w:rsidR="0096711D">
        <w:t>s</w:t>
      </w:r>
      <w:r w:rsidR="000663B7">
        <w:t>tudents were able to select any thinker from any of</w:t>
      </w:r>
      <w:r w:rsidR="0012573A">
        <w:t xml:space="preserve"> </w:t>
      </w:r>
      <w:r w:rsidR="000663B7">
        <w:t>the Unit 3 texts</w:t>
      </w:r>
      <w:r>
        <w:t xml:space="preserve">. </w:t>
      </w:r>
      <w:r w:rsidR="00D21E37">
        <w:t>High-</w:t>
      </w:r>
      <w:r w:rsidR="000663B7">
        <w:t xml:space="preserve">scoring responses </w:t>
      </w:r>
      <w:r>
        <w:t>selected</w:t>
      </w:r>
      <w:r w:rsidR="000663B7">
        <w:t xml:space="preserve"> a thinker from that list </w:t>
      </w:r>
      <w:r>
        <w:t>with specific relevance</w:t>
      </w:r>
      <w:r w:rsidR="000663B7">
        <w:t xml:space="preserve"> to the concept of justice</w:t>
      </w:r>
      <w:r w:rsidR="00EA6CFB">
        <w:t xml:space="preserve">, especially as it </w:t>
      </w:r>
      <w:r>
        <w:t xml:space="preserve">applies </w:t>
      </w:r>
      <w:r w:rsidR="00EA6CFB">
        <w:t>to the distribution of goods</w:t>
      </w:r>
      <w:r w:rsidR="000663B7">
        <w:t>.</w:t>
      </w:r>
    </w:p>
    <w:p w14:paraId="47305DBD" w14:textId="0B807814" w:rsidR="000663B7" w:rsidRDefault="000663B7" w:rsidP="00E848DD">
      <w:pPr>
        <w:pStyle w:val="BodyText"/>
      </w:pPr>
      <w:r>
        <w:t>Unlike Question 1</w:t>
      </w:r>
      <w:r w:rsidR="00C97783">
        <w:t>b</w:t>
      </w:r>
      <w:r>
        <w:t>, Question 2</w:t>
      </w:r>
      <w:r w:rsidR="00C97783">
        <w:t>b</w:t>
      </w:r>
      <w:r>
        <w:t xml:space="preserve"> did not specifically require the student to compare their chosen thinker and Allen, so </w:t>
      </w:r>
      <w:r w:rsidR="00FC7613">
        <w:t>high-scoring responses did not need to refer to Allen or to the passage provided.</w:t>
      </w:r>
      <w:r>
        <w:t xml:space="preserve"> </w:t>
      </w:r>
    </w:p>
    <w:p w14:paraId="77065FF5" w14:textId="43475740" w:rsidR="00EA6CFB" w:rsidRDefault="00EA6CFB" w:rsidP="00E848DD">
      <w:pPr>
        <w:pStyle w:val="BodyText"/>
      </w:pPr>
      <w:r>
        <w:t xml:space="preserve">Callicles was again a popular </w:t>
      </w:r>
      <w:proofErr w:type="gramStart"/>
      <w:r w:rsidR="00B62B8A">
        <w:t>choice</w:t>
      </w:r>
      <w:r>
        <w:t>, and</w:t>
      </w:r>
      <w:proofErr w:type="gramEnd"/>
      <w:r>
        <w:t xml:space="preserve"> provided students with relevant and specific perspectives on both justice and the distribution of goods</w:t>
      </w:r>
      <w:r w:rsidR="00137F48">
        <w:t xml:space="preserve">: that justice was properly a matter of natural law rather than conventional law, and thus an uneven distribution of goods in which the strongest/best/powerful received the greater share was a just distribution. </w:t>
      </w:r>
      <w:r w:rsidR="00FC7613">
        <w:t>Some s</w:t>
      </w:r>
      <w:r w:rsidR="00137F48">
        <w:t>tudents also found meaningful connections to more modern philosophers, such as Mill, Weil and Singer</w:t>
      </w:r>
      <w:r w:rsidR="003F773B">
        <w:t>.</w:t>
      </w:r>
      <w:r w:rsidR="00FC7613">
        <w:t xml:space="preserve"> </w:t>
      </w:r>
      <w:r w:rsidR="00137F48">
        <w:t>In</w:t>
      </w:r>
      <w:r w:rsidR="00FC7613">
        <w:t xml:space="preserve"> the case of</w:t>
      </w:r>
      <w:r w:rsidR="00137F48">
        <w:t xml:space="preserve"> Mill, that justice was</w:t>
      </w:r>
      <w:r w:rsidR="3F6B3E32">
        <w:t xml:space="preserve"> a</w:t>
      </w:r>
      <w:r w:rsidR="00137F48">
        <w:t xml:space="preserve"> matter of the protection of necessary liberties, and so governments (‘regimes’) responsible for the distribution of goods should act with that principle of justice in mind, rather than equality. In </w:t>
      </w:r>
      <w:r w:rsidR="00FC7613">
        <w:t xml:space="preserve">the case of </w:t>
      </w:r>
      <w:r w:rsidR="00137F48">
        <w:t>Wei</w:t>
      </w:r>
      <w:r w:rsidR="00A964B7">
        <w:t>l</w:t>
      </w:r>
      <w:r w:rsidR="00855892">
        <w:t>,</w:t>
      </w:r>
      <w:r w:rsidR="00137F48">
        <w:t xml:space="preserve"> that we each have eternal obligations to all other humans deriving from their intrinsic nature as humans, and that it is through the distribution of goods that these obligations can be justly exercised. In </w:t>
      </w:r>
      <w:r w:rsidR="00454FD0">
        <w:t>the case of Singer</w:t>
      </w:r>
      <w:r w:rsidR="00855892">
        <w:t>,</w:t>
      </w:r>
      <w:r w:rsidR="00137F48">
        <w:t xml:space="preserve"> that goods </w:t>
      </w:r>
      <w:r w:rsidR="00FC7613">
        <w:t xml:space="preserve">should </w:t>
      </w:r>
      <w:r w:rsidR="00137F48">
        <w:t xml:space="preserve">be distributed evenly to the point of marginal utility, and that </w:t>
      </w:r>
      <w:proofErr w:type="gramStart"/>
      <w:r w:rsidR="00137F48">
        <w:t>in order to</w:t>
      </w:r>
      <w:proofErr w:type="gramEnd"/>
      <w:r w:rsidR="00137F48">
        <w:t xml:space="preserve"> achieve this it is just that the affluent be called upon to give a greater share and receive a lesser share than those in greater need.</w:t>
      </w:r>
    </w:p>
    <w:p w14:paraId="4A9C2B5F" w14:textId="44284FCB" w:rsidR="00EA6CFB" w:rsidRDefault="00FC7613" w:rsidP="00E848DD">
      <w:pPr>
        <w:pStyle w:val="BodyText"/>
      </w:pPr>
      <w:r>
        <w:t>Responses that included</w:t>
      </w:r>
      <w:r w:rsidR="00EA6CFB">
        <w:t xml:space="preserve"> a relevant thinker </w:t>
      </w:r>
      <w:r w:rsidR="00B62B8A">
        <w:t>for</w:t>
      </w:r>
      <w:r w:rsidR="00EA6CFB">
        <w:t xml:space="preserve"> the comparison but did not directly address the philosophical concept of </w:t>
      </w:r>
      <w:proofErr w:type="gramStart"/>
      <w:r w:rsidR="00137F48">
        <w:t>justice</w:t>
      </w:r>
      <w:r w:rsidR="00EA6CFB">
        <w:t>, or</w:t>
      </w:r>
      <w:proofErr w:type="gramEnd"/>
      <w:r w:rsidR="00EA6CFB">
        <w:t xml:space="preserve"> </w:t>
      </w:r>
      <w:r w:rsidR="00137F48">
        <w:t>demonstrated a limited understanding of related philosophical concepts such as equality, equity and unevenness</w:t>
      </w:r>
      <w:r w:rsidR="00EA6CFB">
        <w:t xml:space="preserve">, </w:t>
      </w:r>
      <w:r w:rsidR="00037220">
        <w:t>generally scored less highly</w:t>
      </w:r>
      <w:r w:rsidR="00EA6CFB">
        <w:t xml:space="preserve">. </w:t>
      </w:r>
      <w:r w:rsidR="00F958F1">
        <w:t xml:space="preserve">For example, some responses chose </w:t>
      </w:r>
      <w:proofErr w:type="gramStart"/>
      <w:r w:rsidR="00F958F1">
        <w:t>Callicles, but</w:t>
      </w:r>
      <w:proofErr w:type="gramEnd"/>
      <w:r w:rsidR="00F958F1">
        <w:t xml:space="preserve"> focused on the unrestrained desires; some chose Mill, but understood his conception of justice only in terms of the ‘</w:t>
      </w:r>
      <w:r w:rsidR="009210AC">
        <w:t>h</w:t>
      </w:r>
      <w:r w:rsidR="00F958F1">
        <w:t xml:space="preserve">arm </w:t>
      </w:r>
      <w:r w:rsidR="009210AC">
        <w:t>p</w:t>
      </w:r>
      <w:r w:rsidR="00F958F1">
        <w:t>rinciple’.</w:t>
      </w:r>
    </w:p>
    <w:p w14:paraId="6438AE9B" w14:textId="0C2F803E" w:rsidR="00EA6CFB" w:rsidRDefault="00EA6CFB" w:rsidP="00E848DD">
      <w:pPr>
        <w:pStyle w:val="BodyText"/>
      </w:pPr>
      <w:r>
        <w:t xml:space="preserve">Some </w:t>
      </w:r>
      <w:r w:rsidR="00327800">
        <w:t xml:space="preserve">responses </w:t>
      </w:r>
      <w:r>
        <w:t xml:space="preserve">selected thinkers from Unit 3 who did not directly address </w:t>
      </w:r>
      <w:r w:rsidR="00855892">
        <w:t>justice or the distribution of goods</w:t>
      </w:r>
      <w:r>
        <w:t xml:space="preserve"> in their works.</w:t>
      </w:r>
      <w:r w:rsidR="00855892">
        <w:t xml:space="preserve"> </w:t>
      </w:r>
      <w:r w:rsidR="00057CAF">
        <w:t xml:space="preserve">For example, some responses discussed Laelius’s views on the importance of friendship, or understood Aristotle only through the application of an Aristotelian (‘Golden’) mean achieved by avoiding both excess and deficit. </w:t>
      </w:r>
      <w:r>
        <w:t xml:space="preserve">These responses were less able to meet the specific demands of this </w:t>
      </w:r>
      <w:r w:rsidR="00EF1B8E">
        <w:t>question part</w:t>
      </w:r>
      <w:r>
        <w:t xml:space="preserve">, and so were less likely to </w:t>
      </w:r>
      <w:r w:rsidR="00EF1B8E">
        <w:t>be high-scoring</w:t>
      </w:r>
      <w:r>
        <w:t>.</w:t>
      </w:r>
    </w:p>
    <w:p w14:paraId="10A84A8A" w14:textId="4AA85213" w:rsidR="00EA6CFB" w:rsidRPr="00A749D0" w:rsidRDefault="0042445B" w:rsidP="00E848DD">
      <w:pPr>
        <w:pStyle w:val="BodyText"/>
      </w:pPr>
      <w:r>
        <w:t>Some lower-scoring responses</w:t>
      </w:r>
      <w:r w:rsidR="00EA6CFB">
        <w:t xml:space="preserve"> selected a thinker other than those from the Unit 3 prescribed texts </w:t>
      </w:r>
      <w:r>
        <w:t xml:space="preserve">and thus </w:t>
      </w:r>
      <w:r w:rsidR="00EA6CFB">
        <w:t>were not considered to have fully answered the question, even if they were able to demonstrate comprehensive or detailed knowledge of the chosen thinker.</w:t>
      </w:r>
    </w:p>
    <w:p w14:paraId="1D2EC64A" w14:textId="27A623D1" w:rsidR="009A18A0" w:rsidRDefault="009A18A0" w:rsidP="009A18A0">
      <w:pPr>
        <w:pStyle w:val="Heading3"/>
      </w:pPr>
      <w:r>
        <w:t>Question 2c.</w:t>
      </w:r>
    </w:p>
    <w:p w14:paraId="3E97FCCA" w14:textId="39B0E9F6" w:rsidR="00310595" w:rsidRPr="00A749D0" w:rsidRDefault="00EF1B8E" w:rsidP="00E848DD">
      <w:pPr>
        <w:pStyle w:val="BodyText"/>
      </w:pPr>
      <w:r>
        <w:t>Question 2c</w:t>
      </w:r>
      <w:r w:rsidR="000663B7">
        <w:t xml:space="preserve"> required students to </w:t>
      </w:r>
      <w:r w:rsidR="009406B1">
        <w:t>expand their focus</w:t>
      </w:r>
      <w:r w:rsidR="000663B7">
        <w:t xml:space="preserve"> from the relationship between the distribution of goods and justice to a broader </w:t>
      </w:r>
      <w:r w:rsidR="00310595">
        <w:t xml:space="preserve">application of the concept of ‘equal’ as it relates to the distribution of goods and the good life. Unlike </w:t>
      </w:r>
      <w:r w:rsidR="008B4210">
        <w:t>Question 1c</w:t>
      </w:r>
      <w:r w:rsidR="00310595">
        <w:t>, Question 2</w:t>
      </w:r>
      <w:r w:rsidR="008B4210">
        <w:t>c</w:t>
      </w:r>
      <w:r w:rsidR="00310595">
        <w:t xml:space="preserve"> did not specifically require the student to provide an example to </w:t>
      </w:r>
      <w:r w:rsidR="00310595">
        <w:lastRenderedPageBreak/>
        <w:t>justify their reasoning, nor to reference other Unit 3 thinker</w:t>
      </w:r>
      <w:r w:rsidR="00B85C1D">
        <w:t>s</w:t>
      </w:r>
      <w:r w:rsidR="00310595">
        <w:t xml:space="preserve">, so </w:t>
      </w:r>
      <w:r w:rsidR="008B4210">
        <w:t>responses could score highly without including</w:t>
      </w:r>
      <w:r w:rsidR="00310595">
        <w:t xml:space="preserve"> examples</w:t>
      </w:r>
      <w:r w:rsidR="008B4210">
        <w:t xml:space="preserve"> or</w:t>
      </w:r>
      <w:r w:rsidR="00310595">
        <w:t xml:space="preserve"> referenc</w:t>
      </w:r>
      <w:r w:rsidR="008B4210">
        <w:t>ing</w:t>
      </w:r>
      <w:r w:rsidR="00310595">
        <w:t xml:space="preserve"> Allen or any other Unit 3 thinker, provided they </w:t>
      </w:r>
      <w:r w:rsidR="008B4210">
        <w:t>were justified in another way.</w:t>
      </w:r>
    </w:p>
    <w:p w14:paraId="49FAD959" w14:textId="3FE72E2B" w:rsidR="000663B7" w:rsidRDefault="00943FBF" w:rsidP="00E848DD">
      <w:pPr>
        <w:pStyle w:val="BodyText"/>
      </w:pPr>
      <w:r>
        <w:t xml:space="preserve">There </w:t>
      </w:r>
      <w:r w:rsidR="00B85C1D">
        <w:t xml:space="preserve">was </w:t>
      </w:r>
      <w:r>
        <w:t>a wide variety of possible responses to this question</w:t>
      </w:r>
      <w:r w:rsidR="008B4210">
        <w:t xml:space="preserve"> part</w:t>
      </w:r>
      <w:r>
        <w:t xml:space="preserve">. </w:t>
      </w:r>
      <w:r w:rsidR="008B4210">
        <w:t>Below is one</w:t>
      </w:r>
      <w:r>
        <w:t xml:space="preserve"> example of a </w:t>
      </w:r>
      <w:r w:rsidR="008B4210">
        <w:t>high-</w:t>
      </w:r>
      <w:r>
        <w:t xml:space="preserve">scoring response, but other </w:t>
      </w:r>
      <w:r w:rsidR="008B4210">
        <w:t>high-</w:t>
      </w:r>
      <w:r>
        <w:t xml:space="preserve">scoring responses may have taken a different perspective, </w:t>
      </w:r>
      <w:r w:rsidR="008B4210">
        <w:t xml:space="preserve">including </w:t>
      </w:r>
      <w:r>
        <w:t>a directly contradictory perspective on the extent to which the good life requires that everyone has an equal share, provided they were insightfully justified.</w:t>
      </w:r>
    </w:p>
    <w:p w14:paraId="66514135" w14:textId="58CD86CC" w:rsidR="008B4210" w:rsidRPr="00FD061D" w:rsidRDefault="008B4210" w:rsidP="008B4210">
      <w:pPr>
        <w:pStyle w:val="BodyText"/>
      </w:pPr>
      <w:r>
        <w:t>The following is an example of a high-scoring response to Question 2:</w:t>
      </w:r>
    </w:p>
    <w:p w14:paraId="2C9DA008" w14:textId="0FE390D2" w:rsidR="00943FBF" w:rsidRPr="00A36F17" w:rsidRDefault="00113BC7" w:rsidP="00113BC7">
      <w:pPr>
        <w:pStyle w:val="Studentsample"/>
      </w:pPr>
      <w:r>
        <w:t xml:space="preserve">a) </w:t>
      </w:r>
      <w:r w:rsidR="00A36F17">
        <w:t>Allen believ</w:t>
      </w:r>
      <w:r w:rsidR="00000B40">
        <w:t>e</w:t>
      </w:r>
      <w:r w:rsidR="00A36F17">
        <w:t xml:space="preserve">s that justice involves the fair and equal agency of all citizens in society, with the concept and application of justice being applied in two distinct ways: distributive and straightening-out justice. Distributive justice involves the proportional allotment of public goods in accordance to need such as the starving and homeless receiving more food than those who are rich and can feed themselves. This approach to justice affirms the concept that society’s goods should be distributed unevenly, protecting substantive equality. </w:t>
      </w:r>
    </w:p>
    <w:p w14:paraId="7404A57F" w14:textId="75A04EA2" w:rsidR="00F07AAD" w:rsidRPr="00F07AAD" w:rsidRDefault="00113BC7" w:rsidP="00113BC7">
      <w:pPr>
        <w:pStyle w:val="Studentsample"/>
      </w:pPr>
      <w:r>
        <w:t xml:space="preserve">b) </w:t>
      </w:r>
      <w:r w:rsidR="00A36F17" w:rsidRPr="00F07AAD">
        <w:t xml:space="preserve">Callicles would agree that uneven distribution of goods is just. He believes that true justice lies in the strong dominating the weak and taking </w:t>
      </w:r>
      <w:r w:rsidR="00F07AAD" w:rsidRPr="00F07AAD">
        <w:t xml:space="preserve">more than them in accordance </w:t>
      </w:r>
      <w:proofErr w:type="gramStart"/>
      <w:r w:rsidR="00F07AAD" w:rsidRPr="00F07AAD">
        <w:t>to</w:t>
      </w:r>
      <w:proofErr w:type="gramEnd"/>
      <w:r w:rsidR="00F07AAD" w:rsidRPr="00F07AAD">
        <w:t xml:space="preserve"> the natural law of might being right. As such, Callicles supports the uneven distribution of goods in its entirety so long as the strong receive more than the weak. For him, conventional morality concerning justice of equality is simply arbitrary rules made by the weak to suppress the strong and stop them from getting more than their fair share. As nature is naturally opposed to convention, Callicles promotes the strong abandoning societal expectations of equality as being true justice</w:t>
      </w:r>
      <w:r w:rsidR="00B85C1D">
        <w:t>.</w:t>
      </w:r>
    </w:p>
    <w:p w14:paraId="5A797482" w14:textId="149AA6DD" w:rsidR="00A36F17" w:rsidRDefault="00113BC7" w:rsidP="00113BC7">
      <w:pPr>
        <w:pStyle w:val="Studentsample"/>
      </w:pPr>
      <w:r>
        <w:t xml:space="preserve">c) </w:t>
      </w:r>
      <w:r w:rsidR="00F07AAD">
        <w:t xml:space="preserve">I believe that equality is vital for a good life, specifically for a good life with others. For the most part I agree with Allen’s concept of equitable self-interest: we desire to live in a society that is well and hence must recognize that the benefit of others is also a benefit to ourselves. In sacrificing selfish or rivalrous greed and inequal provision of goods, we </w:t>
      </w:r>
      <w:proofErr w:type="gramStart"/>
      <w:r w:rsidR="00F07AAD">
        <w:t>are able to</w:t>
      </w:r>
      <w:proofErr w:type="gramEnd"/>
      <w:r w:rsidR="00F07AAD">
        <w:t xml:space="preserve"> extend a sense of friendship to other citizens, decreasing that rivalry that dictates us wanting more than others. In recogni</w:t>
      </w:r>
      <w:r w:rsidR="00A12728">
        <w:t>s</w:t>
      </w:r>
      <w:r w:rsidR="00F07AAD">
        <w:t xml:space="preserve">ing that equality is vital for preserving the public bond, ensuring that everyone has an equal share is the best way to promote social cohesion and peace, a characteristic that is the </w:t>
      </w:r>
      <w:proofErr w:type="gramStart"/>
      <w:r w:rsidR="00F07AAD">
        <w:t>ultimate goal</w:t>
      </w:r>
      <w:proofErr w:type="gramEnd"/>
      <w:r w:rsidR="00F07AAD">
        <w:t xml:space="preserve"> for any </w:t>
      </w:r>
      <w:proofErr w:type="spellStart"/>
      <w:r w:rsidR="00F07AAD">
        <w:t>collectivity</w:t>
      </w:r>
      <w:proofErr w:type="spellEnd"/>
      <w:r w:rsidR="00F07AAD">
        <w:t xml:space="preserve"> or democracy that requires us to live a good life surrounded by people,</w:t>
      </w:r>
    </w:p>
    <w:p w14:paraId="52852E9B" w14:textId="0C0019EC" w:rsidR="00614EA1" w:rsidRDefault="00614EA1" w:rsidP="00215364">
      <w:pPr>
        <w:pStyle w:val="Heading2"/>
      </w:pPr>
      <w:r>
        <w:t>Question 3</w:t>
      </w:r>
    </w:p>
    <w:tbl>
      <w:tblPr>
        <w:tblStyle w:val="VCAATableClosed"/>
        <w:tblW w:w="6126" w:type="dxa"/>
        <w:tblLayout w:type="fixed"/>
        <w:tblLook w:val="04A0" w:firstRow="1" w:lastRow="0" w:firstColumn="1" w:lastColumn="0" w:noHBand="0" w:noVBand="1"/>
      </w:tblPr>
      <w:tblGrid>
        <w:gridCol w:w="691"/>
        <w:gridCol w:w="399"/>
        <w:gridCol w:w="399"/>
        <w:gridCol w:w="399"/>
        <w:gridCol w:w="399"/>
        <w:gridCol w:w="399"/>
        <w:gridCol w:w="399"/>
        <w:gridCol w:w="399"/>
        <w:gridCol w:w="399"/>
        <w:gridCol w:w="399"/>
        <w:gridCol w:w="399"/>
        <w:gridCol w:w="490"/>
        <w:gridCol w:w="955"/>
      </w:tblGrid>
      <w:tr w:rsidR="005D0DF1" w:rsidRPr="00141A4D" w14:paraId="26E682C0" w14:textId="77777777" w:rsidTr="006A562B">
        <w:trPr>
          <w:cnfStyle w:val="100000000000" w:firstRow="1" w:lastRow="0" w:firstColumn="0" w:lastColumn="0" w:oddVBand="0" w:evenVBand="0" w:oddHBand="0" w:evenHBand="0" w:firstRowFirstColumn="0" w:firstRowLastColumn="0" w:lastRowFirstColumn="0" w:lastRowLastColumn="0"/>
        </w:trPr>
        <w:tc>
          <w:tcPr>
            <w:tcW w:w="691" w:type="dxa"/>
          </w:tcPr>
          <w:p w14:paraId="0FCF05F6" w14:textId="77777777" w:rsidR="005D0DF1" w:rsidRPr="00141A4D" w:rsidRDefault="005D0DF1" w:rsidP="006A562B">
            <w:pPr>
              <w:pStyle w:val="Tablecondensedheading"/>
              <w:rPr>
                <w:lang w:val="en-AU"/>
              </w:rPr>
            </w:pPr>
            <w:r w:rsidRPr="00141A4D">
              <w:rPr>
                <w:lang w:val="en-AU"/>
              </w:rPr>
              <w:t>Mark</w:t>
            </w:r>
          </w:p>
        </w:tc>
        <w:tc>
          <w:tcPr>
            <w:tcW w:w="399" w:type="dxa"/>
          </w:tcPr>
          <w:p w14:paraId="1424642B" w14:textId="77777777" w:rsidR="005D0DF1" w:rsidRPr="00141A4D" w:rsidRDefault="005D0DF1" w:rsidP="006A562B">
            <w:pPr>
              <w:pStyle w:val="Tablecondensedheading"/>
              <w:rPr>
                <w:lang w:val="en-AU"/>
              </w:rPr>
            </w:pPr>
            <w:r w:rsidRPr="00141A4D">
              <w:rPr>
                <w:lang w:val="en-AU"/>
              </w:rPr>
              <w:t>0</w:t>
            </w:r>
          </w:p>
        </w:tc>
        <w:tc>
          <w:tcPr>
            <w:tcW w:w="399" w:type="dxa"/>
          </w:tcPr>
          <w:p w14:paraId="53238921" w14:textId="77777777" w:rsidR="005D0DF1" w:rsidRPr="00141A4D" w:rsidRDefault="005D0DF1" w:rsidP="006A562B">
            <w:pPr>
              <w:pStyle w:val="Tablecondensedheading"/>
              <w:rPr>
                <w:lang w:val="en-AU"/>
              </w:rPr>
            </w:pPr>
            <w:r w:rsidRPr="00141A4D">
              <w:rPr>
                <w:lang w:val="en-AU"/>
              </w:rPr>
              <w:t>1</w:t>
            </w:r>
          </w:p>
        </w:tc>
        <w:tc>
          <w:tcPr>
            <w:tcW w:w="399" w:type="dxa"/>
          </w:tcPr>
          <w:p w14:paraId="1550AA15" w14:textId="77777777" w:rsidR="005D0DF1" w:rsidRPr="00141A4D" w:rsidRDefault="005D0DF1" w:rsidP="006A562B">
            <w:pPr>
              <w:pStyle w:val="Tablecondensedheading"/>
              <w:rPr>
                <w:lang w:val="en-AU"/>
              </w:rPr>
            </w:pPr>
            <w:r w:rsidRPr="00141A4D">
              <w:rPr>
                <w:lang w:val="en-AU"/>
              </w:rPr>
              <w:t>2</w:t>
            </w:r>
          </w:p>
        </w:tc>
        <w:tc>
          <w:tcPr>
            <w:tcW w:w="399" w:type="dxa"/>
          </w:tcPr>
          <w:p w14:paraId="52999B1B" w14:textId="77777777" w:rsidR="005D0DF1" w:rsidRPr="00141A4D" w:rsidRDefault="005D0DF1" w:rsidP="006A562B">
            <w:pPr>
              <w:pStyle w:val="Tablecondensedheading"/>
              <w:rPr>
                <w:lang w:val="en-AU"/>
              </w:rPr>
            </w:pPr>
            <w:r w:rsidRPr="00141A4D">
              <w:rPr>
                <w:lang w:val="en-AU"/>
              </w:rPr>
              <w:t>3</w:t>
            </w:r>
          </w:p>
        </w:tc>
        <w:tc>
          <w:tcPr>
            <w:tcW w:w="399" w:type="dxa"/>
          </w:tcPr>
          <w:p w14:paraId="69E02C7A" w14:textId="77777777" w:rsidR="005D0DF1" w:rsidRPr="00141A4D" w:rsidRDefault="005D0DF1" w:rsidP="006A562B">
            <w:pPr>
              <w:pStyle w:val="Tablecondensedheading"/>
              <w:rPr>
                <w:lang w:val="en-AU"/>
              </w:rPr>
            </w:pPr>
            <w:r w:rsidRPr="00141A4D">
              <w:rPr>
                <w:lang w:val="en-AU"/>
              </w:rPr>
              <w:t>4</w:t>
            </w:r>
          </w:p>
        </w:tc>
        <w:tc>
          <w:tcPr>
            <w:tcW w:w="399" w:type="dxa"/>
          </w:tcPr>
          <w:p w14:paraId="58174412" w14:textId="77777777" w:rsidR="005D0DF1" w:rsidRPr="00141A4D" w:rsidRDefault="005D0DF1" w:rsidP="006A562B">
            <w:pPr>
              <w:pStyle w:val="Tablecondensedheading"/>
              <w:rPr>
                <w:lang w:val="en-AU"/>
              </w:rPr>
            </w:pPr>
            <w:r>
              <w:rPr>
                <w:lang w:val="en-AU"/>
              </w:rPr>
              <w:t>5</w:t>
            </w:r>
          </w:p>
        </w:tc>
        <w:tc>
          <w:tcPr>
            <w:tcW w:w="399" w:type="dxa"/>
          </w:tcPr>
          <w:p w14:paraId="0F9B5B21" w14:textId="77777777" w:rsidR="005D0DF1" w:rsidRPr="00141A4D" w:rsidRDefault="005D0DF1" w:rsidP="006A562B">
            <w:pPr>
              <w:pStyle w:val="Tablecondensedheading"/>
              <w:rPr>
                <w:lang w:val="en-AU"/>
              </w:rPr>
            </w:pPr>
            <w:r>
              <w:rPr>
                <w:lang w:val="en-AU"/>
              </w:rPr>
              <w:t>6</w:t>
            </w:r>
          </w:p>
        </w:tc>
        <w:tc>
          <w:tcPr>
            <w:tcW w:w="399" w:type="dxa"/>
          </w:tcPr>
          <w:p w14:paraId="5603CCBD" w14:textId="77777777" w:rsidR="005D0DF1" w:rsidRPr="00141A4D" w:rsidRDefault="005D0DF1" w:rsidP="006A562B">
            <w:pPr>
              <w:pStyle w:val="Tablecondensedheading"/>
              <w:rPr>
                <w:lang w:val="en-AU"/>
              </w:rPr>
            </w:pPr>
            <w:r>
              <w:rPr>
                <w:lang w:val="en-AU"/>
              </w:rPr>
              <w:t>7</w:t>
            </w:r>
          </w:p>
        </w:tc>
        <w:tc>
          <w:tcPr>
            <w:tcW w:w="399" w:type="dxa"/>
          </w:tcPr>
          <w:p w14:paraId="6AD26100" w14:textId="77777777" w:rsidR="005D0DF1" w:rsidRPr="00141A4D" w:rsidRDefault="005D0DF1" w:rsidP="006A562B">
            <w:pPr>
              <w:pStyle w:val="Tablecondensedheading"/>
              <w:rPr>
                <w:lang w:val="en-AU"/>
              </w:rPr>
            </w:pPr>
            <w:r>
              <w:rPr>
                <w:lang w:val="en-AU"/>
              </w:rPr>
              <w:t>8</w:t>
            </w:r>
          </w:p>
        </w:tc>
        <w:tc>
          <w:tcPr>
            <w:tcW w:w="399" w:type="dxa"/>
          </w:tcPr>
          <w:p w14:paraId="23E01DE2" w14:textId="77777777" w:rsidR="005D0DF1" w:rsidRPr="00141A4D" w:rsidRDefault="005D0DF1" w:rsidP="006A562B">
            <w:pPr>
              <w:pStyle w:val="Tablecondensedheading"/>
              <w:rPr>
                <w:lang w:val="en-AU"/>
              </w:rPr>
            </w:pPr>
            <w:r>
              <w:rPr>
                <w:lang w:val="en-AU"/>
              </w:rPr>
              <w:t>9</w:t>
            </w:r>
          </w:p>
        </w:tc>
        <w:tc>
          <w:tcPr>
            <w:tcW w:w="490" w:type="dxa"/>
          </w:tcPr>
          <w:p w14:paraId="67E73BB2" w14:textId="77777777" w:rsidR="005D0DF1" w:rsidRPr="00141A4D" w:rsidRDefault="005D0DF1" w:rsidP="006A562B">
            <w:pPr>
              <w:pStyle w:val="Tablecondensedheading"/>
              <w:rPr>
                <w:lang w:val="en-AU"/>
              </w:rPr>
            </w:pPr>
            <w:r>
              <w:rPr>
                <w:lang w:val="en-AU"/>
              </w:rPr>
              <w:t>10</w:t>
            </w:r>
          </w:p>
        </w:tc>
        <w:tc>
          <w:tcPr>
            <w:tcW w:w="955" w:type="dxa"/>
          </w:tcPr>
          <w:p w14:paraId="2CE9F847" w14:textId="77777777" w:rsidR="005D0DF1" w:rsidRPr="00141A4D" w:rsidRDefault="005D0DF1" w:rsidP="006A562B">
            <w:pPr>
              <w:pStyle w:val="Tablecondensedheading"/>
              <w:rPr>
                <w:lang w:val="en-AU"/>
              </w:rPr>
            </w:pPr>
            <w:r>
              <w:rPr>
                <w:lang w:val="en-AU"/>
              </w:rPr>
              <w:t>Average</w:t>
            </w:r>
          </w:p>
        </w:tc>
      </w:tr>
      <w:tr w:rsidR="005D0DF1" w:rsidRPr="00494345" w14:paraId="4DA98BDF" w14:textId="77777777" w:rsidTr="006A562B">
        <w:tc>
          <w:tcPr>
            <w:tcW w:w="691" w:type="dxa"/>
          </w:tcPr>
          <w:p w14:paraId="7432DA1C" w14:textId="77777777" w:rsidR="005D0DF1" w:rsidRPr="00141A4D" w:rsidRDefault="005D0DF1" w:rsidP="006A562B">
            <w:pPr>
              <w:pStyle w:val="Tablecondensed"/>
              <w:rPr>
                <w:lang w:val="en-AU"/>
              </w:rPr>
            </w:pPr>
            <w:r w:rsidRPr="00141A4D">
              <w:rPr>
                <w:lang w:val="en-AU"/>
              </w:rPr>
              <w:t>%</w:t>
            </w:r>
          </w:p>
        </w:tc>
        <w:tc>
          <w:tcPr>
            <w:tcW w:w="399" w:type="dxa"/>
            <w:vAlign w:val="center"/>
          </w:tcPr>
          <w:p w14:paraId="5DE6669F" w14:textId="1EA6E454" w:rsidR="005D0DF1" w:rsidRPr="00141A4D" w:rsidRDefault="00391C0F" w:rsidP="006A562B">
            <w:pPr>
              <w:pStyle w:val="Tablecondensed"/>
              <w:rPr>
                <w:lang w:val="en-AU"/>
              </w:rPr>
            </w:pPr>
            <w:r>
              <w:rPr>
                <w:lang w:val="en-AU"/>
              </w:rPr>
              <w:t>2</w:t>
            </w:r>
          </w:p>
        </w:tc>
        <w:tc>
          <w:tcPr>
            <w:tcW w:w="399" w:type="dxa"/>
            <w:vAlign w:val="center"/>
          </w:tcPr>
          <w:p w14:paraId="6AFBC4BD" w14:textId="03921BD3" w:rsidR="005D0DF1" w:rsidRPr="00141A4D" w:rsidRDefault="00391C0F" w:rsidP="006A562B">
            <w:pPr>
              <w:pStyle w:val="Tablecondensed"/>
              <w:rPr>
                <w:lang w:val="en-AU"/>
              </w:rPr>
            </w:pPr>
            <w:r>
              <w:rPr>
                <w:lang w:val="en-AU"/>
              </w:rPr>
              <w:t>4</w:t>
            </w:r>
          </w:p>
        </w:tc>
        <w:tc>
          <w:tcPr>
            <w:tcW w:w="399" w:type="dxa"/>
            <w:vAlign w:val="center"/>
          </w:tcPr>
          <w:p w14:paraId="57B784D7" w14:textId="5C3AA079" w:rsidR="005D0DF1" w:rsidRPr="00141A4D" w:rsidRDefault="00391C0F" w:rsidP="006A562B">
            <w:pPr>
              <w:pStyle w:val="Tablecondensed"/>
              <w:rPr>
                <w:lang w:val="en-AU"/>
              </w:rPr>
            </w:pPr>
            <w:r>
              <w:rPr>
                <w:lang w:val="en-AU"/>
              </w:rPr>
              <w:t>10</w:t>
            </w:r>
          </w:p>
        </w:tc>
        <w:tc>
          <w:tcPr>
            <w:tcW w:w="399" w:type="dxa"/>
            <w:vAlign w:val="center"/>
          </w:tcPr>
          <w:p w14:paraId="36700173" w14:textId="2337975E" w:rsidR="005D0DF1" w:rsidRPr="00141A4D" w:rsidRDefault="00391C0F" w:rsidP="006A562B">
            <w:pPr>
              <w:pStyle w:val="Tablecondensed"/>
              <w:rPr>
                <w:lang w:val="en-AU"/>
              </w:rPr>
            </w:pPr>
            <w:r>
              <w:rPr>
                <w:lang w:val="en-AU"/>
              </w:rPr>
              <w:t>12</w:t>
            </w:r>
          </w:p>
        </w:tc>
        <w:tc>
          <w:tcPr>
            <w:tcW w:w="399" w:type="dxa"/>
            <w:vAlign w:val="center"/>
          </w:tcPr>
          <w:p w14:paraId="01F46E59" w14:textId="49129192" w:rsidR="005D0DF1" w:rsidRPr="00141A4D" w:rsidRDefault="00391C0F" w:rsidP="006A562B">
            <w:pPr>
              <w:pStyle w:val="Tablecondensed"/>
              <w:rPr>
                <w:lang w:val="en-AU"/>
              </w:rPr>
            </w:pPr>
            <w:r>
              <w:rPr>
                <w:lang w:val="en-AU"/>
              </w:rPr>
              <w:t>17</w:t>
            </w:r>
          </w:p>
        </w:tc>
        <w:tc>
          <w:tcPr>
            <w:tcW w:w="399" w:type="dxa"/>
          </w:tcPr>
          <w:p w14:paraId="193A1072" w14:textId="6305E907" w:rsidR="005D0DF1" w:rsidRPr="00494345" w:rsidRDefault="00391C0F" w:rsidP="006A562B">
            <w:pPr>
              <w:pStyle w:val="Tablecondensed"/>
              <w:rPr>
                <w:lang w:val="en-AU"/>
              </w:rPr>
            </w:pPr>
            <w:r>
              <w:rPr>
                <w:lang w:val="en-AU"/>
              </w:rPr>
              <w:t>16</w:t>
            </w:r>
          </w:p>
        </w:tc>
        <w:tc>
          <w:tcPr>
            <w:tcW w:w="399" w:type="dxa"/>
          </w:tcPr>
          <w:p w14:paraId="63959D29" w14:textId="76089CD6" w:rsidR="005D0DF1" w:rsidRPr="00494345" w:rsidRDefault="00391C0F" w:rsidP="006A562B">
            <w:pPr>
              <w:pStyle w:val="Tablecondensed"/>
              <w:rPr>
                <w:lang w:val="en-AU"/>
              </w:rPr>
            </w:pPr>
            <w:r>
              <w:rPr>
                <w:lang w:val="en-AU"/>
              </w:rPr>
              <w:t>16</w:t>
            </w:r>
          </w:p>
        </w:tc>
        <w:tc>
          <w:tcPr>
            <w:tcW w:w="399" w:type="dxa"/>
          </w:tcPr>
          <w:p w14:paraId="7DBB2421" w14:textId="14755C26" w:rsidR="005D0DF1" w:rsidRPr="00494345" w:rsidRDefault="00391C0F" w:rsidP="006A562B">
            <w:pPr>
              <w:pStyle w:val="Tablecondensed"/>
              <w:rPr>
                <w:lang w:val="en-AU"/>
              </w:rPr>
            </w:pPr>
            <w:r>
              <w:rPr>
                <w:lang w:val="en-AU"/>
              </w:rPr>
              <w:t>12</w:t>
            </w:r>
          </w:p>
        </w:tc>
        <w:tc>
          <w:tcPr>
            <w:tcW w:w="399" w:type="dxa"/>
          </w:tcPr>
          <w:p w14:paraId="0F65F7F5" w14:textId="755CEAAE" w:rsidR="005D0DF1" w:rsidRPr="00494345" w:rsidRDefault="00391C0F" w:rsidP="006A562B">
            <w:pPr>
              <w:pStyle w:val="Tablecondensed"/>
              <w:rPr>
                <w:lang w:val="en-AU"/>
              </w:rPr>
            </w:pPr>
            <w:r>
              <w:rPr>
                <w:lang w:val="en-AU"/>
              </w:rPr>
              <w:t>7</w:t>
            </w:r>
          </w:p>
        </w:tc>
        <w:tc>
          <w:tcPr>
            <w:tcW w:w="399" w:type="dxa"/>
          </w:tcPr>
          <w:p w14:paraId="55E6301E" w14:textId="08A3FCFE" w:rsidR="005D0DF1" w:rsidRPr="00494345" w:rsidRDefault="00391C0F" w:rsidP="006A562B">
            <w:pPr>
              <w:pStyle w:val="Tablecondensed"/>
              <w:rPr>
                <w:lang w:val="en-AU"/>
              </w:rPr>
            </w:pPr>
            <w:r>
              <w:rPr>
                <w:lang w:val="en-AU"/>
              </w:rPr>
              <w:t>3</w:t>
            </w:r>
          </w:p>
        </w:tc>
        <w:tc>
          <w:tcPr>
            <w:tcW w:w="490" w:type="dxa"/>
          </w:tcPr>
          <w:p w14:paraId="7AD0DEFD" w14:textId="55905F5A" w:rsidR="005D0DF1" w:rsidRPr="00494345" w:rsidRDefault="00391C0F" w:rsidP="006A562B">
            <w:pPr>
              <w:pStyle w:val="Tablecondensed"/>
              <w:rPr>
                <w:lang w:val="en-AU"/>
              </w:rPr>
            </w:pPr>
            <w:r>
              <w:rPr>
                <w:lang w:val="en-AU"/>
              </w:rPr>
              <w:t>0.9</w:t>
            </w:r>
          </w:p>
        </w:tc>
        <w:tc>
          <w:tcPr>
            <w:tcW w:w="955" w:type="dxa"/>
          </w:tcPr>
          <w:p w14:paraId="3A0785EC" w14:textId="3C4EBB05" w:rsidR="005D0DF1" w:rsidRPr="00494345" w:rsidRDefault="00EA3B5D" w:rsidP="006A562B">
            <w:pPr>
              <w:pStyle w:val="Tablecondensed"/>
              <w:rPr>
                <w:lang w:val="en-AU"/>
              </w:rPr>
            </w:pPr>
            <w:r>
              <w:rPr>
                <w:lang w:val="en-AU"/>
              </w:rPr>
              <w:t>4.9</w:t>
            </w:r>
          </w:p>
        </w:tc>
      </w:tr>
    </w:tbl>
    <w:p w14:paraId="1252D2C7" w14:textId="1C5148C1" w:rsidR="009A18A0" w:rsidRDefault="009A18A0" w:rsidP="009A18A0">
      <w:pPr>
        <w:pStyle w:val="Heading3"/>
      </w:pPr>
      <w:r>
        <w:t>Question 3a.</w:t>
      </w:r>
    </w:p>
    <w:p w14:paraId="30E627A6" w14:textId="6B0F7B8F" w:rsidR="00B72B58" w:rsidRDefault="00B72B58" w:rsidP="00E848DD">
      <w:pPr>
        <w:pStyle w:val="BodyText"/>
      </w:pPr>
      <w:r>
        <w:t xml:space="preserve">Question 3 differed in structure and content from the other questions in Section A, most notably in that the stimulus </w:t>
      </w:r>
      <w:r w:rsidR="000C32C2">
        <w:t xml:space="preserve">text </w:t>
      </w:r>
      <w:r>
        <w:t xml:space="preserve">provided wasn’t taken from one of the prescribed texts, </w:t>
      </w:r>
      <w:proofErr w:type="gramStart"/>
      <w:r>
        <w:t>and also</w:t>
      </w:r>
      <w:proofErr w:type="gramEnd"/>
      <w:r>
        <w:t xml:space="preserve"> </w:t>
      </w:r>
      <w:r w:rsidR="00DD78DC">
        <w:t xml:space="preserve">in that </w:t>
      </w:r>
      <w:r>
        <w:t>the elements of the question were arranged significantly differently</w:t>
      </w:r>
      <w:r w:rsidR="000C32C2">
        <w:t>.</w:t>
      </w:r>
      <w:r>
        <w:t xml:space="preserve"> Question 3</w:t>
      </w:r>
      <w:r w:rsidR="000C32C2">
        <w:t>a</w:t>
      </w:r>
      <w:r>
        <w:t xml:space="preserve"> required students to provide their own justified response to a question about the good life.</w:t>
      </w:r>
    </w:p>
    <w:p w14:paraId="05EBAF56" w14:textId="7B42CBF3" w:rsidR="00B72B58" w:rsidRDefault="00B72B58" w:rsidP="00E848DD">
      <w:pPr>
        <w:pStyle w:val="BodyText"/>
      </w:pPr>
      <w:r>
        <w:t xml:space="preserve">Many </w:t>
      </w:r>
      <w:r w:rsidR="000C32C2">
        <w:t xml:space="preserve">responses </w:t>
      </w:r>
      <w:r>
        <w:t xml:space="preserve">demonstrated some difficulty connecting the philosophical concepts, arguments and perspectives of Unit </w:t>
      </w:r>
      <w:r w:rsidR="006A0E8A">
        <w:t>3</w:t>
      </w:r>
      <w:r>
        <w:t xml:space="preserve"> to the specific example of </w:t>
      </w:r>
      <w:proofErr w:type="spellStart"/>
      <w:r>
        <w:t>CoCo’s</w:t>
      </w:r>
      <w:proofErr w:type="spellEnd"/>
      <w:r>
        <w:t xml:space="preserve"> nonviolent activism. </w:t>
      </w:r>
      <w:r w:rsidR="000B491F">
        <w:t xml:space="preserve">High-scoring responses </w:t>
      </w:r>
      <w:r w:rsidR="00055F6E">
        <w:t>recognised</w:t>
      </w:r>
      <w:r>
        <w:t xml:space="preserve"> that the question posed in this element of Question 3 was a question of moral obligation, or of moral necessity, as seen in the use of ‘require’ in the prompt question. </w:t>
      </w:r>
    </w:p>
    <w:p w14:paraId="27A6B893" w14:textId="2CDF6A29" w:rsidR="00B72B58" w:rsidRDefault="00B72B58" w:rsidP="00E848DD">
      <w:pPr>
        <w:pStyle w:val="BodyText"/>
      </w:pPr>
      <w:r>
        <w:t xml:space="preserve">This </w:t>
      </w:r>
      <w:r w:rsidR="00A37DD5">
        <w:t>question part</w:t>
      </w:r>
      <w:r>
        <w:t xml:space="preserve"> also required students to use the provided stimulus </w:t>
      </w:r>
      <w:r w:rsidR="00A37DD5">
        <w:t xml:space="preserve">text </w:t>
      </w:r>
      <w:r>
        <w:t xml:space="preserve">as their ‘central example’. This instruction, </w:t>
      </w:r>
      <w:proofErr w:type="gramStart"/>
      <w:r>
        <w:t>similarly</w:t>
      </w:r>
      <w:proofErr w:type="gramEnd"/>
      <w:r>
        <w:t xml:space="preserve"> </w:t>
      </w:r>
      <w:r w:rsidR="00A37DD5">
        <w:t xml:space="preserve">to </w:t>
      </w:r>
      <w:r>
        <w:t>the instruction in Section B regarding the use of case studies as ‘central examples’</w:t>
      </w:r>
      <w:r w:rsidR="00A37DD5">
        <w:t>,</w:t>
      </w:r>
      <w:r>
        <w:t xml:space="preserve"> </w:t>
      </w:r>
      <w:r>
        <w:lastRenderedPageBreak/>
        <w:t>required students</w:t>
      </w:r>
      <w:r w:rsidR="00A37DD5">
        <w:t xml:space="preserve"> to</w:t>
      </w:r>
      <w:r>
        <w:t xml:space="preserve"> not merely mention </w:t>
      </w:r>
      <w:proofErr w:type="spellStart"/>
      <w:r>
        <w:t>CoCo</w:t>
      </w:r>
      <w:proofErr w:type="spellEnd"/>
      <w:r>
        <w:t xml:space="preserve"> as a part of their response but to apply the specific and precise details of </w:t>
      </w:r>
      <w:proofErr w:type="spellStart"/>
      <w:r>
        <w:t>CoCo’s</w:t>
      </w:r>
      <w:proofErr w:type="spellEnd"/>
      <w:r>
        <w:t xml:space="preserve"> activism, as outlined in the provided stimulus, to the question of our moral obligation or moral necessity. </w:t>
      </w:r>
      <w:r w:rsidR="00A37DD5">
        <w:t>Some lower-scoring responses</w:t>
      </w:r>
      <w:r>
        <w:t xml:space="preserve"> justified a position on whether the good life requires taking a strong stance on moral issues without </w:t>
      </w:r>
      <w:r w:rsidR="0021529F">
        <w:t xml:space="preserve">reference to </w:t>
      </w:r>
      <w:proofErr w:type="spellStart"/>
      <w:r w:rsidR="0021529F">
        <w:t>CoCo</w:t>
      </w:r>
      <w:proofErr w:type="spellEnd"/>
      <w:r w:rsidR="0021529F">
        <w:t xml:space="preserve"> or to the stimulus material </w:t>
      </w:r>
      <w:proofErr w:type="gramStart"/>
      <w:r w:rsidR="0021529F">
        <w:t>provided,</w:t>
      </w:r>
      <w:r w:rsidR="00A37DD5">
        <w:t xml:space="preserve"> and</w:t>
      </w:r>
      <w:proofErr w:type="gramEnd"/>
      <w:r w:rsidR="00A37DD5">
        <w:t xml:space="preserve"> thus</w:t>
      </w:r>
      <w:r w:rsidR="0021529F">
        <w:t xml:space="preserve"> w</w:t>
      </w:r>
      <w:r>
        <w:t>ere not considered to have fully answered the question.</w:t>
      </w:r>
    </w:p>
    <w:p w14:paraId="4203A409" w14:textId="4C9711A7" w:rsidR="00B72B58" w:rsidRDefault="00B72B58" w:rsidP="00E848DD">
      <w:pPr>
        <w:pStyle w:val="BodyText"/>
      </w:pPr>
      <w:r>
        <w:t xml:space="preserve">There </w:t>
      </w:r>
      <w:r w:rsidR="00ED150E">
        <w:t xml:space="preserve">was </w:t>
      </w:r>
      <w:r>
        <w:t xml:space="preserve">a wide variety of possible responses to this </w:t>
      </w:r>
      <w:r w:rsidR="00A37DD5">
        <w:t>question part</w:t>
      </w:r>
      <w:r>
        <w:t>.</w:t>
      </w:r>
      <w:r w:rsidR="00A37DD5" w:rsidDel="00A37DD5">
        <w:t xml:space="preserve"> </w:t>
      </w:r>
    </w:p>
    <w:p w14:paraId="5B4C297F" w14:textId="4B77DF01" w:rsidR="009A18A0" w:rsidRDefault="009A18A0" w:rsidP="009A18A0">
      <w:pPr>
        <w:pStyle w:val="Heading3"/>
      </w:pPr>
      <w:r>
        <w:t>Question 3b.</w:t>
      </w:r>
    </w:p>
    <w:p w14:paraId="62800C74" w14:textId="70744416" w:rsidR="00EA7590" w:rsidRDefault="00A37DD5" w:rsidP="00E848DD">
      <w:pPr>
        <w:pStyle w:val="BodyText"/>
      </w:pPr>
      <w:r>
        <w:t>For Question 3b, s</w:t>
      </w:r>
      <w:r w:rsidR="00EA7590">
        <w:t xml:space="preserve">tudents </w:t>
      </w:r>
      <w:r w:rsidR="00ED150E">
        <w:t>could</w:t>
      </w:r>
      <w:r w:rsidR="00EA7590">
        <w:t xml:space="preserve"> select any two thinkers from any of the Unit 3 texts. While none of the thinkers directly addressed the question of nonviolent civil disobedience, the comparison prompt could be understood through </w:t>
      </w:r>
      <w:r w:rsidR="007B28B0">
        <w:t>‘</w:t>
      </w:r>
      <w:proofErr w:type="spellStart"/>
      <w:r w:rsidR="00EA7590">
        <w:t>CoCo’s</w:t>
      </w:r>
      <w:proofErr w:type="spellEnd"/>
      <w:r w:rsidR="00EA7590">
        <w:t xml:space="preserve"> claim that it is morally required</w:t>
      </w:r>
      <w:r>
        <w:t xml:space="preserve"> </w:t>
      </w:r>
      <w:r w:rsidR="00EA7590">
        <w:t>…</w:t>
      </w:r>
      <w:r w:rsidR="007B28B0">
        <w:t>’</w:t>
      </w:r>
      <w:r w:rsidR="00EA7590">
        <w:t xml:space="preserve"> to be focused on the philosophical concept of moral obligations. As such, some thinkers were better suited to this question than others</w:t>
      </w:r>
      <w:r w:rsidR="00B6641E">
        <w:t>.</w:t>
      </w:r>
    </w:p>
    <w:p w14:paraId="73E34D9D" w14:textId="3814B570" w:rsidR="00B6641E" w:rsidRDefault="00B6641E" w:rsidP="00E848DD">
      <w:pPr>
        <w:pStyle w:val="BodyText"/>
      </w:pPr>
      <w:r>
        <w:t xml:space="preserve">Singer was a popular choice, with </w:t>
      </w:r>
      <w:r w:rsidR="00324CA4">
        <w:t>high-scoring responses successfully</w:t>
      </w:r>
      <w:r>
        <w:t xml:space="preserve"> drawing a connection between his drowning child analogy and the climate-crisis action of </w:t>
      </w:r>
      <w:proofErr w:type="spellStart"/>
      <w:r>
        <w:t>CoCo</w:t>
      </w:r>
      <w:proofErr w:type="spellEnd"/>
      <w:r>
        <w:t xml:space="preserve">, applying the assumption that suffering is bad and the argument </w:t>
      </w:r>
      <w:r w:rsidR="00324CA4">
        <w:t>that follows</w:t>
      </w:r>
      <w:r w:rsidR="009E0C3D">
        <w:t xml:space="preserve">: </w:t>
      </w:r>
      <w:r>
        <w:t>that we ought morally to act to prevent suffering if we can do so without sacrificing something of equivalent moral value</w:t>
      </w:r>
      <w:r w:rsidR="00324CA4">
        <w:t>,</w:t>
      </w:r>
      <w:r>
        <w:t xml:space="preserve"> to a conclusion that supports a moral requirement to nonviolent civil disobedience. </w:t>
      </w:r>
    </w:p>
    <w:p w14:paraId="749AEECE" w14:textId="43B801EC" w:rsidR="00B6641E" w:rsidRDefault="00B6641E" w:rsidP="00E848DD">
      <w:pPr>
        <w:pStyle w:val="BodyText"/>
      </w:pPr>
      <w:r>
        <w:t xml:space="preserve">Weil was another popular choice, with </w:t>
      </w:r>
      <w:r w:rsidR="00324CA4">
        <w:t xml:space="preserve">high-scoring responses successfully </w:t>
      </w:r>
      <w:r>
        <w:t xml:space="preserve">connecting </w:t>
      </w:r>
      <w:proofErr w:type="spellStart"/>
      <w:r>
        <w:t>CoCo’s</w:t>
      </w:r>
      <w:proofErr w:type="spellEnd"/>
      <w:r>
        <w:t xml:space="preserve"> claim to Weil’s position that there exists an eternal obligation towards all humans</w:t>
      </w:r>
      <w:r w:rsidR="00324CA4">
        <w:t>,</w:t>
      </w:r>
      <w:r>
        <w:t xml:space="preserve"> </w:t>
      </w:r>
      <w:r w:rsidR="00271A9C">
        <w:t>and that through participation in nonviolent civil disobedience that obligation can be effectively expressed in a real way, through the medium of earthly needs.</w:t>
      </w:r>
    </w:p>
    <w:p w14:paraId="7C8C5647" w14:textId="03908417" w:rsidR="00271A9C" w:rsidRDefault="00324CA4" w:rsidP="00E848DD">
      <w:pPr>
        <w:pStyle w:val="BodyText"/>
      </w:pPr>
      <w:r>
        <w:t xml:space="preserve">High-scoring responses </w:t>
      </w:r>
      <w:r w:rsidR="00271A9C">
        <w:t>often used Wolf as a counterpoint to either Singer or Weil</w:t>
      </w:r>
      <w:r w:rsidR="00E47677">
        <w:t>,</w:t>
      </w:r>
      <w:r w:rsidR="00271A9C">
        <w:t xml:space="preserve"> based on the argument that </w:t>
      </w:r>
      <w:proofErr w:type="spellStart"/>
      <w:r w:rsidR="00271A9C">
        <w:t>CoCo’s</w:t>
      </w:r>
      <w:proofErr w:type="spellEnd"/>
      <w:r w:rsidR="00271A9C">
        <w:t xml:space="preserve"> commitment to nonviolent civil disobedience represented a form of ‘</w:t>
      </w:r>
      <w:r w:rsidR="00237A35">
        <w:t>m</w:t>
      </w:r>
      <w:r w:rsidR="00271A9C">
        <w:t xml:space="preserve">oral </w:t>
      </w:r>
      <w:r w:rsidR="00237A35">
        <w:t>s</w:t>
      </w:r>
      <w:r w:rsidR="00271A9C">
        <w:t>ainthood’ and therefore her life was neither good nor desirable</w:t>
      </w:r>
      <w:r>
        <w:t>,</w:t>
      </w:r>
      <w:r w:rsidR="00271A9C">
        <w:t xml:space="preserve"> and such action was not morally required. </w:t>
      </w:r>
      <w:r>
        <w:t>Very high-</w:t>
      </w:r>
      <w:r w:rsidR="00271A9C">
        <w:t xml:space="preserve">scoring responses </w:t>
      </w:r>
      <w:r>
        <w:t>made</w:t>
      </w:r>
      <w:r w:rsidR="00271A9C">
        <w:t xml:space="preserve"> this comparison with precision and nuance, but students needed to take care not to present an exaggerated or caricatured version of either </w:t>
      </w:r>
      <w:proofErr w:type="spellStart"/>
      <w:r w:rsidR="00271A9C">
        <w:t>CoCo</w:t>
      </w:r>
      <w:proofErr w:type="spellEnd"/>
      <w:r w:rsidR="00271A9C">
        <w:t xml:space="preserve"> or of Wolf’s claims in such an argument.</w:t>
      </w:r>
    </w:p>
    <w:p w14:paraId="54B14287" w14:textId="7571F446" w:rsidR="005828CA" w:rsidRDefault="005828CA" w:rsidP="00E848DD">
      <w:pPr>
        <w:pStyle w:val="BodyText"/>
      </w:pPr>
      <w:r>
        <w:t>S</w:t>
      </w:r>
      <w:r w:rsidR="00271A9C">
        <w:t xml:space="preserve">ome </w:t>
      </w:r>
      <w:r w:rsidR="000661E8">
        <w:t xml:space="preserve">high-scoring responses </w:t>
      </w:r>
      <w:r w:rsidR="00271A9C">
        <w:t>successfully applied Simone de Beauvoir with reference to a life of authenticity and freedom</w:t>
      </w:r>
      <w:r w:rsidR="00456D51">
        <w:t>,</w:t>
      </w:r>
      <w:r w:rsidR="00271A9C">
        <w:t xml:space="preserve"> including the respect for universal human freedoms, establishing </w:t>
      </w:r>
      <w:proofErr w:type="spellStart"/>
      <w:r w:rsidR="00271A9C">
        <w:t>CoCo’s</w:t>
      </w:r>
      <w:proofErr w:type="spellEnd"/>
      <w:r w:rsidR="00271A9C">
        <w:t xml:space="preserve"> actions as motivated by the protection of universal human freedoms</w:t>
      </w:r>
      <w:r w:rsidR="000661E8">
        <w:t>. However,</w:t>
      </w:r>
      <w:r w:rsidR="00271A9C">
        <w:t xml:space="preserve"> some responses reduced de Beauvoir to merely advocating that </w:t>
      </w:r>
      <w:proofErr w:type="spellStart"/>
      <w:r w:rsidR="00271A9C">
        <w:t>CoCo</w:t>
      </w:r>
      <w:proofErr w:type="spellEnd"/>
      <w:r w:rsidR="00271A9C">
        <w:t xml:space="preserve"> should be free to choose nonviolent civil disobedience, rather than </w:t>
      </w:r>
      <w:r w:rsidR="000661E8">
        <w:t>fully engaging</w:t>
      </w:r>
      <w:r w:rsidR="00271A9C">
        <w:t xml:space="preserve"> with the concept of </w:t>
      </w:r>
      <w:r w:rsidR="000661E8">
        <w:t>nonviolent civil disobedience being</w:t>
      </w:r>
      <w:r w:rsidR="00271A9C">
        <w:t xml:space="preserve"> ‘morally required’. </w:t>
      </w:r>
    </w:p>
    <w:p w14:paraId="5C114CEC" w14:textId="2548FC33" w:rsidR="00271A9C" w:rsidRDefault="005828CA" w:rsidP="00E848DD">
      <w:pPr>
        <w:pStyle w:val="BodyText"/>
      </w:pPr>
      <w:r>
        <w:t>Similarly, students who selected</w:t>
      </w:r>
      <w:r w:rsidR="00271A9C">
        <w:t xml:space="preserve"> Mill or Nietzsche</w:t>
      </w:r>
      <w:r>
        <w:t xml:space="preserve"> </w:t>
      </w:r>
      <w:r w:rsidR="00271A9C">
        <w:t>often</w:t>
      </w:r>
      <w:r>
        <w:t xml:space="preserve"> presented a response </w:t>
      </w:r>
      <w:r w:rsidR="000661E8">
        <w:t xml:space="preserve">that </w:t>
      </w:r>
      <w:r>
        <w:t xml:space="preserve">was more directed towards whether </w:t>
      </w:r>
      <w:proofErr w:type="spellStart"/>
      <w:r>
        <w:t>CoCo</w:t>
      </w:r>
      <w:proofErr w:type="spellEnd"/>
      <w:r>
        <w:t xml:space="preserve"> was justified in her nonviolent civil disobedience, but didn’t always engage with the specific requirements of the question with regard to such action being ‘morally required’, or provided only a cursory dismissal of any such requirement along the lines that no moral obligations exist.</w:t>
      </w:r>
      <w:r w:rsidR="00271A9C">
        <w:t xml:space="preserve"> </w:t>
      </w:r>
    </w:p>
    <w:p w14:paraId="47B42C1F" w14:textId="32279A2A" w:rsidR="00AC63DF" w:rsidRDefault="000661E8" w:rsidP="00E848DD">
      <w:pPr>
        <w:pStyle w:val="BodyText"/>
      </w:pPr>
      <w:r>
        <w:t>Some lower-scoring responses</w:t>
      </w:r>
      <w:r w:rsidR="00AC63DF">
        <w:t xml:space="preserve"> selected a thinker (or thinkers) other than those from the Unit 3 prescribed texts </w:t>
      </w:r>
      <w:r>
        <w:t xml:space="preserve">and thus </w:t>
      </w:r>
      <w:r w:rsidR="00AC63DF">
        <w:t>were not considered to have fully answered the question, even if they were able to demonstrate comprehensive or detailed knowledge of the chosen thinker</w:t>
      </w:r>
      <w:r>
        <w:t>(</w:t>
      </w:r>
      <w:r w:rsidR="00AC63DF">
        <w:t>s</w:t>
      </w:r>
      <w:r>
        <w:t>)</w:t>
      </w:r>
      <w:r w:rsidR="00AC63DF">
        <w:t>.</w:t>
      </w:r>
    </w:p>
    <w:p w14:paraId="3F0F2D8C" w14:textId="7C878B06" w:rsidR="009A18A0" w:rsidRDefault="009A18A0" w:rsidP="009A18A0">
      <w:pPr>
        <w:pStyle w:val="Heading3"/>
      </w:pPr>
      <w:r>
        <w:t>Question 3c.</w:t>
      </w:r>
    </w:p>
    <w:p w14:paraId="20EFDD6D" w14:textId="741F83B2" w:rsidR="005828CA" w:rsidRDefault="000661E8" w:rsidP="00E848DD">
      <w:pPr>
        <w:pStyle w:val="BodyText"/>
      </w:pPr>
      <w:r>
        <w:t>For Question 3c, t</w:t>
      </w:r>
      <w:r w:rsidR="005828CA">
        <w:t xml:space="preserve">here </w:t>
      </w:r>
      <w:r w:rsidR="008E720D">
        <w:t>was</w:t>
      </w:r>
      <w:r w:rsidR="005828CA">
        <w:t xml:space="preserve"> a wide variety of possible responses. </w:t>
      </w:r>
      <w:r>
        <w:t>Below is one</w:t>
      </w:r>
      <w:r w:rsidR="005828CA">
        <w:t xml:space="preserve"> example of a </w:t>
      </w:r>
      <w:r>
        <w:t>high-</w:t>
      </w:r>
      <w:r w:rsidR="005828CA">
        <w:t xml:space="preserve">scoring response, but other </w:t>
      </w:r>
      <w:r>
        <w:t>high-</w:t>
      </w:r>
      <w:r w:rsidR="005828CA">
        <w:t xml:space="preserve">scoring responses may have taken a different perspective, </w:t>
      </w:r>
      <w:r>
        <w:t xml:space="preserve">including </w:t>
      </w:r>
      <w:r w:rsidR="005828CA">
        <w:t>a directly contradictory perspective on which thinker was more compelling, provided they were insightfully justified.</w:t>
      </w:r>
    </w:p>
    <w:p w14:paraId="30906370" w14:textId="54E627D3" w:rsidR="007856DF" w:rsidRDefault="005828CA" w:rsidP="00113BC7">
      <w:pPr>
        <w:pStyle w:val="BodyText"/>
      </w:pPr>
      <w:r w:rsidDel="00060358">
        <w:t xml:space="preserve">Note that </w:t>
      </w:r>
      <w:r w:rsidR="000661E8" w:rsidDel="00060358">
        <w:t xml:space="preserve">for this question part, </w:t>
      </w:r>
      <w:r w:rsidDel="00060358">
        <w:t>students</w:t>
      </w:r>
      <w:r w:rsidR="000661E8" w:rsidDel="00060358">
        <w:t xml:space="preserve"> needed to</w:t>
      </w:r>
      <w:r w:rsidDel="00060358">
        <w:t xml:space="preserve"> refer to one of the two </w:t>
      </w:r>
      <w:r w:rsidR="00AC63DF" w:rsidDel="00060358">
        <w:t>thinkers</w:t>
      </w:r>
      <w:r w:rsidDel="00060358">
        <w:t xml:space="preserve"> they </w:t>
      </w:r>
      <w:r w:rsidR="000661E8" w:rsidDel="00060358">
        <w:t xml:space="preserve">had </w:t>
      </w:r>
      <w:r w:rsidDel="00060358">
        <w:t xml:space="preserve">compared in </w:t>
      </w:r>
      <w:r w:rsidR="000661E8" w:rsidDel="00060358">
        <w:t>Question 3b</w:t>
      </w:r>
      <w:r w:rsidDel="00060358">
        <w:t xml:space="preserve">. </w:t>
      </w:r>
      <w:r w:rsidR="00AC63DF" w:rsidDel="00060358">
        <w:t xml:space="preserve">Responses </w:t>
      </w:r>
      <w:r w:rsidR="000661E8" w:rsidDel="00060358">
        <w:t xml:space="preserve">that </w:t>
      </w:r>
      <w:r w:rsidR="005A3EE1" w:rsidDel="00060358">
        <w:t xml:space="preserve">used </w:t>
      </w:r>
      <w:r w:rsidR="00AC63DF" w:rsidDel="00060358">
        <w:t xml:space="preserve">a different thinker from either of those referenced in </w:t>
      </w:r>
      <w:r w:rsidR="000661E8" w:rsidDel="00060358">
        <w:t>Question 3b</w:t>
      </w:r>
      <w:r w:rsidR="00AC63DF" w:rsidDel="00060358">
        <w:t xml:space="preserve"> were not considered to have fully answered the question</w:t>
      </w:r>
      <w:r w:rsidR="00AC63DF">
        <w:t>.</w:t>
      </w:r>
    </w:p>
    <w:p w14:paraId="5044E38C" w14:textId="13BA7448" w:rsidR="005A3EE1" w:rsidRPr="00FD061D" w:rsidRDefault="005A3EE1" w:rsidP="005A3EE1">
      <w:pPr>
        <w:pStyle w:val="BodyText"/>
      </w:pPr>
      <w:r>
        <w:lastRenderedPageBreak/>
        <w:t>The following is an example of a high-scoring response to Question 3:</w:t>
      </w:r>
    </w:p>
    <w:p w14:paraId="0E445CB8" w14:textId="64228935" w:rsidR="00EA7590" w:rsidRDefault="00113BC7" w:rsidP="00113BC7">
      <w:pPr>
        <w:pStyle w:val="Studentsample"/>
      </w:pPr>
      <w:r>
        <w:t xml:space="preserve">a) </w:t>
      </w:r>
      <w:r w:rsidR="00E91A83" w:rsidRPr="00A2320E">
        <w:t xml:space="preserve">In my view, I think that the good life does require taking a strong stance on moral issues to the extent that it doesn’t cause harm to other individuals in the process. To take a strong stance on moral issues cultivates a sense of purpose and identity in one’s life, however if this stance causes severe harm to </w:t>
      </w:r>
      <w:proofErr w:type="gramStart"/>
      <w:r w:rsidR="00E91A83" w:rsidRPr="00A2320E">
        <w:t>others</w:t>
      </w:r>
      <w:proofErr w:type="gramEnd"/>
      <w:r w:rsidR="00E91A83" w:rsidRPr="00A2320E">
        <w:t xml:space="preserve"> then this stance should be suppressed. For example, in the case </w:t>
      </w:r>
      <w:proofErr w:type="spellStart"/>
      <w:r w:rsidR="00E91A83" w:rsidRPr="00A2320E">
        <w:t>CoCo’s</w:t>
      </w:r>
      <w:proofErr w:type="spellEnd"/>
      <w:r w:rsidR="00E91A83" w:rsidRPr="00A2320E">
        <w:t xml:space="preserve"> advocacy for government action on climate change, she advocates for this issue in a civil, nonviolent manner. Although it causes </w:t>
      </w:r>
      <w:r w:rsidR="00477B49" w:rsidRPr="00A2320E">
        <w:t>disobedience, disruption and inconvenience among other citizens, it does not cause harm to others. However, if this initiative were to cause harm to other individuals it would be more morally concerning and may be more dangerous to others than the issue they’re advocating for. Therefore, I believe that the good life involves taking a strong moral stance, given that it is also conducive to other views in the process.</w:t>
      </w:r>
    </w:p>
    <w:p w14:paraId="0E701BEF" w14:textId="2F32DC69" w:rsidR="00477B49" w:rsidRDefault="00113BC7" w:rsidP="00113BC7">
      <w:pPr>
        <w:pStyle w:val="Studentsample"/>
      </w:pPr>
      <w:r>
        <w:t xml:space="preserve">b) </w:t>
      </w:r>
      <w:r w:rsidR="00477B49" w:rsidRPr="00A2320E">
        <w:t xml:space="preserve">Weil would agree that it is morally required to engage in nonviolent civil disobedience given that it supports the needs of the souls of other individuals. Weil argues this because of her belief that our obligations are unconditional and eternal and thus exist in a “realm situated above our own”. Weil would argue that if civil disobedience is her conviction to participate in then Weil would support that it is a moral obligation. On the other hand, Peter Singer would differ by saying that if this civil disobedience does not prevent suffering for those who are in danger of </w:t>
      </w:r>
      <w:proofErr w:type="gramStart"/>
      <w:r w:rsidR="00477B49" w:rsidRPr="00A2320E">
        <w:t>suffering</w:t>
      </w:r>
      <w:proofErr w:type="gramEnd"/>
      <w:r w:rsidR="00477B49" w:rsidRPr="00A2320E">
        <w:t xml:space="preserve"> then the disobedience is meaningless. In this case, </w:t>
      </w:r>
      <w:proofErr w:type="spellStart"/>
      <w:r w:rsidR="00477B49" w:rsidRPr="00A2320E">
        <w:t>CoCo</w:t>
      </w:r>
      <w:proofErr w:type="spellEnd"/>
      <w:r w:rsidR="00477B49" w:rsidRPr="00A2320E">
        <w:t xml:space="preserve"> states that the sixth mass destruction is likely to extinguish 98% of the human population so Singer would argue that the prevention of suffering through the advocacy of climate change is necessary </w:t>
      </w:r>
      <w:proofErr w:type="gramStart"/>
      <w:r w:rsidR="00477B49" w:rsidRPr="00A2320E">
        <w:t>in order to</w:t>
      </w:r>
      <w:proofErr w:type="gramEnd"/>
      <w:r w:rsidR="00477B49" w:rsidRPr="00A2320E">
        <w:t xml:space="preserve"> prevent people from suffering in the future.</w:t>
      </w:r>
    </w:p>
    <w:p w14:paraId="632D8811" w14:textId="6D8FDB47" w:rsidR="00477B49" w:rsidRPr="00A2320E" w:rsidRDefault="00113BC7" w:rsidP="00113BC7">
      <w:pPr>
        <w:pStyle w:val="Studentsample"/>
      </w:pPr>
      <w:r>
        <w:t xml:space="preserve">c) </w:t>
      </w:r>
      <w:r w:rsidR="00477B49" w:rsidRPr="00A2320E">
        <w:t xml:space="preserve">I would argue that Singer’s view is the more compelling response as he provides practical reasoning for why we have such obligations to such clauses as opposed to Weil who simplifies our obligations to a “moral imperative”. However, Singer’s view is often difficult to apply in our daily lives as he places a very strict requirement for us to prioritise giving provisions to other countries or people in need </w:t>
      </w:r>
      <w:proofErr w:type="gramStart"/>
      <w:r w:rsidR="00477B49" w:rsidRPr="00A2320E">
        <w:t>in order to</w:t>
      </w:r>
      <w:proofErr w:type="gramEnd"/>
      <w:r w:rsidR="00477B49" w:rsidRPr="00A2320E">
        <w:t xml:space="preserve"> prevent suffering. For example, by giving money to </w:t>
      </w:r>
      <w:r w:rsidR="00A2320E" w:rsidRPr="00A2320E">
        <w:t>charities</w:t>
      </w:r>
      <w:r w:rsidR="00477B49" w:rsidRPr="00A2320E">
        <w:t xml:space="preserve"> like the “Bengal relief” as opposed to spending $20,000 on a new car that we don’t need. This would surely </w:t>
      </w:r>
      <w:r w:rsidR="00A2320E" w:rsidRPr="00A2320E">
        <w:t>prevent us from enjoying our lives as it doesn’t allow for individuals to spend money on minor things that have sentimental value. Nonetheless, Singer rebuts this by arguing that we should only give to the extent that it does not cause comparable harm to us. Thus, I agree with Singer’s view on why we should have obligations.</w:t>
      </w:r>
      <w:r w:rsidR="00477B49" w:rsidRPr="00A2320E">
        <w:t xml:space="preserve"> </w:t>
      </w:r>
    </w:p>
    <w:p w14:paraId="32EE7352" w14:textId="4D3CE776" w:rsidR="00620FDC" w:rsidRPr="00E92A95" w:rsidRDefault="009406B1" w:rsidP="00E92A95">
      <w:pPr>
        <w:pStyle w:val="Heading2"/>
      </w:pPr>
      <w:r>
        <w:t>Question 4</w:t>
      </w:r>
    </w:p>
    <w:tbl>
      <w:tblPr>
        <w:tblStyle w:val="VCAATableClosed"/>
        <w:tblW w:w="6126" w:type="dxa"/>
        <w:tblLayout w:type="fixed"/>
        <w:tblLook w:val="04A0" w:firstRow="1" w:lastRow="0" w:firstColumn="1" w:lastColumn="0" w:noHBand="0" w:noVBand="1"/>
      </w:tblPr>
      <w:tblGrid>
        <w:gridCol w:w="691"/>
        <w:gridCol w:w="399"/>
        <w:gridCol w:w="399"/>
        <w:gridCol w:w="399"/>
        <w:gridCol w:w="399"/>
        <w:gridCol w:w="399"/>
        <w:gridCol w:w="399"/>
        <w:gridCol w:w="399"/>
        <w:gridCol w:w="399"/>
        <w:gridCol w:w="399"/>
        <w:gridCol w:w="399"/>
        <w:gridCol w:w="490"/>
        <w:gridCol w:w="955"/>
      </w:tblGrid>
      <w:tr w:rsidR="005D0DF1" w:rsidRPr="00141A4D" w14:paraId="5D275AFE" w14:textId="77777777" w:rsidTr="006A562B">
        <w:trPr>
          <w:cnfStyle w:val="100000000000" w:firstRow="1" w:lastRow="0" w:firstColumn="0" w:lastColumn="0" w:oddVBand="0" w:evenVBand="0" w:oddHBand="0" w:evenHBand="0" w:firstRowFirstColumn="0" w:firstRowLastColumn="0" w:lastRowFirstColumn="0" w:lastRowLastColumn="0"/>
        </w:trPr>
        <w:tc>
          <w:tcPr>
            <w:tcW w:w="691" w:type="dxa"/>
          </w:tcPr>
          <w:p w14:paraId="53768778" w14:textId="77777777" w:rsidR="005D0DF1" w:rsidRPr="00141A4D" w:rsidRDefault="005D0DF1" w:rsidP="006A562B">
            <w:pPr>
              <w:pStyle w:val="Tablecondensedheading"/>
              <w:rPr>
                <w:lang w:val="en-AU"/>
              </w:rPr>
            </w:pPr>
            <w:r w:rsidRPr="00141A4D">
              <w:rPr>
                <w:lang w:val="en-AU"/>
              </w:rPr>
              <w:t>Mark</w:t>
            </w:r>
          </w:p>
        </w:tc>
        <w:tc>
          <w:tcPr>
            <w:tcW w:w="399" w:type="dxa"/>
          </w:tcPr>
          <w:p w14:paraId="0537D7D2" w14:textId="77777777" w:rsidR="005D0DF1" w:rsidRPr="00141A4D" w:rsidRDefault="005D0DF1" w:rsidP="006A562B">
            <w:pPr>
              <w:pStyle w:val="Tablecondensedheading"/>
              <w:rPr>
                <w:lang w:val="en-AU"/>
              </w:rPr>
            </w:pPr>
            <w:r w:rsidRPr="00141A4D">
              <w:rPr>
                <w:lang w:val="en-AU"/>
              </w:rPr>
              <w:t>0</w:t>
            </w:r>
          </w:p>
        </w:tc>
        <w:tc>
          <w:tcPr>
            <w:tcW w:w="399" w:type="dxa"/>
          </w:tcPr>
          <w:p w14:paraId="4A5F42DE" w14:textId="77777777" w:rsidR="005D0DF1" w:rsidRPr="00141A4D" w:rsidRDefault="005D0DF1" w:rsidP="006A562B">
            <w:pPr>
              <w:pStyle w:val="Tablecondensedheading"/>
              <w:rPr>
                <w:lang w:val="en-AU"/>
              </w:rPr>
            </w:pPr>
            <w:r w:rsidRPr="00141A4D">
              <w:rPr>
                <w:lang w:val="en-AU"/>
              </w:rPr>
              <w:t>1</w:t>
            </w:r>
          </w:p>
        </w:tc>
        <w:tc>
          <w:tcPr>
            <w:tcW w:w="399" w:type="dxa"/>
          </w:tcPr>
          <w:p w14:paraId="4395259A" w14:textId="77777777" w:rsidR="005D0DF1" w:rsidRPr="00141A4D" w:rsidRDefault="005D0DF1" w:rsidP="006A562B">
            <w:pPr>
              <w:pStyle w:val="Tablecondensedheading"/>
              <w:rPr>
                <w:lang w:val="en-AU"/>
              </w:rPr>
            </w:pPr>
            <w:r w:rsidRPr="00141A4D">
              <w:rPr>
                <w:lang w:val="en-AU"/>
              </w:rPr>
              <w:t>2</w:t>
            </w:r>
          </w:p>
        </w:tc>
        <w:tc>
          <w:tcPr>
            <w:tcW w:w="399" w:type="dxa"/>
          </w:tcPr>
          <w:p w14:paraId="4BD04E73" w14:textId="77777777" w:rsidR="005D0DF1" w:rsidRPr="00141A4D" w:rsidRDefault="005D0DF1" w:rsidP="006A562B">
            <w:pPr>
              <w:pStyle w:val="Tablecondensedheading"/>
              <w:rPr>
                <w:lang w:val="en-AU"/>
              </w:rPr>
            </w:pPr>
            <w:r w:rsidRPr="00141A4D">
              <w:rPr>
                <w:lang w:val="en-AU"/>
              </w:rPr>
              <w:t>3</w:t>
            </w:r>
          </w:p>
        </w:tc>
        <w:tc>
          <w:tcPr>
            <w:tcW w:w="399" w:type="dxa"/>
          </w:tcPr>
          <w:p w14:paraId="115E72E3" w14:textId="77777777" w:rsidR="005D0DF1" w:rsidRPr="00141A4D" w:rsidRDefault="005D0DF1" w:rsidP="006A562B">
            <w:pPr>
              <w:pStyle w:val="Tablecondensedheading"/>
              <w:rPr>
                <w:lang w:val="en-AU"/>
              </w:rPr>
            </w:pPr>
            <w:r w:rsidRPr="00141A4D">
              <w:rPr>
                <w:lang w:val="en-AU"/>
              </w:rPr>
              <w:t>4</w:t>
            </w:r>
          </w:p>
        </w:tc>
        <w:tc>
          <w:tcPr>
            <w:tcW w:w="399" w:type="dxa"/>
          </w:tcPr>
          <w:p w14:paraId="6F6A3186" w14:textId="77777777" w:rsidR="005D0DF1" w:rsidRPr="00141A4D" w:rsidRDefault="005D0DF1" w:rsidP="006A562B">
            <w:pPr>
              <w:pStyle w:val="Tablecondensedheading"/>
              <w:rPr>
                <w:lang w:val="en-AU"/>
              </w:rPr>
            </w:pPr>
            <w:r>
              <w:rPr>
                <w:lang w:val="en-AU"/>
              </w:rPr>
              <w:t>5</w:t>
            </w:r>
          </w:p>
        </w:tc>
        <w:tc>
          <w:tcPr>
            <w:tcW w:w="399" w:type="dxa"/>
          </w:tcPr>
          <w:p w14:paraId="57FAD152" w14:textId="77777777" w:rsidR="005D0DF1" w:rsidRPr="00141A4D" w:rsidRDefault="005D0DF1" w:rsidP="006A562B">
            <w:pPr>
              <w:pStyle w:val="Tablecondensedheading"/>
              <w:rPr>
                <w:lang w:val="en-AU"/>
              </w:rPr>
            </w:pPr>
            <w:r>
              <w:rPr>
                <w:lang w:val="en-AU"/>
              </w:rPr>
              <w:t>6</w:t>
            </w:r>
          </w:p>
        </w:tc>
        <w:tc>
          <w:tcPr>
            <w:tcW w:w="399" w:type="dxa"/>
          </w:tcPr>
          <w:p w14:paraId="4C3D2981" w14:textId="77777777" w:rsidR="005D0DF1" w:rsidRPr="00141A4D" w:rsidRDefault="005D0DF1" w:rsidP="006A562B">
            <w:pPr>
              <w:pStyle w:val="Tablecondensedheading"/>
              <w:rPr>
                <w:lang w:val="en-AU"/>
              </w:rPr>
            </w:pPr>
            <w:r>
              <w:rPr>
                <w:lang w:val="en-AU"/>
              </w:rPr>
              <w:t>7</w:t>
            </w:r>
          </w:p>
        </w:tc>
        <w:tc>
          <w:tcPr>
            <w:tcW w:w="399" w:type="dxa"/>
          </w:tcPr>
          <w:p w14:paraId="616E1739" w14:textId="77777777" w:rsidR="005D0DF1" w:rsidRPr="00141A4D" w:rsidRDefault="005D0DF1" w:rsidP="006A562B">
            <w:pPr>
              <w:pStyle w:val="Tablecondensedheading"/>
              <w:rPr>
                <w:lang w:val="en-AU"/>
              </w:rPr>
            </w:pPr>
            <w:r>
              <w:rPr>
                <w:lang w:val="en-AU"/>
              </w:rPr>
              <w:t>8</w:t>
            </w:r>
          </w:p>
        </w:tc>
        <w:tc>
          <w:tcPr>
            <w:tcW w:w="399" w:type="dxa"/>
          </w:tcPr>
          <w:p w14:paraId="577DCBFC" w14:textId="77777777" w:rsidR="005D0DF1" w:rsidRPr="00141A4D" w:rsidRDefault="005D0DF1" w:rsidP="006A562B">
            <w:pPr>
              <w:pStyle w:val="Tablecondensedheading"/>
              <w:rPr>
                <w:lang w:val="en-AU"/>
              </w:rPr>
            </w:pPr>
            <w:r>
              <w:rPr>
                <w:lang w:val="en-AU"/>
              </w:rPr>
              <w:t>9</w:t>
            </w:r>
          </w:p>
        </w:tc>
        <w:tc>
          <w:tcPr>
            <w:tcW w:w="490" w:type="dxa"/>
          </w:tcPr>
          <w:p w14:paraId="10075A11" w14:textId="77777777" w:rsidR="005D0DF1" w:rsidRPr="00141A4D" w:rsidRDefault="005D0DF1" w:rsidP="006A562B">
            <w:pPr>
              <w:pStyle w:val="Tablecondensedheading"/>
              <w:rPr>
                <w:lang w:val="en-AU"/>
              </w:rPr>
            </w:pPr>
            <w:r>
              <w:rPr>
                <w:lang w:val="en-AU"/>
              </w:rPr>
              <w:t>10</w:t>
            </w:r>
          </w:p>
        </w:tc>
        <w:tc>
          <w:tcPr>
            <w:tcW w:w="955" w:type="dxa"/>
          </w:tcPr>
          <w:p w14:paraId="0516F7A6" w14:textId="77777777" w:rsidR="005D0DF1" w:rsidRPr="00141A4D" w:rsidRDefault="005D0DF1" w:rsidP="006A562B">
            <w:pPr>
              <w:pStyle w:val="Tablecondensedheading"/>
              <w:rPr>
                <w:lang w:val="en-AU"/>
              </w:rPr>
            </w:pPr>
            <w:r>
              <w:rPr>
                <w:lang w:val="en-AU"/>
              </w:rPr>
              <w:t>Average</w:t>
            </w:r>
          </w:p>
        </w:tc>
      </w:tr>
      <w:tr w:rsidR="005D0DF1" w:rsidRPr="00494345" w14:paraId="5B67E6A6" w14:textId="77777777" w:rsidTr="006A562B">
        <w:tc>
          <w:tcPr>
            <w:tcW w:w="691" w:type="dxa"/>
          </w:tcPr>
          <w:p w14:paraId="49DAAB3F" w14:textId="77777777" w:rsidR="005D0DF1" w:rsidRPr="00141A4D" w:rsidRDefault="005D0DF1" w:rsidP="006A562B">
            <w:pPr>
              <w:pStyle w:val="Tablecondensed"/>
              <w:rPr>
                <w:lang w:val="en-AU"/>
              </w:rPr>
            </w:pPr>
            <w:r w:rsidRPr="00141A4D">
              <w:rPr>
                <w:lang w:val="en-AU"/>
              </w:rPr>
              <w:t>%</w:t>
            </w:r>
          </w:p>
        </w:tc>
        <w:tc>
          <w:tcPr>
            <w:tcW w:w="399" w:type="dxa"/>
            <w:vAlign w:val="center"/>
          </w:tcPr>
          <w:p w14:paraId="64E87C15" w14:textId="4623CC64" w:rsidR="005D0DF1" w:rsidRPr="00141A4D" w:rsidRDefault="00E92A95" w:rsidP="006A562B">
            <w:pPr>
              <w:pStyle w:val="Tablecondensed"/>
              <w:rPr>
                <w:lang w:val="en-AU"/>
              </w:rPr>
            </w:pPr>
            <w:r>
              <w:rPr>
                <w:lang w:val="en-AU"/>
              </w:rPr>
              <w:t>2</w:t>
            </w:r>
          </w:p>
        </w:tc>
        <w:tc>
          <w:tcPr>
            <w:tcW w:w="399" w:type="dxa"/>
            <w:vAlign w:val="center"/>
          </w:tcPr>
          <w:p w14:paraId="45ED168F" w14:textId="6665051F" w:rsidR="005D0DF1" w:rsidRPr="00141A4D" w:rsidRDefault="00E92A95" w:rsidP="006A562B">
            <w:pPr>
              <w:pStyle w:val="Tablecondensed"/>
              <w:rPr>
                <w:lang w:val="en-AU"/>
              </w:rPr>
            </w:pPr>
            <w:r>
              <w:rPr>
                <w:lang w:val="en-AU"/>
              </w:rPr>
              <w:t>2</w:t>
            </w:r>
          </w:p>
        </w:tc>
        <w:tc>
          <w:tcPr>
            <w:tcW w:w="399" w:type="dxa"/>
            <w:vAlign w:val="center"/>
          </w:tcPr>
          <w:p w14:paraId="33873920" w14:textId="4C826C93" w:rsidR="005D0DF1" w:rsidRPr="00141A4D" w:rsidRDefault="00E92A95" w:rsidP="006A562B">
            <w:pPr>
              <w:pStyle w:val="Tablecondensed"/>
              <w:rPr>
                <w:lang w:val="en-AU"/>
              </w:rPr>
            </w:pPr>
            <w:r>
              <w:rPr>
                <w:lang w:val="en-AU"/>
              </w:rPr>
              <w:t>5</w:t>
            </w:r>
          </w:p>
        </w:tc>
        <w:tc>
          <w:tcPr>
            <w:tcW w:w="399" w:type="dxa"/>
            <w:vAlign w:val="center"/>
          </w:tcPr>
          <w:p w14:paraId="65A75DE9" w14:textId="1333D1BE" w:rsidR="005D0DF1" w:rsidRPr="00141A4D" w:rsidRDefault="00E92A95" w:rsidP="006A562B">
            <w:pPr>
              <w:pStyle w:val="Tablecondensed"/>
              <w:rPr>
                <w:lang w:val="en-AU"/>
              </w:rPr>
            </w:pPr>
            <w:r>
              <w:rPr>
                <w:lang w:val="en-AU"/>
              </w:rPr>
              <w:t>12</w:t>
            </w:r>
          </w:p>
        </w:tc>
        <w:tc>
          <w:tcPr>
            <w:tcW w:w="399" w:type="dxa"/>
            <w:vAlign w:val="center"/>
          </w:tcPr>
          <w:p w14:paraId="60CA92F4" w14:textId="5BF1DA24" w:rsidR="005D0DF1" w:rsidRPr="00141A4D" w:rsidRDefault="00E92A95" w:rsidP="006A562B">
            <w:pPr>
              <w:pStyle w:val="Tablecondensed"/>
              <w:rPr>
                <w:lang w:val="en-AU"/>
              </w:rPr>
            </w:pPr>
            <w:r>
              <w:rPr>
                <w:lang w:val="en-AU"/>
              </w:rPr>
              <w:t>19</w:t>
            </w:r>
          </w:p>
        </w:tc>
        <w:tc>
          <w:tcPr>
            <w:tcW w:w="399" w:type="dxa"/>
          </w:tcPr>
          <w:p w14:paraId="56747647" w14:textId="0DF1357B" w:rsidR="005D0DF1" w:rsidRPr="00494345" w:rsidRDefault="00E92A95" w:rsidP="006A562B">
            <w:pPr>
              <w:pStyle w:val="Tablecondensed"/>
              <w:rPr>
                <w:lang w:val="en-AU"/>
              </w:rPr>
            </w:pPr>
            <w:r>
              <w:rPr>
                <w:lang w:val="en-AU"/>
              </w:rPr>
              <w:t>20</w:t>
            </w:r>
          </w:p>
        </w:tc>
        <w:tc>
          <w:tcPr>
            <w:tcW w:w="399" w:type="dxa"/>
          </w:tcPr>
          <w:p w14:paraId="4CEA6140" w14:textId="28842FF4" w:rsidR="005D0DF1" w:rsidRPr="00494345" w:rsidRDefault="00E92A95" w:rsidP="006A562B">
            <w:pPr>
              <w:pStyle w:val="Tablecondensed"/>
              <w:rPr>
                <w:lang w:val="en-AU"/>
              </w:rPr>
            </w:pPr>
            <w:r>
              <w:rPr>
                <w:lang w:val="en-AU"/>
              </w:rPr>
              <w:t>16</w:t>
            </w:r>
          </w:p>
        </w:tc>
        <w:tc>
          <w:tcPr>
            <w:tcW w:w="399" w:type="dxa"/>
          </w:tcPr>
          <w:p w14:paraId="56A1BDD3" w14:textId="45C9D1B5" w:rsidR="005D0DF1" w:rsidRPr="00494345" w:rsidRDefault="00E92A95" w:rsidP="006A562B">
            <w:pPr>
              <w:pStyle w:val="Tablecondensed"/>
              <w:rPr>
                <w:lang w:val="en-AU"/>
              </w:rPr>
            </w:pPr>
            <w:r>
              <w:rPr>
                <w:lang w:val="en-AU"/>
              </w:rPr>
              <w:t>14</w:t>
            </w:r>
          </w:p>
        </w:tc>
        <w:tc>
          <w:tcPr>
            <w:tcW w:w="399" w:type="dxa"/>
          </w:tcPr>
          <w:p w14:paraId="15FC1EDF" w14:textId="6A7ED3B5" w:rsidR="005D0DF1" w:rsidRPr="00494345" w:rsidRDefault="00E92A95" w:rsidP="006A562B">
            <w:pPr>
              <w:pStyle w:val="Tablecondensed"/>
              <w:rPr>
                <w:lang w:val="en-AU"/>
              </w:rPr>
            </w:pPr>
            <w:r>
              <w:rPr>
                <w:lang w:val="en-AU"/>
              </w:rPr>
              <w:t>7</w:t>
            </w:r>
          </w:p>
        </w:tc>
        <w:tc>
          <w:tcPr>
            <w:tcW w:w="399" w:type="dxa"/>
          </w:tcPr>
          <w:p w14:paraId="043914FA" w14:textId="1E8CC77C" w:rsidR="005D0DF1" w:rsidRPr="00494345" w:rsidRDefault="00E92A95" w:rsidP="006A562B">
            <w:pPr>
              <w:pStyle w:val="Tablecondensed"/>
              <w:rPr>
                <w:lang w:val="en-AU"/>
              </w:rPr>
            </w:pPr>
            <w:r>
              <w:rPr>
                <w:lang w:val="en-AU"/>
              </w:rPr>
              <w:t>3</w:t>
            </w:r>
          </w:p>
        </w:tc>
        <w:tc>
          <w:tcPr>
            <w:tcW w:w="490" w:type="dxa"/>
          </w:tcPr>
          <w:p w14:paraId="1CE664A2" w14:textId="19CD95C6" w:rsidR="005D0DF1" w:rsidRPr="00494345" w:rsidRDefault="00E92A95" w:rsidP="006A562B">
            <w:pPr>
              <w:pStyle w:val="Tablecondensed"/>
              <w:rPr>
                <w:lang w:val="en-AU"/>
              </w:rPr>
            </w:pPr>
            <w:r>
              <w:rPr>
                <w:lang w:val="en-AU"/>
              </w:rPr>
              <w:t>1</w:t>
            </w:r>
          </w:p>
        </w:tc>
        <w:tc>
          <w:tcPr>
            <w:tcW w:w="955" w:type="dxa"/>
          </w:tcPr>
          <w:p w14:paraId="4DAF5BF7" w14:textId="3EA6AE50" w:rsidR="005D0DF1" w:rsidRPr="00494345" w:rsidRDefault="00EA3B5D" w:rsidP="006A562B">
            <w:pPr>
              <w:pStyle w:val="Tablecondensed"/>
              <w:rPr>
                <w:lang w:val="en-AU"/>
              </w:rPr>
            </w:pPr>
            <w:r>
              <w:rPr>
                <w:lang w:val="en-AU"/>
              </w:rPr>
              <w:t>5.1</w:t>
            </w:r>
          </w:p>
        </w:tc>
      </w:tr>
    </w:tbl>
    <w:p w14:paraId="4B3355AA" w14:textId="25F19C31" w:rsidR="009A18A0" w:rsidRDefault="009A18A0" w:rsidP="009A18A0">
      <w:pPr>
        <w:pStyle w:val="Heading3"/>
      </w:pPr>
      <w:r>
        <w:t>Question 4a.</w:t>
      </w:r>
    </w:p>
    <w:p w14:paraId="2264CB04" w14:textId="471208CC" w:rsidR="009406B1" w:rsidRDefault="009406B1" w:rsidP="00E848DD">
      <w:pPr>
        <w:pStyle w:val="BodyText"/>
      </w:pPr>
      <w:r>
        <w:t>Question 4</w:t>
      </w:r>
      <w:r w:rsidR="005A3EE1">
        <w:t>a</w:t>
      </w:r>
      <w:r>
        <w:t xml:space="preserve"> required students to bring together three elements: </w:t>
      </w:r>
      <w:r w:rsidR="00A93560">
        <w:t xml:space="preserve">responses needed </w:t>
      </w:r>
      <w:r>
        <w:t>to directly respond to the ideas provided in the passage; to explain Clifford’s position on the philosophical concept of epistemic responsibility</w:t>
      </w:r>
      <w:r w:rsidR="009B12D4">
        <w:t xml:space="preserve"> as it relates to both belief formation and truthfulness</w:t>
      </w:r>
      <w:r>
        <w:t>; and to relate th</w:t>
      </w:r>
      <w:r w:rsidR="009B12D4">
        <w:t>ese</w:t>
      </w:r>
      <w:r>
        <w:t xml:space="preserve"> philosophical concepts to both </w:t>
      </w:r>
      <w:proofErr w:type="gramStart"/>
      <w:r>
        <w:t>ourselves</w:t>
      </w:r>
      <w:proofErr w:type="gramEnd"/>
      <w:r>
        <w:t xml:space="preserve"> and others. </w:t>
      </w:r>
    </w:p>
    <w:p w14:paraId="0FCD2E49" w14:textId="3764EC6A" w:rsidR="009406B1" w:rsidRDefault="009406B1" w:rsidP="00E848DD">
      <w:pPr>
        <w:pStyle w:val="BodyText"/>
      </w:pPr>
      <w:r>
        <w:t xml:space="preserve">High-scoring responses </w:t>
      </w:r>
      <w:r w:rsidR="0069360D">
        <w:t>recognised</w:t>
      </w:r>
      <w:r w:rsidR="00A93560">
        <w:t xml:space="preserve"> </w:t>
      </w:r>
      <w:r>
        <w:t xml:space="preserve">that the passage spoke about the </w:t>
      </w:r>
      <w:r w:rsidR="00553550">
        <w:t>‘</w:t>
      </w:r>
      <w:r w:rsidR="009B12D4">
        <w:t xml:space="preserve">harm which is done by credulity’ </w:t>
      </w:r>
      <w:r>
        <w:t xml:space="preserve">and </w:t>
      </w:r>
      <w:r w:rsidR="00A93560">
        <w:t>focused</w:t>
      </w:r>
      <w:r w:rsidR="009B12D4">
        <w:t xml:space="preserve"> on this concept of credulousness, or the epistemic carelessness of the ‘credulous man’</w:t>
      </w:r>
      <w:r w:rsidR="00A93560">
        <w:t>,</w:t>
      </w:r>
      <w:r w:rsidR="009B12D4">
        <w:t xml:space="preserve"> and </w:t>
      </w:r>
      <w:r>
        <w:t>connect</w:t>
      </w:r>
      <w:r w:rsidR="0069360D">
        <w:t>ed</w:t>
      </w:r>
      <w:r>
        <w:t xml:space="preserve"> this concept with the related concept of </w:t>
      </w:r>
      <w:r w:rsidR="009B12D4">
        <w:t xml:space="preserve">epistemic responsibilities, expressed in the passage as ‘our duties’, not only to </w:t>
      </w:r>
      <w:r w:rsidR="00A93560">
        <w:t xml:space="preserve">ourselves </w:t>
      </w:r>
      <w:r w:rsidR="009B12D4">
        <w:t xml:space="preserve">but to others, </w:t>
      </w:r>
      <w:r w:rsidR="00A93560">
        <w:t xml:space="preserve">recognising </w:t>
      </w:r>
      <w:r w:rsidR="009B12D4">
        <w:t xml:space="preserve">Clifford’s </w:t>
      </w:r>
      <w:r>
        <w:t>argu</w:t>
      </w:r>
      <w:r w:rsidR="009B12D4">
        <w:t>ment</w:t>
      </w:r>
      <w:r>
        <w:t xml:space="preserve"> that</w:t>
      </w:r>
      <w:r w:rsidR="009B12D4">
        <w:t xml:space="preserve"> there is epistemic ‘guilt’ in failing to meet these obligations in their entirety and in every instance (and hence that this duty to form true beliefs can be understood not merely as a responsibility, but as a ‘</w:t>
      </w:r>
      <w:proofErr w:type="spellStart"/>
      <w:r w:rsidR="009B12D4">
        <w:t>serious’</w:t>
      </w:r>
      <w:proofErr w:type="spellEnd"/>
      <w:r w:rsidR="009B12D4">
        <w:t xml:space="preserve"> one). </w:t>
      </w:r>
    </w:p>
    <w:p w14:paraId="4D756FD6" w14:textId="10E518E3" w:rsidR="009406B1" w:rsidRPr="00871409" w:rsidRDefault="00A93560" w:rsidP="00E848DD">
      <w:pPr>
        <w:pStyle w:val="BodyText"/>
      </w:pPr>
      <w:r>
        <w:lastRenderedPageBreak/>
        <w:t>Some lower-scoring responses addressed</w:t>
      </w:r>
      <w:r w:rsidR="009406B1">
        <w:t xml:space="preserve"> the question in terms </w:t>
      </w:r>
      <w:r w:rsidR="24F8DDC7">
        <w:t xml:space="preserve">of </w:t>
      </w:r>
      <w:r w:rsidR="00871409">
        <w:t xml:space="preserve">‘Clifford’s Principle’ or some of the more general points Clifford makes </w:t>
      </w:r>
      <w:proofErr w:type="gramStart"/>
      <w:r w:rsidR="00871409">
        <w:t>with regard to</w:t>
      </w:r>
      <w:proofErr w:type="gramEnd"/>
      <w:r w:rsidR="00871409">
        <w:t xml:space="preserve"> the need for beliefs to be made on sufficient evidence</w:t>
      </w:r>
      <w:r>
        <w:t>,</w:t>
      </w:r>
      <w:r w:rsidR="00871409">
        <w:t xml:space="preserve"> </w:t>
      </w:r>
      <w:r w:rsidR="009406B1">
        <w:t>without</w:t>
      </w:r>
      <w:r w:rsidR="00871409">
        <w:t xml:space="preserve"> clearly</w:t>
      </w:r>
      <w:r w:rsidR="009406B1">
        <w:t xml:space="preserve"> making the connection to</w:t>
      </w:r>
      <w:r w:rsidR="00871409">
        <w:t xml:space="preserve"> the specific concepts of credulousness and responsibility</w:t>
      </w:r>
      <w:r w:rsidR="009406B1">
        <w:t xml:space="preserve">. </w:t>
      </w:r>
    </w:p>
    <w:p w14:paraId="198C80C5" w14:textId="0398263E" w:rsidR="00855892" w:rsidRPr="00394AC2" w:rsidRDefault="00A93560" w:rsidP="00394AC2">
      <w:pPr>
        <w:pStyle w:val="BodyText"/>
      </w:pPr>
      <w:r>
        <w:t xml:space="preserve">Some lower-scoring responses </w:t>
      </w:r>
      <w:r w:rsidR="00871409">
        <w:t>were not</w:t>
      </w:r>
      <w:r w:rsidR="009406B1" w:rsidRPr="00871409">
        <w:t xml:space="preserve"> ‘</w:t>
      </w:r>
      <w:r w:rsidR="00871409">
        <w:t xml:space="preserve">based on </w:t>
      </w:r>
      <w:r w:rsidR="009406B1" w:rsidRPr="00871409">
        <w:t xml:space="preserve">the passage above’ </w:t>
      </w:r>
      <w:r>
        <w:t xml:space="preserve">and thus </w:t>
      </w:r>
      <w:r w:rsidR="009406B1" w:rsidRPr="00871409">
        <w:t>were not considered to have fully answered the question, even if they were able to demonstrate comprehensive or detailed knowledge of the relevant set text.</w:t>
      </w:r>
    </w:p>
    <w:p w14:paraId="1DD8F455" w14:textId="58CEA62A" w:rsidR="009A18A0" w:rsidRDefault="009A18A0" w:rsidP="009A18A0">
      <w:pPr>
        <w:pStyle w:val="Heading3"/>
      </w:pPr>
      <w:r>
        <w:t>Question 4b.</w:t>
      </w:r>
    </w:p>
    <w:p w14:paraId="389A974B" w14:textId="5CE8F28E" w:rsidR="00855892" w:rsidRDefault="00A93560" w:rsidP="00E848DD">
      <w:pPr>
        <w:pStyle w:val="BodyText"/>
      </w:pPr>
      <w:r>
        <w:t>For question 4b, s</w:t>
      </w:r>
      <w:r w:rsidR="00855892">
        <w:t>tudents were able to select any thinker from any of the Unit 4 texts</w:t>
      </w:r>
      <w:r w:rsidR="00E74389">
        <w:t xml:space="preserve"> to compare with Clifford</w:t>
      </w:r>
      <w:r>
        <w:t>. High-</w:t>
      </w:r>
      <w:r w:rsidR="00855892">
        <w:t xml:space="preserve">scoring responses </w:t>
      </w:r>
      <w:r>
        <w:t>selected</w:t>
      </w:r>
      <w:r w:rsidR="00855892">
        <w:t xml:space="preserve"> a thinker </w:t>
      </w:r>
      <w:r>
        <w:t>with specific relevance</w:t>
      </w:r>
      <w:r w:rsidR="00855892">
        <w:t xml:space="preserve"> to the concept of epistemic responsibility.</w:t>
      </w:r>
    </w:p>
    <w:p w14:paraId="295CB21C" w14:textId="78444AB2" w:rsidR="00855892" w:rsidRDefault="00855892" w:rsidP="00E848DD">
      <w:pPr>
        <w:pStyle w:val="BodyText"/>
      </w:pPr>
      <w:r>
        <w:t xml:space="preserve">Of these, </w:t>
      </w:r>
      <w:r w:rsidR="0029292E">
        <w:t>Peirce was</w:t>
      </w:r>
      <w:r>
        <w:t xml:space="preserve"> a popular selection, and </w:t>
      </w:r>
      <w:r w:rsidR="0029292E">
        <w:t>many</w:t>
      </w:r>
      <w:r>
        <w:t xml:space="preserve"> </w:t>
      </w:r>
      <w:r w:rsidR="00476C6A">
        <w:t>responses demonstrated recognition of</w:t>
      </w:r>
      <w:r w:rsidR="0029292E">
        <w:t xml:space="preserve"> a key distinction </w:t>
      </w:r>
      <w:r w:rsidR="008F1CC0">
        <w:t xml:space="preserve">between </w:t>
      </w:r>
      <w:r w:rsidR="0029292E">
        <w:t xml:space="preserve">Peirce </w:t>
      </w:r>
      <w:r w:rsidR="008F1CC0">
        <w:t>and</w:t>
      </w:r>
      <w:r w:rsidR="0029292E">
        <w:t xml:space="preserve"> Clifford</w:t>
      </w:r>
      <w:r>
        <w:t xml:space="preserve">: that </w:t>
      </w:r>
      <w:r w:rsidR="008F1CC0">
        <w:t xml:space="preserve">Pierce </w:t>
      </w:r>
      <w:r w:rsidR="009867CB">
        <w:t>is most concerned with</w:t>
      </w:r>
      <w:r w:rsidR="0029292E">
        <w:t xml:space="preserve"> the fixation of belief</w:t>
      </w:r>
      <w:r w:rsidR="00987D62">
        <w:t xml:space="preserve"> and the settlement of opinion</w:t>
      </w:r>
      <w:r w:rsidR="0029292E">
        <w:t xml:space="preserve"> </w:t>
      </w:r>
      <w:r w:rsidR="00987D62">
        <w:t xml:space="preserve">for </w:t>
      </w:r>
      <w:r w:rsidR="0029292E">
        <w:t>the removal of doubt</w:t>
      </w:r>
      <w:r w:rsidR="009867CB">
        <w:t>, rather than considering the sufficiency (or insufficiency) of justifications</w:t>
      </w:r>
      <w:r w:rsidR="0029292E">
        <w:t xml:space="preserve">. </w:t>
      </w:r>
      <w:r w:rsidR="00A05DBC">
        <w:t xml:space="preserve">Some other high-scoring responses </w:t>
      </w:r>
      <w:r>
        <w:t xml:space="preserve">found meaningful connections to </w:t>
      </w:r>
      <w:r w:rsidR="0029292E">
        <w:t>both E Fricker and M Fricker. I</w:t>
      </w:r>
      <w:r>
        <w:t xml:space="preserve">n </w:t>
      </w:r>
      <w:r w:rsidR="00A05DBC">
        <w:t xml:space="preserve">the case of </w:t>
      </w:r>
      <w:r w:rsidR="0029292E">
        <w:t>E Fricker</w:t>
      </w:r>
      <w:r>
        <w:t xml:space="preserve">, that </w:t>
      </w:r>
      <w:r w:rsidR="0029292E">
        <w:t xml:space="preserve">our responsibility to ourselves </w:t>
      </w:r>
      <w:r w:rsidR="00C017E5">
        <w:t xml:space="preserve">is </w:t>
      </w:r>
      <w:r w:rsidR="0029292E">
        <w:t>to the evaluation of the testimony we received, as articulated through her TDAPs</w:t>
      </w:r>
      <w:r w:rsidR="009867CB">
        <w:t xml:space="preserve"> (</w:t>
      </w:r>
      <w:r w:rsidR="009867CB" w:rsidRPr="009867CB">
        <w:t>Testimony Deferential Acceptance Principle</w:t>
      </w:r>
      <w:r w:rsidR="004B2F9C">
        <w:t>s</w:t>
      </w:r>
      <w:r w:rsidR="009867CB">
        <w:t>)</w:t>
      </w:r>
      <w:r w:rsidR="0029292E">
        <w:t xml:space="preserve">, and our responsibility to others </w:t>
      </w:r>
      <w:r w:rsidR="00C017E5">
        <w:t xml:space="preserve">is </w:t>
      </w:r>
      <w:r w:rsidR="0029292E">
        <w:t xml:space="preserve">to </w:t>
      </w:r>
      <w:r w:rsidR="00A05DBC">
        <w:t xml:space="preserve">recognise </w:t>
      </w:r>
      <w:r w:rsidR="0029292E">
        <w:t xml:space="preserve">when they </w:t>
      </w:r>
      <w:r w:rsidR="00C017E5">
        <w:t xml:space="preserve">are </w:t>
      </w:r>
      <w:r w:rsidR="0029292E">
        <w:t>epistemically better</w:t>
      </w:r>
      <w:r w:rsidR="00A05DBC">
        <w:t xml:space="preserve"> </w:t>
      </w:r>
      <w:r w:rsidR="0029292E">
        <w:t xml:space="preserve">placed relative to ourselves. In </w:t>
      </w:r>
      <w:r w:rsidR="00A05DBC">
        <w:t xml:space="preserve">the case of </w:t>
      </w:r>
      <w:r w:rsidR="0029292E">
        <w:t>M</w:t>
      </w:r>
      <w:r w:rsidR="00D20591">
        <w:t> </w:t>
      </w:r>
      <w:r w:rsidR="0029292E">
        <w:t xml:space="preserve">Fricker, that our responsibility to others </w:t>
      </w:r>
      <w:r w:rsidR="00C017E5">
        <w:t xml:space="preserve">is </w:t>
      </w:r>
      <w:r w:rsidR="0029292E">
        <w:t xml:space="preserve">to ensure that we </w:t>
      </w:r>
      <w:r w:rsidR="00C017E5">
        <w:t xml:space="preserve">apply </w:t>
      </w:r>
      <w:r w:rsidR="0029292E">
        <w:t xml:space="preserve">appropriate credibility and avoid the injustices of excess or deficit, and that our responsibility to ourselves </w:t>
      </w:r>
      <w:r w:rsidR="00C017E5">
        <w:t xml:space="preserve">is </w:t>
      </w:r>
      <w:r w:rsidR="0029292E">
        <w:t xml:space="preserve">to examine ourselves for prejudices and actively work to shed these prejudices when assigning credibility to a testifier. </w:t>
      </w:r>
    </w:p>
    <w:p w14:paraId="7E2DD459" w14:textId="33B95F7E" w:rsidR="0029292E" w:rsidRDefault="00A05DBC" w:rsidP="00E848DD">
      <w:pPr>
        <w:pStyle w:val="BodyText"/>
      </w:pPr>
      <w:r>
        <w:t xml:space="preserve">Some lower-scoring responses </w:t>
      </w:r>
      <w:r w:rsidR="00855892">
        <w:t xml:space="preserve">selected a relevant thinker </w:t>
      </w:r>
      <w:r w:rsidR="00023E0E">
        <w:t>for</w:t>
      </w:r>
      <w:r w:rsidR="00855892">
        <w:t xml:space="preserve"> the </w:t>
      </w:r>
      <w:r w:rsidR="00763F0B">
        <w:t>comparison but</w:t>
      </w:r>
      <w:r w:rsidR="00855892">
        <w:t xml:space="preserve"> did not directly address the philosophical concept of </w:t>
      </w:r>
      <w:r w:rsidR="0029292E">
        <w:t xml:space="preserve">epistemic </w:t>
      </w:r>
      <w:proofErr w:type="gramStart"/>
      <w:r w:rsidR="0029292E">
        <w:t>responsibility</w:t>
      </w:r>
      <w:r w:rsidR="00855892">
        <w:t xml:space="preserve">, </w:t>
      </w:r>
      <w:r w:rsidR="0029292E">
        <w:t>or</w:t>
      </w:r>
      <w:proofErr w:type="gramEnd"/>
      <w:r w:rsidR="0029292E">
        <w:t xml:space="preserve"> outlined the chosen thinker’s view without making a direct connection between that view and Clifford’s own. For </w:t>
      </w:r>
      <w:r w:rsidR="000A37CD">
        <w:t>example</w:t>
      </w:r>
      <w:r w:rsidR="0029292E">
        <w:t xml:space="preserve">, some </w:t>
      </w:r>
      <w:r w:rsidR="000A37CD">
        <w:t xml:space="preserve">responses </w:t>
      </w:r>
      <w:r w:rsidR="0029292E">
        <w:t>selected Peirce, but represented his view as advocating for the Method of Tenacity or the Method of Authority as sufficient means of belief formation, despite Peirce’s direct critiques and ultimate dismissal of these methods</w:t>
      </w:r>
      <w:r w:rsidR="00AE2C24">
        <w:t>; some responses compared Clifford to E Fricker but represented Clifford as only accepting direct observational evidence for belief formation and dismissing any testimonial evidence as insufficient, despite Clifford’s direct arguments in support of forming beliefs on the basis of testimony or from justifications beyond our own experience.</w:t>
      </w:r>
    </w:p>
    <w:p w14:paraId="2A251D38" w14:textId="35A54723" w:rsidR="00855892" w:rsidRDefault="00763F0B" w:rsidP="00E848DD">
      <w:pPr>
        <w:pStyle w:val="BodyText"/>
      </w:pPr>
      <w:r>
        <w:t>S</w:t>
      </w:r>
      <w:r w:rsidR="00855892">
        <w:t xml:space="preserve">ome </w:t>
      </w:r>
      <w:r w:rsidR="00BC7878">
        <w:t xml:space="preserve">responses </w:t>
      </w:r>
      <w:r w:rsidR="00855892">
        <w:t xml:space="preserve">selected thinkers from Unit </w:t>
      </w:r>
      <w:r>
        <w:t>4</w:t>
      </w:r>
      <w:r w:rsidR="00855892">
        <w:t xml:space="preserve"> who did not directly address </w:t>
      </w:r>
      <w:r>
        <w:t>epistemic responsibility</w:t>
      </w:r>
      <w:r w:rsidR="00855892">
        <w:t xml:space="preserve"> in their works.</w:t>
      </w:r>
      <w:r>
        <w:t xml:space="preserve"> In some cases</w:t>
      </w:r>
      <w:r w:rsidR="00BC7878">
        <w:t>, these responses</w:t>
      </w:r>
      <w:r>
        <w:t xml:space="preserve"> </w:t>
      </w:r>
      <w:r w:rsidR="00BC7878">
        <w:t>made</w:t>
      </w:r>
      <w:r>
        <w:t xml:space="preserve"> connections </w:t>
      </w:r>
      <w:r w:rsidR="00BC7878">
        <w:t xml:space="preserve">between </w:t>
      </w:r>
      <w:r>
        <w:t xml:space="preserve">these selected thinkers </w:t>
      </w:r>
      <w:r w:rsidR="00BC7878">
        <w:t xml:space="preserve">and </w:t>
      </w:r>
      <w:r>
        <w:t>Clifford’s views on epistemic responsibility</w:t>
      </w:r>
      <w:r w:rsidR="00BC7878">
        <w:t>; for example, drawing connections to Nguyen’s distinction between epistemic bubbles and ech</w:t>
      </w:r>
      <w:r w:rsidR="00C017E5">
        <w:t>o</w:t>
      </w:r>
      <w:r w:rsidR="00CD2BD8">
        <w:t xml:space="preserve"> </w:t>
      </w:r>
      <w:r w:rsidR="00BC7878">
        <w:t>chambers</w:t>
      </w:r>
      <w:r>
        <w:t xml:space="preserve"> through the section of the passage on the </w:t>
      </w:r>
      <w:r w:rsidR="00666E4B">
        <w:t>‘</w:t>
      </w:r>
      <w:r>
        <w:t>thick atmosphere of falsehood and fraud’ or the ‘cloud castle of sweet illusions’ as descriptions of echo</w:t>
      </w:r>
      <w:r w:rsidR="00CD2BD8">
        <w:t xml:space="preserve"> </w:t>
      </w:r>
      <w:r>
        <w:t>chambers</w:t>
      </w:r>
      <w:r w:rsidR="00BC7878">
        <w:t>. However,</w:t>
      </w:r>
      <w:r>
        <w:t xml:space="preserve"> these </w:t>
      </w:r>
      <w:r w:rsidR="00855892">
        <w:t xml:space="preserve">responses were less able to meet the specific demands of Question </w:t>
      </w:r>
      <w:r>
        <w:t>4</w:t>
      </w:r>
      <w:r w:rsidR="005E482E">
        <w:t>b</w:t>
      </w:r>
      <w:r w:rsidR="00855892">
        <w:t xml:space="preserve">, and so were less likely to </w:t>
      </w:r>
      <w:r w:rsidR="00BC7878">
        <w:t>score highly</w:t>
      </w:r>
      <w:r w:rsidR="00855892">
        <w:t>.</w:t>
      </w:r>
    </w:p>
    <w:p w14:paraId="6CDEB5A6" w14:textId="0E64AA7F" w:rsidR="00855892" w:rsidRPr="00A749D0" w:rsidRDefault="005E482E" w:rsidP="00E848DD">
      <w:pPr>
        <w:pStyle w:val="BodyText"/>
      </w:pPr>
      <w:r>
        <w:t>Some lower-scoring r</w:t>
      </w:r>
      <w:r w:rsidR="00855892">
        <w:t xml:space="preserve">esponses selected a thinker other than those from the Unit </w:t>
      </w:r>
      <w:r w:rsidR="00763F0B">
        <w:t>4</w:t>
      </w:r>
      <w:r w:rsidR="00855892">
        <w:t xml:space="preserve"> prescribed texts </w:t>
      </w:r>
      <w:r>
        <w:t xml:space="preserve">and thus </w:t>
      </w:r>
      <w:r w:rsidR="00855892">
        <w:t>were not considered to have fully answered the question, even if they were able to demonstrate comprehensive or detailed knowledge of the chosen thinker.</w:t>
      </w:r>
    </w:p>
    <w:p w14:paraId="28FCA084" w14:textId="4FC0B412" w:rsidR="009A18A0" w:rsidRDefault="009A18A0" w:rsidP="009A18A0">
      <w:pPr>
        <w:pStyle w:val="Heading3"/>
      </w:pPr>
      <w:r>
        <w:t>Question 4c.</w:t>
      </w:r>
    </w:p>
    <w:p w14:paraId="6941E0E9" w14:textId="20A6CDC1" w:rsidR="00943FBF" w:rsidRDefault="00943FBF" w:rsidP="00E848DD">
      <w:pPr>
        <w:pStyle w:val="BodyText"/>
      </w:pPr>
      <w:r>
        <w:t xml:space="preserve">Question </w:t>
      </w:r>
      <w:r w:rsidR="00E91A83">
        <w:t>4</w:t>
      </w:r>
      <w:r w:rsidR="005E482E">
        <w:t>c</w:t>
      </w:r>
      <w:r>
        <w:t xml:space="preserve"> required students to respond directly to a claim about Clifford’s position on the dangers of false </w:t>
      </w:r>
      <w:proofErr w:type="gramStart"/>
      <w:r>
        <w:t>beliefs, and</w:t>
      </w:r>
      <w:proofErr w:type="gramEnd"/>
      <w:r>
        <w:t xml:space="preserve"> directly referenced a phrase from the stimulus material provided. Although not explicitly stated, th</w:t>
      </w:r>
      <w:r w:rsidR="00023E0E">
        <w:t>e</w:t>
      </w:r>
      <w:r>
        <w:t xml:space="preserve"> </w:t>
      </w:r>
      <w:r w:rsidR="005E482E">
        <w:t>question wording</w:t>
      </w:r>
      <w:r>
        <w:t xml:space="preserve"> implied a requirement for students to frame their response in terms of direct comparison with Clifford’s beliefs and claims, including those </w:t>
      </w:r>
      <w:r w:rsidR="005E482E">
        <w:t xml:space="preserve">in </w:t>
      </w:r>
      <w:r>
        <w:t xml:space="preserve">the stimulus provided. </w:t>
      </w:r>
      <w:r w:rsidR="005E482E">
        <w:t xml:space="preserve">Some lower-scoring responses </w:t>
      </w:r>
      <w:r>
        <w:t xml:space="preserve">provided </w:t>
      </w:r>
      <w:r w:rsidR="005E482E">
        <w:t xml:space="preserve">the student’s </w:t>
      </w:r>
      <w:r>
        <w:t xml:space="preserve">own view of the dangers of false beliefs without directly addressing Clifford’s </w:t>
      </w:r>
      <w:proofErr w:type="gramStart"/>
      <w:r>
        <w:t>claims</w:t>
      </w:r>
      <w:r w:rsidR="005E482E">
        <w:t>, and</w:t>
      </w:r>
      <w:proofErr w:type="gramEnd"/>
      <w:r w:rsidR="005E482E">
        <w:t xml:space="preserve"> thus</w:t>
      </w:r>
      <w:r>
        <w:t xml:space="preserve"> were not considered to have fully answered the question.</w:t>
      </w:r>
    </w:p>
    <w:p w14:paraId="5FC166AA" w14:textId="3A3015E4" w:rsidR="00855892" w:rsidRDefault="00943FBF" w:rsidP="00E848DD">
      <w:pPr>
        <w:pStyle w:val="BodyText"/>
      </w:pPr>
      <w:r>
        <w:lastRenderedPageBreak/>
        <w:t xml:space="preserve">There </w:t>
      </w:r>
      <w:r w:rsidR="00023E0E">
        <w:t xml:space="preserve">was </w:t>
      </w:r>
      <w:r>
        <w:t xml:space="preserve">a wide variety of possible responses to this </w:t>
      </w:r>
      <w:r w:rsidR="005E482E">
        <w:t>question part</w:t>
      </w:r>
      <w:r>
        <w:t xml:space="preserve">. </w:t>
      </w:r>
      <w:r w:rsidR="005E482E">
        <w:t>Below is one</w:t>
      </w:r>
      <w:r>
        <w:t xml:space="preserve"> example of a </w:t>
      </w:r>
      <w:r w:rsidR="005E482E">
        <w:t>high-</w:t>
      </w:r>
      <w:r>
        <w:t xml:space="preserve">scoring response, but other </w:t>
      </w:r>
      <w:r w:rsidR="00666E4B">
        <w:t>high-</w:t>
      </w:r>
      <w:r>
        <w:t xml:space="preserve">scoring responses may have taken a different perspective, </w:t>
      </w:r>
      <w:r w:rsidR="005E482E">
        <w:t xml:space="preserve">including </w:t>
      </w:r>
      <w:r>
        <w:t>a directly contradictory perspective on the extent to which it is dangerous to hold false beliefs, provided they were insightfully justified.</w:t>
      </w:r>
    </w:p>
    <w:p w14:paraId="5D38B235" w14:textId="66F56FA3" w:rsidR="005E482E" w:rsidRPr="00FD061D" w:rsidRDefault="005E482E" w:rsidP="005E482E">
      <w:pPr>
        <w:pStyle w:val="BodyText"/>
      </w:pPr>
      <w:r>
        <w:t>The following is an example of a high-scoring response to Question 4:</w:t>
      </w:r>
    </w:p>
    <w:p w14:paraId="3D49DFC8" w14:textId="5D01643D" w:rsidR="00000B40" w:rsidRDefault="00113BC7" w:rsidP="00113BC7">
      <w:pPr>
        <w:pStyle w:val="Studentsample"/>
      </w:pPr>
      <w:r>
        <w:t xml:space="preserve">a) </w:t>
      </w:r>
      <w:r w:rsidR="00000B40" w:rsidRPr="00C7210C">
        <w:t>Clifford believes that we have a serious responsibility both to ourselves and to others to form true beliefs because we live in a human world influenced by human actions. So, if one individual does not care about the truth and promotes the vices of carelessness and laziness, the others around him will not revere the truth in their mind and learn to cry “peace” when there is no peace. Such a carelessness results in an environment of falsehood and fraud, where the individual has made his neighbours ready to deceive</w:t>
      </w:r>
      <w:r w:rsidR="00C7210C" w:rsidRPr="00C7210C">
        <w:t>, and he himself being credulous, creates liars and cheats. Therefore, we have a serious responsibility to ourselves and others to form true beliefs, because if we don’t, we weaken our own character and compromise those around us.</w:t>
      </w:r>
    </w:p>
    <w:p w14:paraId="325B07FE" w14:textId="268C1FE0" w:rsidR="00C7210C" w:rsidRDefault="00113BC7" w:rsidP="00113BC7">
      <w:pPr>
        <w:pStyle w:val="Studentsample"/>
      </w:pPr>
      <w:r>
        <w:t xml:space="preserve">b) </w:t>
      </w:r>
      <w:r w:rsidR="00C7210C" w:rsidRPr="00C7210C">
        <w:t>Peirce largely does not agree with Clifford on our responsibilities to society and ourselves when forming beliefs. This is because Peirce argues that the sole object of inquiry is the settlement of doubt. Peirce argues that we wish at all costs to avoid the great anxiety that arises from doubt. Clifford in fact agrees with Peirce on this point, as he argues that there is a great bitterness that arises when our beliefs are unsure. Peirce</w:t>
      </w:r>
      <w:r w:rsidR="001B3B7D">
        <w:t>,</w:t>
      </w:r>
      <w:r w:rsidR="00C7210C" w:rsidRPr="00C7210C">
        <w:t xml:space="preserve"> then, presents the scientific method, which although</w:t>
      </w:r>
      <w:r w:rsidR="001B3B7D">
        <w:t xml:space="preserve"> </w:t>
      </w:r>
      <w:r w:rsidR="00C7210C" w:rsidRPr="00C7210C">
        <w:t xml:space="preserve">uses evidence to form beliefs that are likely to be true, is based off the premise that it will be the best method </w:t>
      </w:r>
      <w:r w:rsidR="00CB3486">
        <w:t>at</w:t>
      </w:r>
      <w:r w:rsidR="00CB3486" w:rsidRPr="00C7210C">
        <w:t xml:space="preserve"> </w:t>
      </w:r>
      <w:r w:rsidR="00C7210C" w:rsidRPr="00C7210C">
        <w:t xml:space="preserve">preventing doubt. Thus, Peirce differs from Clifford as he does not care about whether the beliefs are true or not, or even how we get our beliefs like Clifford, but rather that we can settle our beliefs </w:t>
      </w:r>
      <w:proofErr w:type="gramStart"/>
      <w:r w:rsidR="00C7210C" w:rsidRPr="00C7210C">
        <w:t>in order to</w:t>
      </w:r>
      <w:proofErr w:type="gramEnd"/>
      <w:r w:rsidR="00C7210C" w:rsidRPr="00C7210C">
        <w:t xml:space="preserve"> settle the doubt and avoid the great anxiety that comes with being unsure.</w:t>
      </w:r>
    </w:p>
    <w:p w14:paraId="0DDB35CB" w14:textId="41DDBBB3" w:rsidR="007856DF" w:rsidRPr="0061488D" w:rsidRDefault="00113BC7" w:rsidP="00261EDC">
      <w:pPr>
        <w:pStyle w:val="Studentsample"/>
        <w:rPr>
          <w:b/>
          <w:bCs/>
        </w:rPr>
      </w:pPr>
      <w:r>
        <w:t xml:space="preserve">c) </w:t>
      </w:r>
      <w:r w:rsidR="00C7210C">
        <w:t xml:space="preserve">I mostly agree with Clifford that it is dangerous to hold false beliefs, even if they are comforting and pleasant. In my view, the implications of beliefs that are wrong are great and pose a threat both to the individual and to </w:t>
      </w:r>
      <w:proofErr w:type="gramStart"/>
      <w:r w:rsidR="00C7210C">
        <w:t>society as a whole</w:t>
      </w:r>
      <w:proofErr w:type="gramEnd"/>
      <w:r w:rsidR="00C7210C">
        <w:t xml:space="preserve">. For example, on an individual scale, if we take an individual who believes that the sun won’t burn them, then, in the future, we would see that this false belief which is based upon no evidence or inquiry would likely see them contract skin cancer and live a difficult life that would only have been prevented by forming the true belief that the sun will burn them. On the societal scale </w:t>
      </w:r>
      <w:proofErr w:type="gramStart"/>
      <w:r w:rsidR="00C7210C">
        <w:t>too</w:t>
      </w:r>
      <w:proofErr w:type="gramEnd"/>
      <w:r w:rsidR="00C7210C">
        <w:t xml:space="preserve"> we can see that it is dangerous to hold false beliefs. For </w:t>
      </w:r>
      <w:proofErr w:type="gramStart"/>
      <w:r w:rsidR="00C7210C">
        <w:t>example</w:t>
      </w:r>
      <w:proofErr w:type="gramEnd"/>
      <w:r w:rsidR="00C7210C">
        <w:t xml:space="preserve"> if an individual believed that fire didn’t pose a threat to anyone</w:t>
      </w:r>
      <w:r w:rsidR="00E91A83">
        <w:t>, and so he sets his local park on fire, it is easy to see the devastating impacts on others</w:t>
      </w:r>
      <w:r w:rsidR="001B3B7D">
        <w:t>’</w:t>
      </w:r>
      <w:r w:rsidR="00E91A83">
        <w:t xml:space="preserve"> lives that false beliefs can have. However, at the same time, these are mostly extreme examples, in some cases it is not dangerous to hold beliefs which could be false, but rather it could be beneficial. For example, if I was anxious about a test, but I knew I had studied for it, even if it may be false that I will do it well, believing this would likely result in the best outcome as it suppresses my anxiety (</w:t>
      </w:r>
      <w:proofErr w:type="gramStart"/>
      <w:r w:rsidR="00E91A83">
        <w:t>similar to</w:t>
      </w:r>
      <w:proofErr w:type="gramEnd"/>
      <w:r w:rsidR="00E91A83">
        <w:t xml:space="preserve"> Peirce’s model) and would likely result in me performing better. Therefore, in most cases it is dangerous at an individual and societal level to hold beliefs that are false, but there are some circumstances where the stakes are less extreme and settling a belief, even if it may be false, would likely result in a better outcome.</w:t>
      </w:r>
    </w:p>
    <w:p w14:paraId="64F2A590" w14:textId="77777777" w:rsidR="00465E2F" w:rsidRDefault="00465E2F">
      <w:pPr>
        <w:spacing w:line="276" w:lineRule="auto"/>
        <w:rPr>
          <w:rFonts w:ascii="Arial" w:hAnsi="Arial" w:cs="Arial"/>
          <w:color w:val="0F7EB4"/>
          <w:sz w:val="48"/>
          <w:szCs w:val="40"/>
          <w:lang w:val="en-AU"/>
        </w:rPr>
      </w:pPr>
      <w:r>
        <w:br w:type="page"/>
      </w:r>
    </w:p>
    <w:p w14:paraId="3C2E3F56" w14:textId="6C827C97" w:rsidR="00FD061D" w:rsidRPr="00C05D9D" w:rsidRDefault="00AC63DF" w:rsidP="00C05D9D">
      <w:pPr>
        <w:pStyle w:val="Heading1"/>
      </w:pPr>
      <w:r>
        <w:lastRenderedPageBreak/>
        <w:t>Section B</w:t>
      </w:r>
    </w:p>
    <w:tbl>
      <w:tblPr>
        <w:tblStyle w:val="VCAATableClosed"/>
        <w:tblW w:w="0" w:type="auto"/>
        <w:tblInd w:w="-5" w:type="dxa"/>
        <w:tblLayout w:type="fixed"/>
        <w:tblLook w:val="04A0" w:firstRow="1" w:lastRow="0" w:firstColumn="1" w:lastColumn="0" w:noHBand="0" w:noVBand="1"/>
      </w:tblPr>
      <w:tblGrid>
        <w:gridCol w:w="907"/>
        <w:gridCol w:w="680"/>
        <w:gridCol w:w="680"/>
        <w:gridCol w:w="680"/>
        <w:gridCol w:w="680"/>
      </w:tblGrid>
      <w:tr w:rsidR="00EF7723" w:rsidRPr="00F94849" w14:paraId="56C9CBC1" w14:textId="472B843F" w:rsidTr="006A562B">
        <w:trPr>
          <w:cnfStyle w:val="100000000000" w:firstRow="1" w:lastRow="0" w:firstColumn="0" w:lastColumn="0" w:oddVBand="0" w:evenVBand="0" w:oddHBand="0" w:evenHBand="0" w:firstRowFirstColumn="0" w:firstRowLastColumn="0" w:lastRowFirstColumn="0" w:lastRowLastColumn="0"/>
        </w:trPr>
        <w:tc>
          <w:tcPr>
            <w:tcW w:w="907" w:type="dxa"/>
          </w:tcPr>
          <w:p w14:paraId="1B7E4291" w14:textId="77777777" w:rsidR="00EF7723" w:rsidRPr="0061488D" w:rsidRDefault="00EF7723" w:rsidP="0061488D">
            <w:pPr>
              <w:pStyle w:val="VCAAtablecondensedheading"/>
            </w:pPr>
            <w:r w:rsidRPr="0061488D">
              <w:t>Option</w:t>
            </w:r>
          </w:p>
        </w:tc>
        <w:tc>
          <w:tcPr>
            <w:tcW w:w="680" w:type="dxa"/>
          </w:tcPr>
          <w:p w14:paraId="55CC67ED" w14:textId="77777777" w:rsidR="00EF7723" w:rsidRPr="0061488D" w:rsidRDefault="00EF7723" w:rsidP="0061488D">
            <w:pPr>
              <w:pStyle w:val="VCAAtablecondensedheading"/>
            </w:pPr>
            <w:r w:rsidRPr="0061488D">
              <w:t>N / R</w:t>
            </w:r>
          </w:p>
        </w:tc>
        <w:tc>
          <w:tcPr>
            <w:tcW w:w="680" w:type="dxa"/>
          </w:tcPr>
          <w:p w14:paraId="1DBBD23B" w14:textId="77777777" w:rsidR="00EF7723" w:rsidRPr="0061488D" w:rsidRDefault="00EF7723" w:rsidP="0061488D">
            <w:pPr>
              <w:pStyle w:val="VCAAtablecondensedheading"/>
            </w:pPr>
            <w:r w:rsidRPr="0061488D">
              <w:t>1</w:t>
            </w:r>
          </w:p>
        </w:tc>
        <w:tc>
          <w:tcPr>
            <w:tcW w:w="680" w:type="dxa"/>
          </w:tcPr>
          <w:p w14:paraId="497CE0D3" w14:textId="77777777" w:rsidR="00EF7723" w:rsidRPr="0061488D" w:rsidRDefault="00EF7723" w:rsidP="0061488D">
            <w:pPr>
              <w:pStyle w:val="VCAAtablecondensedheading"/>
            </w:pPr>
            <w:r w:rsidRPr="0061488D">
              <w:t>2</w:t>
            </w:r>
          </w:p>
        </w:tc>
        <w:tc>
          <w:tcPr>
            <w:tcW w:w="680" w:type="dxa"/>
          </w:tcPr>
          <w:p w14:paraId="6B7D3AAD" w14:textId="01D5DA4A" w:rsidR="00EF7723" w:rsidRPr="0061488D" w:rsidRDefault="00EF7723" w:rsidP="0061488D">
            <w:pPr>
              <w:pStyle w:val="VCAAtablecondensedheading"/>
            </w:pPr>
            <w:r w:rsidRPr="0061488D">
              <w:t>3</w:t>
            </w:r>
          </w:p>
        </w:tc>
      </w:tr>
      <w:tr w:rsidR="00EF7723" w:rsidRPr="0061488D" w14:paraId="00F17B90" w14:textId="3E40FE3A" w:rsidTr="006A562B">
        <w:tc>
          <w:tcPr>
            <w:tcW w:w="907" w:type="dxa"/>
          </w:tcPr>
          <w:p w14:paraId="169A816F" w14:textId="77777777" w:rsidR="00EF7723" w:rsidRPr="0061488D" w:rsidRDefault="00EF7723" w:rsidP="0061488D">
            <w:pPr>
              <w:pStyle w:val="VCAAtablecondensed"/>
            </w:pPr>
            <w:r w:rsidRPr="0061488D">
              <w:t>%</w:t>
            </w:r>
          </w:p>
        </w:tc>
        <w:tc>
          <w:tcPr>
            <w:tcW w:w="680" w:type="dxa"/>
          </w:tcPr>
          <w:p w14:paraId="40643C64" w14:textId="02230914" w:rsidR="00EF7723" w:rsidRPr="0061488D" w:rsidRDefault="00EF7723" w:rsidP="0061488D">
            <w:pPr>
              <w:pStyle w:val="VCAAtablecondensed"/>
            </w:pPr>
            <w:r w:rsidRPr="0061488D">
              <w:t>2</w:t>
            </w:r>
          </w:p>
        </w:tc>
        <w:tc>
          <w:tcPr>
            <w:tcW w:w="680" w:type="dxa"/>
          </w:tcPr>
          <w:p w14:paraId="606DA397" w14:textId="07673A94" w:rsidR="00EF7723" w:rsidRPr="0061488D" w:rsidRDefault="00EF7723" w:rsidP="0061488D">
            <w:pPr>
              <w:pStyle w:val="VCAAtablecondensed"/>
            </w:pPr>
            <w:r w:rsidRPr="0061488D">
              <w:t>50</w:t>
            </w:r>
          </w:p>
        </w:tc>
        <w:tc>
          <w:tcPr>
            <w:tcW w:w="680" w:type="dxa"/>
          </w:tcPr>
          <w:p w14:paraId="6929BAD5" w14:textId="71398240" w:rsidR="00EF7723" w:rsidRPr="0061488D" w:rsidRDefault="00EF7723" w:rsidP="0061488D">
            <w:pPr>
              <w:pStyle w:val="VCAAtablecondensed"/>
            </w:pPr>
            <w:r w:rsidRPr="0061488D">
              <w:t>27</w:t>
            </w:r>
          </w:p>
        </w:tc>
        <w:tc>
          <w:tcPr>
            <w:tcW w:w="680" w:type="dxa"/>
          </w:tcPr>
          <w:p w14:paraId="5E65C8D1" w14:textId="26B55B41" w:rsidR="00EF7723" w:rsidRPr="0061488D" w:rsidRDefault="00EF7723" w:rsidP="0061488D">
            <w:pPr>
              <w:pStyle w:val="VCAAtablecondensed"/>
            </w:pPr>
            <w:r w:rsidRPr="0061488D">
              <w:t>21</w:t>
            </w:r>
          </w:p>
        </w:tc>
      </w:tr>
    </w:tbl>
    <w:p w14:paraId="68E7B100" w14:textId="77777777" w:rsidR="00EF7723" w:rsidRDefault="00EF7723" w:rsidP="0061488D"/>
    <w:tbl>
      <w:tblPr>
        <w:tblStyle w:val="VCAATableClosed"/>
        <w:tblW w:w="5308" w:type="dxa"/>
        <w:tblLayout w:type="fixed"/>
        <w:tblLook w:val="04A0" w:firstRow="1" w:lastRow="0" w:firstColumn="1" w:lastColumn="0" w:noHBand="0" w:noVBand="1"/>
      </w:tblPr>
      <w:tblGrid>
        <w:gridCol w:w="691"/>
        <w:gridCol w:w="399"/>
        <w:gridCol w:w="536"/>
        <w:gridCol w:w="399"/>
        <w:gridCol w:w="399"/>
        <w:gridCol w:w="399"/>
        <w:gridCol w:w="399"/>
        <w:gridCol w:w="399"/>
        <w:gridCol w:w="399"/>
        <w:gridCol w:w="399"/>
        <w:gridCol w:w="399"/>
        <w:gridCol w:w="490"/>
      </w:tblGrid>
      <w:tr w:rsidR="005D0DF1" w:rsidRPr="00141A4D" w14:paraId="1FC659F6" w14:textId="77777777" w:rsidTr="0061588F">
        <w:trPr>
          <w:cnfStyle w:val="100000000000" w:firstRow="1" w:lastRow="0" w:firstColumn="0" w:lastColumn="0" w:oddVBand="0" w:evenVBand="0" w:oddHBand="0" w:evenHBand="0" w:firstRowFirstColumn="0" w:firstRowLastColumn="0" w:lastRowFirstColumn="0" w:lastRowLastColumn="0"/>
        </w:trPr>
        <w:tc>
          <w:tcPr>
            <w:tcW w:w="691" w:type="dxa"/>
          </w:tcPr>
          <w:p w14:paraId="1FD02A6F" w14:textId="77777777" w:rsidR="005D0DF1" w:rsidRPr="00141A4D" w:rsidRDefault="005D0DF1" w:rsidP="006A562B">
            <w:pPr>
              <w:pStyle w:val="Tablecondensedheading"/>
              <w:rPr>
                <w:lang w:val="en-AU"/>
              </w:rPr>
            </w:pPr>
            <w:r w:rsidRPr="00141A4D">
              <w:rPr>
                <w:lang w:val="en-AU"/>
              </w:rPr>
              <w:t>Mark</w:t>
            </w:r>
          </w:p>
        </w:tc>
        <w:tc>
          <w:tcPr>
            <w:tcW w:w="399" w:type="dxa"/>
          </w:tcPr>
          <w:p w14:paraId="0FF8B9BF" w14:textId="77777777" w:rsidR="005D0DF1" w:rsidRPr="00141A4D" w:rsidRDefault="005D0DF1" w:rsidP="006A562B">
            <w:pPr>
              <w:pStyle w:val="Tablecondensedheading"/>
              <w:rPr>
                <w:lang w:val="en-AU"/>
              </w:rPr>
            </w:pPr>
            <w:r w:rsidRPr="00141A4D">
              <w:rPr>
                <w:lang w:val="en-AU"/>
              </w:rPr>
              <w:t>0</w:t>
            </w:r>
          </w:p>
        </w:tc>
        <w:tc>
          <w:tcPr>
            <w:tcW w:w="536" w:type="dxa"/>
          </w:tcPr>
          <w:p w14:paraId="53FA8A8F" w14:textId="77777777" w:rsidR="005D0DF1" w:rsidRPr="00141A4D" w:rsidRDefault="005D0DF1" w:rsidP="006A562B">
            <w:pPr>
              <w:pStyle w:val="Tablecondensedheading"/>
              <w:rPr>
                <w:lang w:val="en-AU"/>
              </w:rPr>
            </w:pPr>
            <w:r w:rsidRPr="00141A4D">
              <w:rPr>
                <w:lang w:val="en-AU"/>
              </w:rPr>
              <w:t>1</w:t>
            </w:r>
          </w:p>
        </w:tc>
        <w:tc>
          <w:tcPr>
            <w:tcW w:w="399" w:type="dxa"/>
          </w:tcPr>
          <w:p w14:paraId="4DA2764D" w14:textId="77777777" w:rsidR="005D0DF1" w:rsidRPr="00141A4D" w:rsidRDefault="005D0DF1" w:rsidP="006A562B">
            <w:pPr>
              <w:pStyle w:val="Tablecondensedheading"/>
              <w:rPr>
                <w:lang w:val="en-AU"/>
              </w:rPr>
            </w:pPr>
            <w:r w:rsidRPr="00141A4D">
              <w:rPr>
                <w:lang w:val="en-AU"/>
              </w:rPr>
              <w:t>2</w:t>
            </w:r>
          </w:p>
        </w:tc>
        <w:tc>
          <w:tcPr>
            <w:tcW w:w="399" w:type="dxa"/>
          </w:tcPr>
          <w:p w14:paraId="6CA14674" w14:textId="77777777" w:rsidR="005D0DF1" w:rsidRPr="00141A4D" w:rsidRDefault="005D0DF1" w:rsidP="006A562B">
            <w:pPr>
              <w:pStyle w:val="Tablecondensedheading"/>
              <w:rPr>
                <w:lang w:val="en-AU"/>
              </w:rPr>
            </w:pPr>
            <w:r w:rsidRPr="00141A4D">
              <w:rPr>
                <w:lang w:val="en-AU"/>
              </w:rPr>
              <w:t>3</w:t>
            </w:r>
          </w:p>
        </w:tc>
        <w:tc>
          <w:tcPr>
            <w:tcW w:w="399" w:type="dxa"/>
          </w:tcPr>
          <w:p w14:paraId="0218D238" w14:textId="77777777" w:rsidR="005D0DF1" w:rsidRPr="00141A4D" w:rsidRDefault="005D0DF1" w:rsidP="006A562B">
            <w:pPr>
              <w:pStyle w:val="Tablecondensedheading"/>
              <w:rPr>
                <w:lang w:val="en-AU"/>
              </w:rPr>
            </w:pPr>
            <w:r w:rsidRPr="00141A4D">
              <w:rPr>
                <w:lang w:val="en-AU"/>
              </w:rPr>
              <w:t>4</w:t>
            </w:r>
          </w:p>
        </w:tc>
        <w:tc>
          <w:tcPr>
            <w:tcW w:w="399" w:type="dxa"/>
          </w:tcPr>
          <w:p w14:paraId="0D456E69" w14:textId="77777777" w:rsidR="005D0DF1" w:rsidRPr="00141A4D" w:rsidRDefault="005D0DF1" w:rsidP="006A562B">
            <w:pPr>
              <w:pStyle w:val="Tablecondensedheading"/>
              <w:rPr>
                <w:lang w:val="en-AU"/>
              </w:rPr>
            </w:pPr>
            <w:r>
              <w:rPr>
                <w:lang w:val="en-AU"/>
              </w:rPr>
              <w:t>5</w:t>
            </w:r>
          </w:p>
        </w:tc>
        <w:tc>
          <w:tcPr>
            <w:tcW w:w="399" w:type="dxa"/>
          </w:tcPr>
          <w:p w14:paraId="3BA9713D" w14:textId="77777777" w:rsidR="005D0DF1" w:rsidRPr="00141A4D" w:rsidRDefault="005D0DF1" w:rsidP="006A562B">
            <w:pPr>
              <w:pStyle w:val="Tablecondensedheading"/>
              <w:rPr>
                <w:lang w:val="en-AU"/>
              </w:rPr>
            </w:pPr>
            <w:r>
              <w:rPr>
                <w:lang w:val="en-AU"/>
              </w:rPr>
              <w:t>6</w:t>
            </w:r>
          </w:p>
        </w:tc>
        <w:tc>
          <w:tcPr>
            <w:tcW w:w="399" w:type="dxa"/>
          </w:tcPr>
          <w:p w14:paraId="6E69F961" w14:textId="77777777" w:rsidR="005D0DF1" w:rsidRPr="00141A4D" w:rsidRDefault="005D0DF1" w:rsidP="006A562B">
            <w:pPr>
              <w:pStyle w:val="Tablecondensedheading"/>
              <w:rPr>
                <w:lang w:val="en-AU"/>
              </w:rPr>
            </w:pPr>
            <w:r>
              <w:rPr>
                <w:lang w:val="en-AU"/>
              </w:rPr>
              <w:t>7</w:t>
            </w:r>
          </w:p>
        </w:tc>
        <w:tc>
          <w:tcPr>
            <w:tcW w:w="399" w:type="dxa"/>
          </w:tcPr>
          <w:p w14:paraId="7290F30C" w14:textId="77777777" w:rsidR="005D0DF1" w:rsidRPr="00141A4D" w:rsidRDefault="005D0DF1" w:rsidP="006A562B">
            <w:pPr>
              <w:pStyle w:val="Tablecondensedheading"/>
              <w:rPr>
                <w:lang w:val="en-AU"/>
              </w:rPr>
            </w:pPr>
            <w:r>
              <w:rPr>
                <w:lang w:val="en-AU"/>
              </w:rPr>
              <w:t>8</w:t>
            </w:r>
          </w:p>
        </w:tc>
        <w:tc>
          <w:tcPr>
            <w:tcW w:w="399" w:type="dxa"/>
          </w:tcPr>
          <w:p w14:paraId="3DC91A75" w14:textId="77777777" w:rsidR="005D0DF1" w:rsidRPr="00141A4D" w:rsidRDefault="005D0DF1" w:rsidP="006A562B">
            <w:pPr>
              <w:pStyle w:val="Tablecondensedheading"/>
              <w:rPr>
                <w:lang w:val="en-AU"/>
              </w:rPr>
            </w:pPr>
            <w:r>
              <w:rPr>
                <w:lang w:val="en-AU"/>
              </w:rPr>
              <w:t>9</w:t>
            </w:r>
          </w:p>
        </w:tc>
        <w:tc>
          <w:tcPr>
            <w:tcW w:w="490" w:type="dxa"/>
          </w:tcPr>
          <w:p w14:paraId="6708C129" w14:textId="77777777" w:rsidR="005D0DF1" w:rsidRPr="00141A4D" w:rsidRDefault="005D0DF1" w:rsidP="006A562B">
            <w:pPr>
              <w:pStyle w:val="Tablecondensedheading"/>
              <w:rPr>
                <w:lang w:val="en-AU"/>
              </w:rPr>
            </w:pPr>
            <w:r>
              <w:rPr>
                <w:lang w:val="en-AU"/>
              </w:rPr>
              <w:t>10</w:t>
            </w:r>
          </w:p>
        </w:tc>
      </w:tr>
      <w:tr w:rsidR="005D0DF1" w:rsidRPr="00494345" w14:paraId="14B9DAB7" w14:textId="77777777" w:rsidTr="0061588F">
        <w:tc>
          <w:tcPr>
            <w:tcW w:w="691" w:type="dxa"/>
          </w:tcPr>
          <w:p w14:paraId="1775ED6A" w14:textId="77777777" w:rsidR="005D0DF1" w:rsidRPr="00141A4D" w:rsidRDefault="005D0DF1" w:rsidP="006A562B">
            <w:pPr>
              <w:pStyle w:val="Tablecondensed"/>
              <w:rPr>
                <w:lang w:val="en-AU"/>
              </w:rPr>
            </w:pPr>
            <w:r w:rsidRPr="00141A4D">
              <w:rPr>
                <w:lang w:val="en-AU"/>
              </w:rPr>
              <w:t>%</w:t>
            </w:r>
          </w:p>
        </w:tc>
        <w:tc>
          <w:tcPr>
            <w:tcW w:w="399" w:type="dxa"/>
            <w:vAlign w:val="center"/>
          </w:tcPr>
          <w:p w14:paraId="2221B415" w14:textId="0802CEB4" w:rsidR="005D0DF1" w:rsidRPr="00141A4D" w:rsidRDefault="0061588F" w:rsidP="006A562B">
            <w:pPr>
              <w:pStyle w:val="Tablecondensed"/>
              <w:rPr>
                <w:lang w:val="en-AU"/>
              </w:rPr>
            </w:pPr>
            <w:r>
              <w:rPr>
                <w:lang w:val="en-AU"/>
              </w:rPr>
              <w:t>2</w:t>
            </w:r>
          </w:p>
        </w:tc>
        <w:tc>
          <w:tcPr>
            <w:tcW w:w="536" w:type="dxa"/>
            <w:vAlign w:val="center"/>
          </w:tcPr>
          <w:p w14:paraId="0206426E" w14:textId="1FFE1B3B" w:rsidR="005D0DF1" w:rsidRPr="00141A4D" w:rsidRDefault="0061588F" w:rsidP="006A562B">
            <w:pPr>
              <w:pStyle w:val="Tablecondensed"/>
              <w:rPr>
                <w:lang w:val="en-AU"/>
              </w:rPr>
            </w:pPr>
            <w:r>
              <w:rPr>
                <w:lang w:val="en-AU"/>
              </w:rPr>
              <w:t>0.9</w:t>
            </w:r>
          </w:p>
        </w:tc>
        <w:tc>
          <w:tcPr>
            <w:tcW w:w="399" w:type="dxa"/>
            <w:vAlign w:val="center"/>
          </w:tcPr>
          <w:p w14:paraId="452F1D4C" w14:textId="6EC08304" w:rsidR="005D0DF1" w:rsidRPr="00141A4D" w:rsidRDefault="0061588F" w:rsidP="006A562B">
            <w:pPr>
              <w:pStyle w:val="Tablecondensed"/>
              <w:rPr>
                <w:lang w:val="en-AU"/>
              </w:rPr>
            </w:pPr>
            <w:r>
              <w:rPr>
                <w:lang w:val="en-AU"/>
              </w:rPr>
              <w:t>2</w:t>
            </w:r>
          </w:p>
        </w:tc>
        <w:tc>
          <w:tcPr>
            <w:tcW w:w="399" w:type="dxa"/>
            <w:vAlign w:val="center"/>
          </w:tcPr>
          <w:p w14:paraId="3B83D450" w14:textId="6A6F100F" w:rsidR="005D0DF1" w:rsidRPr="00141A4D" w:rsidRDefault="0061588F" w:rsidP="006A562B">
            <w:pPr>
              <w:pStyle w:val="Tablecondensed"/>
              <w:rPr>
                <w:lang w:val="en-AU"/>
              </w:rPr>
            </w:pPr>
            <w:r>
              <w:rPr>
                <w:lang w:val="en-AU"/>
              </w:rPr>
              <w:t>2</w:t>
            </w:r>
          </w:p>
        </w:tc>
        <w:tc>
          <w:tcPr>
            <w:tcW w:w="399" w:type="dxa"/>
            <w:vAlign w:val="center"/>
          </w:tcPr>
          <w:p w14:paraId="4B74DA87" w14:textId="0B93A41B" w:rsidR="005D0DF1" w:rsidRPr="00141A4D" w:rsidRDefault="0061588F" w:rsidP="006A562B">
            <w:pPr>
              <w:pStyle w:val="Tablecondensed"/>
              <w:rPr>
                <w:lang w:val="en-AU"/>
              </w:rPr>
            </w:pPr>
            <w:r>
              <w:rPr>
                <w:lang w:val="en-AU"/>
              </w:rPr>
              <w:t>4</w:t>
            </w:r>
          </w:p>
        </w:tc>
        <w:tc>
          <w:tcPr>
            <w:tcW w:w="399" w:type="dxa"/>
          </w:tcPr>
          <w:p w14:paraId="5CF0423C" w14:textId="31BFDA58" w:rsidR="005D0DF1" w:rsidRPr="00494345" w:rsidRDefault="0061588F" w:rsidP="006A562B">
            <w:pPr>
              <w:pStyle w:val="Tablecondensed"/>
              <w:rPr>
                <w:lang w:val="en-AU"/>
              </w:rPr>
            </w:pPr>
            <w:r>
              <w:rPr>
                <w:lang w:val="en-AU"/>
              </w:rPr>
              <w:t>4</w:t>
            </w:r>
          </w:p>
        </w:tc>
        <w:tc>
          <w:tcPr>
            <w:tcW w:w="399" w:type="dxa"/>
          </w:tcPr>
          <w:p w14:paraId="0829E5CC" w14:textId="5D33E3F6" w:rsidR="005D0DF1" w:rsidRPr="00494345" w:rsidRDefault="0061588F" w:rsidP="006A562B">
            <w:pPr>
              <w:pStyle w:val="Tablecondensed"/>
              <w:rPr>
                <w:lang w:val="en-AU"/>
              </w:rPr>
            </w:pPr>
            <w:r>
              <w:rPr>
                <w:lang w:val="en-AU"/>
              </w:rPr>
              <w:t>6</w:t>
            </w:r>
          </w:p>
        </w:tc>
        <w:tc>
          <w:tcPr>
            <w:tcW w:w="399" w:type="dxa"/>
          </w:tcPr>
          <w:p w14:paraId="4A616919" w14:textId="04EF91F5" w:rsidR="005D0DF1" w:rsidRPr="00494345" w:rsidRDefault="0061588F" w:rsidP="006A562B">
            <w:pPr>
              <w:pStyle w:val="Tablecondensed"/>
              <w:rPr>
                <w:lang w:val="en-AU"/>
              </w:rPr>
            </w:pPr>
            <w:r>
              <w:rPr>
                <w:lang w:val="en-AU"/>
              </w:rPr>
              <w:t>9</w:t>
            </w:r>
          </w:p>
        </w:tc>
        <w:tc>
          <w:tcPr>
            <w:tcW w:w="399" w:type="dxa"/>
          </w:tcPr>
          <w:p w14:paraId="1609C172" w14:textId="3F64B650" w:rsidR="005D0DF1" w:rsidRPr="00494345" w:rsidRDefault="0061588F" w:rsidP="006A562B">
            <w:pPr>
              <w:pStyle w:val="Tablecondensed"/>
              <w:rPr>
                <w:lang w:val="en-AU"/>
              </w:rPr>
            </w:pPr>
            <w:r>
              <w:rPr>
                <w:lang w:val="en-AU"/>
              </w:rPr>
              <w:t>8</w:t>
            </w:r>
          </w:p>
        </w:tc>
        <w:tc>
          <w:tcPr>
            <w:tcW w:w="399" w:type="dxa"/>
          </w:tcPr>
          <w:p w14:paraId="0F4EF255" w14:textId="6B3CC576" w:rsidR="005D0DF1" w:rsidRPr="00494345" w:rsidRDefault="0061588F" w:rsidP="006A562B">
            <w:pPr>
              <w:pStyle w:val="Tablecondensed"/>
              <w:rPr>
                <w:lang w:val="en-AU"/>
              </w:rPr>
            </w:pPr>
            <w:r>
              <w:rPr>
                <w:lang w:val="en-AU"/>
              </w:rPr>
              <w:t>8</w:t>
            </w:r>
          </w:p>
        </w:tc>
        <w:tc>
          <w:tcPr>
            <w:tcW w:w="490" w:type="dxa"/>
          </w:tcPr>
          <w:p w14:paraId="62B35808" w14:textId="15B2ED43" w:rsidR="005D0DF1" w:rsidRPr="00494345" w:rsidRDefault="0061588F" w:rsidP="006A562B">
            <w:pPr>
              <w:pStyle w:val="Tablecondensed"/>
              <w:rPr>
                <w:lang w:val="en-AU"/>
              </w:rPr>
            </w:pPr>
            <w:r>
              <w:rPr>
                <w:lang w:val="en-AU"/>
              </w:rPr>
              <w:t>8</w:t>
            </w:r>
          </w:p>
        </w:tc>
      </w:tr>
    </w:tbl>
    <w:p w14:paraId="27486825" w14:textId="77777777" w:rsidR="005D0DF1" w:rsidRDefault="005D0DF1" w:rsidP="0061488D"/>
    <w:tbl>
      <w:tblPr>
        <w:tblStyle w:val="VCAATableClosed"/>
        <w:tblW w:w="5082" w:type="dxa"/>
        <w:tblLayout w:type="fixed"/>
        <w:tblLook w:val="04A0" w:firstRow="1" w:lastRow="0" w:firstColumn="1" w:lastColumn="0" w:noHBand="0" w:noVBand="1"/>
      </w:tblPr>
      <w:tblGrid>
        <w:gridCol w:w="399"/>
        <w:gridCol w:w="399"/>
        <w:gridCol w:w="399"/>
        <w:gridCol w:w="399"/>
        <w:gridCol w:w="399"/>
        <w:gridCol w:w="399"/>
        <w:gridCol w:w="399"/>
        <w:gridCol w:w="399"/>
        <w:gridCol w:w="399"/>
        <w:gridCol w:w="536"/>
        <w:gridCol w:w="955"/>
      </w:tblGrid>
      <w:tr w:rsidR="005D0DF1" w:rsidRPr="00141A4D" w14:paraId="7FC497CA" w14:textId="77777777" w:rsidTr="0061588F">
        <w:trPr>
          <w:cnfStyle w:val="100000000000" w:firstRow="1" w:lastRow="0" w:firstColumn="0" w:lastColumn="0" w:oddVBand="0" w:evenVBand="0" w:oddHBand="0" w:evenHBand="0" w:firstRowFirstColumn="0" w:firstRowLastColumn="0" w:lastRowFirstColumn="0" w:lastRowLastColumn="0"/>
        </w:trPr>
        <w:tc>
          <w:tcPr>
            <w:tcW w:w="399" w:type="dxa"/>
          </w:tcPr>
          <w:p w14:paraId="025EC7F6" w14:textId="5C1D5048" w:rsidR="005D0DF1" w:rsidRPr="00141A4D" w:rsidRDefault="005D0DF1" w:rsidP="006A562B">
            <w:pPr>
              <w:pStyle w:val="Tablecondensedheading"/>
              <w:rPr>
                <w:lang w:val="en-AU"/>
              </w:rPr>
            </w:pPr>
            <w:r>
              <w:rPr>
                <w:lang w:val="en-AU"/>
              </w:rPr>
              <w:t>11</w:t>
            </w:r>
          </w:p>
        </w:tc>
        <w:tc>
          <w:tcPr>
            <w:tcW w:w="399" w:type="dxa"/>
          </w:tcPr>
          <w:p w14:paraId="0929E690" w14:textId="6B9DBABD" w:rsidR="005D0DF1" w:rsidRPr="00141A4D" w:rsidRDefault="005D0DF1" w:rsidP="006A562B">
            <w:pPr>
              <w:pStyle w:val="Tablecondensedheading"/>
              <w:rPr>
                <w:lang w:val="en-AU"/>
              </w:rPr>
            </w:pPr>
            <w:r w:rsidRPr="00141A4D">
              <w:rPr>
                <w:lang w:val="en-AU"/>
              </w:rPr>
              <w:t>1</w:t>
            </w:r>
            <w:r>
              <w:rPr>
                <w:lang w:val="en-AU"/>
              </w:rPr>
              <w:t>2</w:t>
            </w:r>
          </w:p>
        </w:tc>
        <w:tc>
          <w:tcPr>
            <w:tcW w:w="399" w:type="dxa"/>
          </w:tcPr>
          <w:p w14:paraId="277ECCA7" w14:textId="1CE229D5" w:rsidR="005D0DF1" w:rsidRPr="00141A4D" w:rsidRDefault="005D0DF1" w:rsidP="006A562B">
            <w:pPr>
              <w:pStyle w:val="Tablecondensedheading"/>
              <w:rPr>
                <w:lang w:val="en-AU"/>
              </w:rPr>
            </w:pPr>
            <w:r>
              <w:rPr>
                <w:lang w:val="en-AU"/>
              </w:rPr>
              <w:t>13</w:t>
            </w:r>
          </w:p>
        </w:tc>
        <w:tc>
          <w:tcPr>
            <w:tcW w:w="399" w:type="dxa"/>
          </w:tcPr>
          <w:p w14:paraId="467DDED3" w14:textId="4D3F5A0C" w:rsidR="005D0DF1" w:rsidRPr="00141A4D" w:rsidRDefault="005D0DF1" w:rsidP="006A562B">
            <w:pPr>
              <w:pStyle w:val="Tablecondensedheading"/>
              <w:rPr>
                <w:lang w:val="en-AU"/>
              </w:rPr>
            </w:pPr>
            <w:r>
              <w:rPr>
                <w:lang w:val="en-AU"/>
              </w:rPr>
              <w:t>14</w:t>
            </w:r>
          </w:p>
        </w:tc>
        <w:tc>
          <w:tcPr>
            <w:tcW w:w="399" w:type="dxa"/>
          </w:tcPr>
          <w:p w14:paraId="65DA3023" w14:textId="7A7982F9" w:rsidR="005D0DF1" w:rsidRPr="00141A4D" w:rsidRDefault="005D0DF1" w:rsidP="006A562B">
            <w:pPr>
              <w:pStyle w:val="Tablecondensedheading"/>
              <w:rPr>
                <w:lang w:val="en-AU"/>
              </w:rPr>
            </w:pPr>
            <w:r>
              <w:rPr>
                <w:lang w:val="en-AU"/>
              </w:rPr>
              <w:t>15</w:t>
            </w:r>
          </w:p>
        </w:tc>
        <w:tc>
          <w:tcPr>
            <w:tcW w:w="399" w:type="dxa"/>
          </w:tcPr>
          <w:p w14:paraId="7E758B06" w14:textId="6501E69C" w:rsidR="005D0DF1" w:rsidRPr="00141A4D" w:rsidRDefault="005D0DF1" w:rsidP="006A562B">
            <w:pPr>
              <w:pStyle w:val="Tablecondensedheading"/>
              <w:rPr>
                <w:lang w:val="en-AU"/>
              </w:rPr>
            </w:pPr>
            <w:r>
              <w:rPr>
                <w:lang w:val="en-AU"/>
              </w:rPr>
              <w:t>16</w:t>
            </w:r>
          </w:p>
        </w:tc>
        <w:tc>
          <w:tcPr>
            <w:tcW w:w="399" w:type="dxa"/>
          </w:tcPr>
          <w:p w14:paraId="7E635CFD" w14:textId="6BE924A7" w:rsidR="005D0DF1" w:rsidRPr="00141A4D" w:rsidRDefault="005D0DF1" w:rsidP="006A562B">
            <w:pPr>
              <w:pStyle w:val="Tablecondensedheading"/>
              <w:rPr>
                <w:lang w:val="en-AU"/>
              </w:rPr>
            </w:pPr>
            <w:r>
              <w:rPr>
                <w:lang w:val="en-AU"/>
              </w:rPr>
              <w:t>17</w:t>
            </w:r>
          </w:p>
        </w:tc>
        <w:tc>
          <w:tcPr>
            <w:tcW w:w="399" w:type="dxa"/>
          </w:tcPr>
          <w:p w14:paraId="44F340D5" w14:textId="0DF13D2D" w:rsidR="005D0DF1" w:rsidRPr="00141A4D" w:rsidRDefault="005D0DF1" w:rsidP="006A562B">
            <w:pPr>
              <w:pStyle w:val="Tablecondensedheading"/>
              <w:rPr>
                <w:lang w:val="en-AU"/>
              </w:rPr>
            </w:pPr>
            <w:r>
              <w:rPr>
                <w:lang w:val="en-AU"/>
              </w:rPr>
              <w:t>18</w:t>
            </w:r>
          </w:p>
        </w:tc>
        <w:tc>
          <w:tcPr>
            <w:tcW w:w="399" w:type="dxa"/>
          </w:tcPr>
          <w:p w14:paraId="430B0D03" w14:textId="3DAF34F4" w:rsidR="005D0DF1" w:rsidRPr="00141A4D" w:rsidRDefault="005D0DF1" w:rsidP="006A562B">
            <w:pPr>
              <w:pStyle w:val="Tablecondensedheading"/>
              <w:rPr>
                <w:lang w:val="en-AU"/>
              </w:rPr>
            </w:pPr>
            <w:r>
              <w:rPr>
                <w:lang w:val="en-AU"/>
              </w:rPr>
              <w:t>19</w:t>
            </w:r>
          </w:p>
        </w:tc>
        <w:tc>
          <w:tcPr>
            <w:tcW w:w="536" w:type="dxa"/>
          </w:tcPr>
          <w:p w14:paraId="19FEF991" w14:textId="4964AC70" w:rsidR="005D0DF1" w:rsidRPr="00141A4D" w:rsidRDefault="005D0DF1" w:rsidP="006A562B">
            <w:pPr>
              <w:pStyle w:val="Tablecondensedheading"/>
              <w:rPr>
                <w:lang w:val="en-AU"/>
              </w:rPr>
            </w:pPr>
            <w:r>
              <w:rPr>
                <w:lang w:val="en-AU"/>
              </w:rPr>
              <w:t>20</w:t>
            </w:r>
          </w:p>
        </w:tc>
        <w:tc>
          <w:tcPr>
            <w:tcW w:w="955" w:type="dxa"/>
          </w:tcPr>
          <w:p w14:paraId="05A0AAC9" w14:textId="77777777" w:rsidR="005D0DF1" w:rsidRPr="00141A4D" w:rsidRDefault="005D0DF1" w:rsidP="006A562B">
            <w:pPr>
              <w:pStyle w:val="Tablecondensedheading"/>
              <w:rPr>
                <w:lang w:val="en-AU"/>
              </w:rPr>
            </w:pPr>
            <w:r>
              <w:rPr>
                <w:lang w:val="en-AU"/>
              </w:rPr>
              <w:t>Average</w:t>
            </w:r>
          </w:p>
        </w:tc>
      </w:tr>
      <w:tr w:rsidR="005D0DF1" w:rsidRPr="00494345" w14:paraId="3FF22A1D" w14:textId="77777777" w:rsidTr="0061588F">
        <w:tc>
          <w:tcPr>
            <w:tcW w:w="399" w:type="dxa"/>
            <w:vAlign w:val="center"/>
          </w:tcPr>
          <w:p w14:paraId="02AA1AEF" w14:textId="0C44E0C9" w:rsidR="005D0DF1" w:rsidRPr="00141A4D" w:rsidRDefault="0061588F" w:rsidP="006A562B">
            <w:pPr>
              <w:pStyle w:val="Tablecondensed"/>
              <w:rPr>
                <w:lang w:val="en-AU"/>
              </w:rPr>
            </w:pPr>
            <w:r>
              <w:rPr>
                <w:lang w:val="en-AU"/>
              </w:rPr>
              <w:t>8</w:t>
            </w:r>
          </w:p>
        </w:tc>
        <w:tc>
          <w:tcPr>
            <w:tcW w:w="399" w:type="dxa"/>
            <w:vAlign w:val="center"/>
          </w:tcPr>
          <w:p w14:paraId="52D7E2BE" w14:textId="49703066" w:rsidR="005D0DF1" w:rsidRPr="00141A4D" w:rsidRDefault="0061588F" w:rsidP="006A562B">
            <w:pPr>
              <w:pStyle w:val="Tablecondensed"/>
              <w:rPr>
                <w:lang w:val="en-AU"/>
              </w:rPr>
            </w:pPr>
            <w:r>
              <w:rPr>
                <w:lang w:val="en-AU"/>
              </w:rPr>
              <w:t>9</w:t>
            </w:r>
          </w:p>
        </w:tc>
        <w:tc>
          <w:tcPr>
            <w:tcW w:w="399" w:type="dxa"/>
            <w:vAlign w:val="center"/>
          </w:tcPr>
          <w:p w14:paraId="3F227B67" w14:textId="6FFD876D" w:rsidR="005D0DF1" w:rsidRPr="00141A4D" w:rsidRDefault="0061588F" w:rsidP="006A562B">
            <w:pPr>
              <w:pStyle w:val="Tablecondensed"/>
              <w:rPr>
                <w:lang w:val="en-AU"/>
              </w:rPr>
            </w:pPr>
            <w:r>
              <w:rPr>
                <w:lang w:val="en-AU"/>
              </w:rPr>
              <w:t>8</w:t>
            </w:r>
          </w:p>
        </w:tc>
        <w:tc>
          <w:tcPr>
            <w:tcW w:w="399" w:type="dxa"/>
            <w:vAlign w:val="center"/>
          </w:tcPr>
          <w:p w14:paraId="28E4E9DF" w14:textId="6C4160A6" w:rsidR="005D0DF1" w:rsidRPr="00141A4D" w:rsidRDefault="0061588F" w:rsidP="006A562B">
            <w:pPr>
              <w:pStyle w:val="Tablecondensed"/>
              <w:rPr>
                <w:lang w:val="en-AU"/>
              </w:rPr>
            </w:pPr>
            <w:r>
              <w:rPr>
                <w:lang w:val="en-AU"/>
              </w:rPr>
              <w:t>7</w:t>
            </w:r>
          </w:p>
        </w:tc>
        <w:tc>
          <w:tcPr>
            <w:tcW w:w="399" w:type="dxa"/>
            <w:vAlign w:val="center"/>
          </w:tcPr>
          <w:p w14:paraId="70ECE67A" w14:textId="2325AA7B" w:rsidR="005D0DF1" w:rsidRPr="00141A4D" w:rsidRDefault="0061588F" w:rsidP="006A562B">
            <w:pPr>
              <w:pStyle w:val="Tablecondensed"/>
              <w:rPr>
                <w:lang w:val="en-AU"/>
              </w:rPr>
            </w:pPr>
            <w:r>
              <w:rPr>
                <w:lang w:val="en-AU"/>
              </w:rPr>
              <w:t>4</w:t>
            </w:r>
          </w:p>
        </w:tc>
        <w:tc>
          <w:tcPr>
            <w:tcW w:w="399" w:type="dxa"/>
          </w:tcPr>
          <w:p w14:paraId="4B52C7B0" w14:textId="7709F2FE" w:rsidR="005D0DF1" w:rsidRPr="00494345" w:rsidRDefault="0061588F" w:rsidP="006A562B">
            <w:pPr>
              <w:pStyle w:val="Tablecondensed"/>
              <w:rPr>
                <w:lang w:val="en-AU"/>
              </w:rPr>
            </w:pPr>
            <w:r>
              <w:rPr>
                <w:lang w:val="en-AU"/>
              </w:rPr>
              <w:t>3</w:t>
            </w:r>
          </w:p>
        </w:tc>
        <w:tc>
          <w:tcPr>
            <w:tcW w:w="399" w:type="dxa"/>
          </w:tcPr>
          <w:p w14:paraId="41C37E08" w14:textId="53BBF0F5" w:rsidR="005D0DF1" w:rsidRPr="00494345" w:rsidRDefault="0061588F" w:rsidP="006A562B">
            <w:pPr>
              <w:pStyle w:val="Tablecondensed"/>
              <w:rPr>
                <w:lang w:val="en-AU"/>
              </w:rPr>
            </w:pPr>
            <w:r>
              <w:rPr>
                <w:lang w:val="en-AU"/>
              </w:rPr>
              <w:t>3</w:t>
            </w:r>
          </w:p>
        </w:tc>
        <w:tc>
          <w:tcPr>
            <w:tcW w:w="399" w:type="dxa"/>
          </w:tcPr>
          <w:p w14:paraId="03C6E39C" w14:textId="6C17DC6A" w:rsidR="005D0DF1" w:rsidRPr="00494345" w:rsidRDefault="0061588F" w:rsidP="006A562B">
            <w:pPr>
              <w:pStyle w:val="Tablecondensed"/>
              <w:rPr>
                <w:lang w:val="en-AU"/>
              </w:rPr>
            </w:pPr>
            <w:r>
              <w:rPr>
                <w:lang w:val="en-AU"/>
              </w:rPr>
              <w:t>2</w:t>
            </w:r>
          </w:p>
        </w:tc>
        <w:tc>
          <w:tcPr>
            <w:tcW w:w="399" w:type="dxa"/>
          </w:tcPr>
          <w:p w14:paraId="00167DF7" w14:textId="6A6FC08C" w:rsidR="005D0DF1" w:rsidRPr="00494345" w:rsidRDefault="0061588F" w:rsidP="006A562B">
            <w:pPr>
              <w:pStyle w:val="Tablecondensed"/>
              <w:rPr>
                <w:lang w:val="en-AU"/>
              </w:rPr>
            </w:pPr>
            <w:r>
              <w:rPr>
                <w:lang w:val="en-AU"/>
              </w:rPr>
              <w:t>1</w:t>
            </w:r>
          </w:p>
        </w:tc>
        <w:tc>
          <w:tcPr>
            <w:tcW w:w="536" w:type="dxa"/>
          </w:tcPr>
          <w:p w14:paraId="79EB193C" w14:textId="6450BA2A" w:rsidR="005D0DF1" w:rsidRPr="00494345" w:rsidRDefault="0061588F" w:rsidP="006A562B">
            <w:pPr>
              <w:pStyle w:val="Tablecondensed"/>
              <w:rPr>
                <w:lang w:val="en-AU"/>
              </w:rPr>
            </w:pPr>
            <w:r>
              <w:rPr>
                <w:lang w:val="en-AU"/>
              </w:rPr>
              <w:t>0.8</w:t>
            </w:r>
          </w:p>
        </w:tc>
        <w:tc>
          <w:tcPr>
            <w:tcW w:w="955" w:type="dxa"/>
          </w:tcPr>
          <w:p w14:paraId="272E8D5F" w14:textId="67D1B589" w:rsidR="005D0DF1" w:rsidRPr="00494345" w:rsidRDefault="004863C9" w:rsidP="006A562B">
            <w:pPr>
              <w:pStyle w:val="Tablecondensed"/>
              <w:rPr>
                <w:lang w:val="en-AU"/>
              </w:rPr>
            </w:pPr>
            <w:r>
              <w:rPr>
                <w:lang w:val="en-AU"/>
              </w:rPr>
              <w:t>10.0</w:t>
            </w:r>
          </w:p>
        </w:tc>
      </w:tr>
    </w:tbl>
    <w:p w14:paraId="040F82CE" w14:textId="0B757618" w:rsidR="00AC63DF" w:rsidRDefault="00E734EF" w:rsidP="00E848DD">
      <w:pPr>
        <w:pStyle w:val="BodyText"/>
      </w:pPr>
      <w:r>
        <w:t xml:space="preserve">For Section B, students were asked to attempt one of three questions. </w:t>
      </w:r>
      <w:r w:rsidR="00AC63DF">
        <w:t xml:space="preserve">The responses were marked based on a rubric </w:t>
      </w:r>
      <w:r>
        <w:t xml:space="preserve">that </w:t>
      </w:r>
      <w:r w:rsidR="00AC63DF">
        <w:t>provided descriptors for achievement on five criteria, from which a total score on a scale 0</w:t>
      </w:r>
      <w:r>
        <w:t>–</w:t>
      </w:r>
      <w:r w:rsidR="00AC63DF">
        <w:t xml:space="preserve">20 was awarded. </w:t>
      </w:r>
    </w:p>
    <w:p w14:paraId="17535250" w14:textId="4837F78A" w:rsidR="00AC63DF" w:rsidRDefault="00AC63DF" w:rsidP="00E848DD">
      <w:pPr>
        <w:pStyle w:val="BodyText"/>
      </w:pPr>
      <w:r>
        <w:t xml:space="preserve">Question 1 was the most popular of the three selections available to students, with approximately half of all responses </w:t>
      </w:r>
      <w:r w:rsidR="00E734EF">
        <w:t xml:space="preserve">being for </w:t>
      </w:r>
      <w:r>
        <w:t>Question 1, and the other half of the responses being split approximately evenly between Questions 2 and 3. For that reason</w:t>
      </w:r>
      <w:r w:rsidR="00E734EF">
        <w:t>,</w:t>
      </w:r>
      <w:r>
        <w:t xml:space="preserve"> the student response sample provided is</w:t>
      </w:r>
      <w:r w:rsidR="00F974D8">
        <w:t xml:space="preserve"> a</w:t>
      </w:r>
      <w:r>
        <w:t xml:space="preserve"> </w:t>
      </w:r>
      <w:r w:rsidR="00E734EF">
        <w:t>high-scoring</w:t>
      </w:r>
      <w:r>
        <w:t xml:space="preserve"> response to Question 1.</w:t>
      </w:r>
    </w:p>
    <w:p w14:paraId="1B73C7DD" w14:textId="5BCB7047" w:rsidR="00F95A00" w:rsidRDefault="00F95A00" w:rsidP="00E848DD">
      <w:pPr>
        <w:pStyle w:val="BodyText"/>
      </w:pPr>
      <w:r w:rsidRPr="006F26D2">
        <w:t>A note on the selection of thinkers from the prescribed texts:</w:t>
      </w:r>
      <w:r w:rsidR="006F26D2">
        <w:t xml:space="preserve"> </w:t>
      </w:r>
      <w:r>
        <w:t xml:space="preserve">In many cases, especially among the </w:t>
      </w:r>
      <w:r w:rsidR="006F26D2">
        <w:t>high-scoring</w:t>
      </w:r>
      <w:r>
        <w:t xml:space="preserve"> responses, it was clear that student</w:t>
      </w:r>
      <w:r w:rsidR="006F26D2">
        <w:t>s</w:t>
      </w:r>
      <w:r>
        <w:t xml:space="preserve"> had made astute selections from the available thinkers from Unit 4</w:t>
      </w:r>
      <w:r w:rsidR="006F26D2">
        <w:t>, considering</w:t>
      </w:r>
      <w:r>
        <w:t xml:space="preserve"> which combination of thinkers was most salient and relevant to the concepts raised in and by the prompt question. In other cases, </w:t>
      </w:r>
      <w:r w:rsidR="006F26D2">
        <w:t>especially among lower-scoring responses</w:t>
      </w:r>
      <w:r>
        <w:t xml:space="preserve">, the selection of thinkers </w:t>
      </w:r>
      <w:r w:rsidR="006F26D2">
        <w:t>suggested</w:t>
      </w:r>
      <w:r>
        <w:t xml:space="preserve"> that the student had predetermined which thinkers they would use in their essay</w:t>
      </w:r>
      <w:r w:rsidR="006F26D2">
        <w:t>,</w:t>
      </w:r>
      <w:r>
        <w:t xml:space="preserve"> rather than selecting thinkers most appropriate to the prompt.</w:t>
      </w:r>
    </w:p>
    <w:p w14:paraId="1267D491" w14:textId="61C4AF2E" w:rsidR="00AB12E1" w:rsidRPr="00AB12E1" w:rsidRDefault="00AB12E1" w:rsidP="00E848DD">
      <w:pPr>
        <w:pStyle w:val="BodyText"/>
      </w:pPr>
      <w:r>
        <w:t xml:space="preserve">When giving advice to students about the selection of thinkers for the Section B response, teachers </w:t>
      </w:r>
      <w:r w:rsidR="006F26D2">
        <w:t xml:space="preserve">could </w:t>
      </w:r>
      <w:r>
        <w:t xml:space="preserve">consider the advantage </w:t>
      </w:r>
      <w:r w:rsidR="006F26D2">
        <w:t xml:space="preserve">to </w:t>
      </w:r>
      <w:r>
        <w:t xml:space="preserve">the student </w:t>
      </w:r>
      <w:r w:rsidR="006F26D2">
        <w:t>in knowing</w:t>
      </w:r>
      <w:r>
        <w:t xml:space="preserve"> as many texts as possible, so that they </w:t>
      </w:r>
      <w:r w:rsidR="006F26D2">
        <w:t xml:space="preserve">can </w:t>
      </w:r>
      <w:r>
        <w:t xml:space="preserve">respond to the prompt with the most appropriate combination. Students who have made a firm decision prior to the exam, </w:t>
      </w:r>
      <w:r w:rsidR="00F974D8">
        <w:t xml:space="preserve">and </w:t>
      </w:r>
      <w:r>
        <w:t>students who have detailed knowledge and understanding of only a limited number of the prescribed texts</w:t>
      </w:r>
      <w:r w:rsidR="006F26D2">
        <w:t>,</w:t>
      </w:r>
      <w:r>
        <w:t xml:space="preserve"> run the risk of trying to apply a less</w:t>
      </w:r>
      <w:r w:rsidR="00D55E2B">
        <w:t xml:space="preserve"> </w:t>
      </w:r>
      <w:r>
        <w:t>relevant thinker to their chosen prompt.</w:t>
      </w:r>
    </w:p>
    <w:p w14:paraId="597798B8" w14:textId="190B12AF" w:rsidR="006A0E8A" w:rsidRPr="006F26D2" w:rsidRDefault="006A0E8A" w:rsidP="006F26D2">
      <w:pPr>
        <w:pStyle w:val="BodyText"/>
      </w:pPr>
      <w:r w:rsidRPr="006F26D2">
        <w:t xml:space="preserve">A note on </w:t>
      </w:r>
      <w:r w:rsidR="006F26D2">
        <w:t>c</w:t>
      </w:r>
      <w:r w:rsidRPr="006F26D2">
        <w:t xml:space="preserve">ase </w:t>
      </w:r>
      <w:r w:rsidR="006F26D2">
        <w:t>s</w:t>
      </w:r>
      <w:r w:rsidRPr="006F26D2">
        <w:t>tudies:</w:t>
      </w:r>
      <w:r w:rsidR="006F26D2" w:rsidRPr="006F26D2">
        <w:t xml:space="preserve"> </w:t>
      </w:r>
      <w:proofErr w:type="gramStart"/>
      <w:r w:rsidRPr="006F26D2">
        <w:t>All of</w:t>
      </w:r>
      <w:proofErr w:type="gramEnd"/>
      <w:r w:rsidRPr="006F26D2">
        <w:t xml:space="preserve"> the questions for Section B required that students use </w:t>
      </w:r>
      <w:r w:rsidR="006F26D2">
        <w:t>‘</w:t>
      </w:r>
      <w:r w:rsidRPr="006F26D2">
        <w:t>a case study you have studied this year as your central example</w:t>
      </w:r>
      <w:r w:rsidR="006F26D2">
        <w:t>’</w:t>
      </w:r>
      <w:r w:rsidRPr="006F26D2">
        <w:t xml:space="preserve">. This instruction, </w:t>
      </w:r>
      <w:proofErr w:type="gramStart"/>
      <w:r w:rsidRPr="006F26D2">
        <w:t>similarly</w:t>
      </w:r>
      <w:proofErr w:type="gramEnd"/>
      <w:r w:rsidRPr="006F26D2">
        <w:t xml:space="preserve"> with the instruction in Section A, Question 3,</w:t>
      </w:r>
      <w:r w:rsidR="00427B4A">
        <w:t xml:space="preserve"> </w:t>
      </w:r>
      <w:r w:rsidRPr="006F26D2">
        <w:t xml:space="preserve">required students not merely to mention or reference a chosen </w:t>
      </w:r>
      <w:r w:rsidR="006F26D2">
        <w:t>c</w:t>
      </w:r>
      <w:r w:rsidRPr="006F26D2">
        <w:t xml:space="preserve">ase </w:t>
      </w:r>
      <w:r w:rsidR="006F26D2">
        <w:t>s</w:t>
      </w:r>
      <w:r w:rsidRPr="006F26D2">
        <w:t xml:space="preserve">tudy, but for that </w:t>
      </w:r>
      <w:r w:rsidR="006F26D2">
        <w:t>c</w:t>
      </w:r>
      <w:r w:rsidRPr="006F26D2">
        <w:t xml:space="preserve">ase </w:t>
      </w:r>
      <w:r w:rsidR="006F26D2">
        <w:t>s</w:t>
      </w:r>
      <w:r w:rsidRPr="006F26D2">
        <w:t xml:space="preserve">tudy to be the central concern of the essay. Many students were able to demonstrate this by opening their essay with an outline of the chosen </w:t>
      </w:r>
      <w:r w:rsidR="006F26D2">
        <w:t>c</w:t>
      </w:r>
      <w:r w:rsidRPr="006F26D2">
        <w:t xml:space="preserve">ase </w:t>
      </w:r>
      <w:r w:rsidR="006F26D2">
        <w:t>s</w:t>
      </w:r>
      <w:r w:rsidRPr="006F26D2">
        <w:t xml:space="preserve">tudy and then introducing the two chosen thinkers in terms of how their works would be relevant to the </w:t>
      </w:r>
      <w:r w:rsidR="006F26D2">
        <w:t>c</w:t>
      </w:r>
      <w:r w:rsidRPr="006F26D2">
        <w:t xml:space="preserve">ase </w:t>
      </w:r>
      <w:r w:rsidR="006F26D2">
        <w:t>s</w:t>
      </w:r>
      <w:r w:rsidRPr="006F26D2">
        <w:t>tudy</w:t>
      </w:r>
      <w:r w:rsidR="004836F4">
        <w:t xml:space="preserve"> (although</w:t>
      </w:r>
      <w:r w:rsidRPr="006F26D2">
        <w:t xml:space="preserve"> </w:t>
      </w:r>
      <w:r w:rsidR="004836F4">
        <w:t>t</w:t>
      </w:r>
      <w:r w:rsidRPr="006F26D2">
        <w:t xml:space="preserve">his isn’t a required structure of the essay, and some </w:t>
      </w:r>
      <w:r w:rsidR="006F26D2">
        <w:t>high-scoring</w:t>
      </w:r>
      <w:r w:rsidRPr="006F26D2">
        <w:t xml:space="preserve"> essays were not structured this way</w:t>
      </w:r>
      <w:r w:rsidR="004836F4">
        <w:t>).</w:t>
      </w:r>
      <w:r w:rsidRPr="006F26D2">
        <w:t xml:space="preserve"> </w:t>
      </w:r>
      <w:r w:rsidR="004836F4">
        <w:t>Teachers could consider having a discussion</w:t>
      </w:r>
      <w:r w:rsidR="004836F4" w:rsidRPr="006F26D2">
        <w:t xml:space="preserve"> </w:t>
      </w:r>
      <w:r w:rsidRPr="006F26D2">
        <w:t xml:space="preserve">with students </w:t>
      </w:r>
      <w:r w:rsidR="004836F4">
        <w:t>to clarify</w:t>
      </w:r>
      <w:r w:rsidRPr="006F26D2">
        <w:t xml:space="preserve"> what is meant by ‘central example’. On balance, this task should be understood to be an essay about the </w:t>
      </w:r>
      <w:r w:rsidR="004836F4">
        <w:t>c</w:t>
      </w:r>
      <w:r w:rsidRPr="006F26D2">
        <w:t xml:space="preserve">ase </w:t>
      </w:r>
      <w:r w:rsidR="004836F4">
        <w:t>s</w:t>
      </w:r>
      <w:r w:rsidRPr="006F26D2">
        <w:t>tudy, in which the Unit 4 philosophical texts are used as support for the discussion, rather than as an essay about the philosophical texts themselves.</w:t>
      </w:r>
    </w:p>
    <w:p w14:paraId="341FA963" w14:textId="1D35E872" w:rsidR="006C6CE1" w:rsidRPr="006A0E8A" w:rsidRDefault="006A0E8A" w:rsidP="00752384">
      <w:pPr>
        <w:pStyle w:val="BodyText"/>
      </w:pPr>
      <w:r>
        <w:t xml:space="preserve">One feature </w:t>
      </w:r>
      <w:r w:rsidR="004836F4">
        <w:t xml:space="preserve">that </w:t>
      </w:r>
      <w:r>
        <w:t xml:space="preserve">often distinguished the </w:t>
      </w:r>
      <w:r w:rsidR="004836F4">
        <w:t>high-scoring</w:t>
      </w:r>
      <w:r>
        <w:t xml:space="preserve"> responses was the use of precise and specific examples </w:t>
      </w:r>
      <w:r w:rsidR="004836F4">
        <w:t xml:space="preserve">from </w:t>
      </w:r>
      <w:r>
        <w:t>their</w:t>
      </w:r>
      <w:r w:rsidR="004836F4">
        <w:t xml:space="preserve"> chosen</w:t>
      </w:r>
      <w:r>
        <w:t xml:space="preserve"> </w:t>
      </w:r>
      <w:r w:rsidR="004836F4">
        <w:t>case study</w:t>
      </w:r>
      <w:r>
        <w:t xml:space="preserve">, </w:t>
      </w:r>
      <w:r w:rsidR="004836F4">
        <w:t>while lower-scoring responses often</w:t>
      </w:r>
      <w:r>
        <w:t xml:space="preserve"> addressed the selected </w:t>
      </w:r>
      <w:r w:rsidR="004836F4">
        <w:t>c</w:t>
      </w:r>
      <w:r>
        <w:t xml:space="preserve">ase </w:t>
      </w:r>
      <w:r w:rsidR="004836F4">
        <w:t>s</w:t>
      </w:r>
      <w:r>
        <w:t xml:space="preserve">tudy in more broad or general terms. For </w:t>
      </w:r>
      <w:r w:rsidR="00933A76">
        <w:t>example</w:t>
      </w:r>
      <w:r>
        <w:t>, ‘medical misogyny’ and</w:t>
      </w:r>
      <w:r w:rsidR="00320CA6">
        <w:t xml:space="preserve"> ‘social media misinformation’ were </w:t>
      </w:r>
      <w:r w:rsidR="00B260FB">
        <w:t xml:space="preserve">both </w:t>
      </w:r>
      <w:r w:rsidR="00320CA6">
        <w:t>popular choices</w:t>
      </w:r>
      <w:r w:rsidR="00B260FB">
        <w:t>,</w:t>
      </w:r>
      <w:r w:rsidR="00320CA6">
        <w:t xml:space="preserve"> and </w:t>
      </w:r>
      <w:r w:rsidR="00933A76">
        <w:t xml:space="preserve">many responses </w:t>
      </w:r>
      <w:r>
        <w:t xml:space="preserve">demonstrated </w:t>
      </w:r>
      <w:r w:rsidR="006C6CE1">
        <w:t>understanding and relevant application of</w:t>
      </w:r>
      <w:r>
        <w:t xml:space="preserve"> </w:t>
      </w:r>
      <w:r w:rsidR="00320CA6">
        <w:t>these topics</w:t>
      </w:r>
      <w:r>
        <w:t xml:space="preserve"> as </w:t>
      </w:r>
      <w:r w:rsidR="00933A76">
        <w:t>c</w:t>
      </w:r>
      <w:r>
        <w:t xml:space="preserve">ase </w:t>
      </w:r>
      <w:r w:rsidR="00933A76">
        <w:t>s</w:t>
      </w:r>
      <w:r>
        <w:t>tud</w:t>
      </w:r>
      <w:r w:rsidR="00320CA6">
        <w:t>ies</w:t>
      </w:r>
      <w:r>
        <w:t xml:space="preserve"> for the</w:t>
      </w:r>
      <w:r w:rsidR="00320CA6">
        <w:t>ir</w:t>
      </w:r>
      <w:r>
        <w:t xml:space="preserve"> essay</w:t>
      </w:r>
      <w:r w:rsidR="006C6CE1">
        <w:t xml:space="preserve"> by </w:t>
      </w:r>
      <w:r>
        <w:t>referr</w:t>
      </w:r>
      <w:r w:rsidR="006C6CE1">
        <w:t xml:space="preserve">ing to these </w:t>
      </w:r>
      <w:r>
        <w:t>phenomen</w:t>
      </w:r>
      <w:r w:rsidR="006C6CE1">
        <w:t>a</w:t>
      </w:r>
      <w:r>
        <w:t xml:space="preserve"> in general ways (</w:t>
      </w:r>
      <w:r w:rsidR="00933A76">
        <w:t>e.g.</w:t>
      </w:r>
      <w:r w:rsidR="006C6CE1">
        <w:t xml:space="preserve"> </w:t>
      </w:r>
      <w:r>
        <w:t xml:space="preserve">that </w:t>
      </w:r>
      <w:r w:rsidR="00320CA6">
        <w:t xml:space="preserve">the </w:t>
      </w:r>
      <w:r w:rsidR="00320CA6">
        <w:lastRenderedPageBreak/>
        <w:t xml:space="preserve">disproportionate ratio of male to female doctors </w:t>
      </w:r>
      <w:r w:rsidR="006C6CE1">
        <w:t xml:space="preserve">and </w:t>
      </w:r>
      <w:r w:rsidR="00320CA6">
        <w:t xml:space="preserve">the lack of medical testing on female populations led to drugs or treatments </w:t>
      </w:r>
      <w:r w:rsidR="00933A76">
        <w:t xml:space="preserve">that </w:t>
      </w:r>
      <w:r w:rsidR="00320CA6">
        <w:t>were not appropriate for female patients</w:t>
      </w:r>
      <w:r w:rsidR="00933A76">
        <w:t>;</w:t>
      </w:r>
      <w:r w:rsidR="00320CA6">
        <w:t xml:space="preserve"> </w:t>
      </w:r>
      <w:r w:rsidR="006C6CE1">
        <w:t xml:space="preserve">that the proliferation of misinformation on social media has led to a breakdown in public trust of information </w:t>
      </w:r>
      <w:r w:rsidR="00320CA6">
        <w:t xml:space="preserve">etc.). </w:t>
      </w:r>
      <w:r w:rsidR="00933A76">
        <w:t>These</w:t>
      </w:r>
      <w:r w:rsidR="00320CA6">
        <w:t xml:space="preserve"> were valid </w:t>
      </w:r>
      <w:r w:rsidR="00933A76">
        <w:t>c</w:t>
      </w:r>
      <w:r w:rsidR="00320CA6">
        <w:t xml:space="preserve">ase </w:t>
      </w:r>
      <w:r w:rsidR="00933A76">
        <w:t>s</w:t>
      </w:r>
      <w:r w:rsidR="00320CA6">
        <w:t>tudies to consider and</w:t>
      </w:r>
      <w:r w:rsidR="00933A76">
        <w:t xml:space="preserve"> were</w:t>
      </w:r>
      <w:r w:rsidR="00320CA6">
        <w:t xml:space="preserve"> often </w:t>
      </w:r>
      <w:r w:rsidR="00933A76">
        <w:t xml:space="preserve">applied </w:t>
      </w:r>
      <w:r w:rsidR="00320CA6">
        <w:t xml:space="preserve">in ways </w:t>
      </w:r>
      <w:r w:rsidR="00F974D8">
        <w:t xml:space="preserve">that </w:t>
      </w:r>
      <w:r w:rsidR="00320CA6">
        <w:t>were relevant to the prompt the student was addressing</w:t>
      </w:r>
      <w:r w:rsidR="00933A76">
        <w:t>; however</w:t>
      </w:r>
      <w:r w:rsidR="00F974D8">
        <w:t>,</w:t>
      </w:r>
      <w:r w:rsidR="00320CA6">
        <w:t xml:space="preserve"> </w:t>
      </w:r>
      <w:r w:rsidR="00933A76">
        <w:t>high-</w:t>
      </w:r>
      <w:r w:rsidR="00320CA6">
        <w:t>scoring</w:t>
      </w:r>
      <w:r w:rsidR="00933A76">
        <w:t xml:space="preserve"> </w:t>
      </w:r>
      <w:r w:rsidR="00320CA6">
        <w:t xml:space="preserve">responses </w:t>
      </w:r>
      <w:r w:rsidR="00933A76">
        <w:t xml:space="preserve">included </w:t>
      </w:r>
      <w:r w:rsidR="00320CA6">
        <w:t xml:space="preserve">another layer of specificity. For </w:t>
      </w:r>
      <w:r w:rsidR="00933A76">
        <w:t>example</w:t>
      </w:r>
      <w:r w:rsidR="00320CA6">
        <w:t xml:space="preserve">, </w:t>
      </w:r>
      <w:r w:rsidR="00933A76">
        <w:t xml:space="preserve">that </w:t>
      </w:r>
      <w:r w:rsidR="00320CA6">
        <w:t>medical misogyny was especially apparent in the case of the children of thalidomide, or in the underdiagnosis or misdiagnosis of endometriosis</w:t>
      </w:r>
      <w:r w:rsidR="006C6CE1">
        <w:t xml:space="preserve">; </w:t>
      </w:r>
      <w:r w:rsidR="00DE1AFE">
        <w:t xml:space="preserve">or </w:t>
      </w:r>
      <w:r w:rsidR="00933A76">
        <w:t xml:space="preserve">that </w:t>
      </w:r>
      <w:r w:rsidR="006C6CE1">
        <w:t xml:space="preserve">social media misinformation was especially apparent in the spread of the </w:t>
      </w:r>
      <w:proofErr w:type="spellStart"/>
      <w:r w:rsidR="006C6CE1">
        <w:t>QAnon</w:t>
      </w:r>
      <w:proofErr w:type="spellEnd"/>
      <w:r w:rsidR="006C6CE1">
        <w:t xml:space="preserve"> conspiracy theory which led to ‘</w:t>
      </w:r>
      <w:proofErr w:type="spellStart"/>
      <w:r w:rsidR="006C6CE1">
        <w:t>Pizzagate</w:t>
      </w:r>
      <w:proofErr w:type="spellEnd"/>
      <w:r w:rsidR="006C6CE1">
        <w:t>’ and thus to a shooting in a Washington pizza shop.</w:t>
      </w:r>
      <w:r w:rsidR="00DE1AFE">
        <w:t xml:space="preserve"> </w:t>
      </w:r>
      <w:r w:rsidR="006C6CE1">
        <w:t xml:space="preserve">These more precise and detailed </w:t>
      </w:r>
      <w:r w:rsidR="00DE1AFE">
        <w:t>examples</w:t>
      </w:r>
      <w:r w:rsidR="006C6CE1">
        <w:t xml:space="preserve"> allowed students more opportunities to demonstrate skills and knowledge</w:t>
      </w:r>
      <w:r w:rsidR="00F974D8">
        <w:t>.</w:t>
      </w:r>
      <w:r w:rsidR="006C6CE1">
        <w:t xml:space="preserve"> </w:t>
      </w:r>
      <w:r w:rsidR="00DE1AFE">
        <w:t>T</w:t>
      </w:r>
      <w:r w:rsidR="006C6CE1">
        <w:t xml:space="preserve">eachers </w:t>
      </w:r>
      <w:r w:rsidR="00DE1AFE">
        <w:t>could</w:t>
      </w:r>
      <w:r w:rsidR="006C6CE1">
        <w:t xml:space="preserve"> advise students that </w:t>
      </w:r>
      <w:r w:rsidR="00DE1AFE">
        <w:t>c</w:t>
      </w:r>
      <w:r w:rsidR="006C6CE1">
        <w:t xml:space="preserve">ase </w:t>
      </w:r>
      <w:r w:rsidR="00DE1AFE">
        <w:t>s</w:t>
      </w:r>
      <w:r w:rsidR="006C6CE1">
        <w:t xml:space="preserve">tudies selected for Unit 4 should </w:t>
      </w:r>
      <w:r w:rsidR="00752384">
        <w:t>identify a topic from which a range of examples linked to that topic can be discussed.</w:t>
      </w:r>
      <w:r w:rsidR="006C6CE1">
        <w:t xml:space="preserve"> </w:t>
      </w:r>
    </w:p>
    <w:p w14:paraId="71F8BB2B" w14:textId="7C1537F4" w:rsidR="00AC63DF" w:rsidRDefault="00AC63DF" w:rsidP="00215364">
      <w:pPr>
        <w:pStyle w:val="Heading2"/>
      </w:pPr>
      <w:r>
        <w:t>Question 1</w:t>
      </w:r>
    </w:p>
    <w:p w14:paraId="0839476E" w14:textId="68AFADFD" w:rsidR="00CF2A8F" w:rsidRDefault="00DE1AFE" w:rsidP="00E848DD">
      <w:pPr>
        <w:pStyle w:val="BodyText"/>
      </w:pPr>
      <w:r>
        <w:t xml:space="preserve">Question 1 </w:t>
      </w:r>
      <w:r w:rsidR="007D1AFF">
        <w:t>was well</w:t>
      </w:r>
      <w:r w:rsidR="007D5D0C">
        <w:t xml:space="preserve"> </w:t>
      </w:r>
      <w:r w:rsidR="007D1AFF">
        <w:t xml:space="preserve">suited </w:t>
      </w:r>
      <w:r>
        <w:t>to c</w:t>
      </w:r>
      <w:r w:rsidR="007D1AFF">
        <w:t xml:space="preserve">ase </w:t>
      </w:r>
      <w:r>
        <w:t>s</w:t>
      </w:r>
      <w:r w:rsidR="007D1AFF">
        <w:t xml:space="preserve">tudies relevant to the context of </w:t>
      </w:r>
      <w:r>
        <w:t>‘</w:t>
      </w:r>
      <w:r w:rsidR="007D1AFF">
        <w:t>silencing, exclusion and cancelling</w:t>
      </w:r>
      <w:r>
        <w:t>’, and</w:t>
      </w:r>
      <w:r w:rsidR="006A0E8A">
        <w:t xml:space="preserve"> </w:t>
      </w:r>
      <w:r w:rsidR="1AD50F64">
        <w:t xml:space="preserve">to </w:t>
      </w:r>
      <w:r w:rsidR="007D1AFF">
        <w:t xml:space="preserve">thinkers from Unit 4 whose works considered how we respond </w:t>
      </w:r>
      <w:r>
        <w:t>to</w:t>
      </w:r>
      <w:r w:rsidR="007D1AFF">
        <w:t xml:space="preserve"> others holding beliefs </w:t>
      </w:r>
      <w:r>
        <w:t xml:space="preserve">that </w:t>
      </w:r>
      <w:r w:rsidR="00B4426D">
        <w:t>disagree with</w:t>
      </w:r>
      <w:r w:rsidR="007D1AFF">
        <w:t xml:space="preserve"> our own</w:t>
      </w:r>
      <w:r w:rsidR="00AB12E1">
        <w:t xml:space="preserve">, and </w:t>
      </w:r>
      <w:r>
        <w:t xml:space="preserve">which </w:t>
      </w:r>
      <w:r w:rsidR="00AB12E1">
        <w:t>also allowed for consideration of the role of experience, testimony and expertise in the formation of and justification for belief.</w:t>
      </w:r>
    </w:p>
    <w:p w14:paraId="55A96822" w14:textId="7E98B362" w:rsidR="00733623" w:rsidRDefault="00CF2A8F" w:rsidP="00E848DD">
      <w:pPr>
        <w:pStyle w:val="BodyText"/>
      </w:pPr>
      <w:r>
        <w:t xml:space="preserve">Mill was a popular selection, particularly </w:t>
      </w:r>
      <w:proofErr w:type="gramStart"/>
      <w:r>
        <w:t>in light of</w:t>
      </w:r>
      <w:proofErr w:type="gramEnd"/>
      <w:r>
        <w:t xml:space="preserve"> the specific reference to ‘harm’ in the prompt</w:t>
      </w:r>
      <w:r w:rsidR="00DE1AFE">
        <w:t>. Many responses connected</w:t>
      </w:r>
      <w:r>
        <w:t xml:space="preserve"> this with Mill’s </w:t>
      </w:r>
      <w:r w:rsidR="009210AC">
        <w:t>‘h</w:t>
      </w:r>
      <w:r>
        <w:t xml:space="preserve">arm </w:t>
      </w:r>
      <w:r w:rsidR="009210AC">
        <w:t>p</w:t>
      </w:r>
      <w:r>
        <w:t>rinciple</w:t>
      </w:r>
      <w:r w:rsidR="009210AC">
        <w:t>’</w:t>
      </w:r>
      <w:r w:rsidR="00DE1AFE">
        <w:t>; high-</w:t>
      </w:r>
      <w:r>
        <w:t xml:space="preserve">scoring responses were also able to explore some of the nuance in </w:t>
      </w:r>
      <w:r w:rsidR="00DE1AFE">
        <w:t xml:space="preserve">Mill’s </w:t>
      </w:r>
      <w:r>
        <w:t xml:space="preserve">claims with regard to ‘controversial opinions’, especially as that concept relates to Mill’s position on the power dynamics between majority and minority positions, and the effect of ‘vituperative’ argumentation understood through that hierarchical dynamic. </w:t>
      </w:r>
    </w:p>
    <w:p w14:paraId="4CE00A6F" w14:textId="2F851019" w:rsidR="0097626B" w:rsidRDefault="006A0E8A" w:rsidP="00E848DD">
      <w:pPr>
        <w:pStyle w:val="BodyText"/>
      </w:pPr>
      <w:r>
        <w:t xml:space="preserve">M Fricker was another popular choice, with </w:t>
      </w:r>
      <w:r w:rsidR="00DE1AFE">
        <w:t>many responses demonstrating recognition of</w:t>
      </w:r>
      <w:r>
        <w:t xml:space="preserve"> the relevance of her work on epistemic injustice and credibility deficit </w:t>
      </w:r>
      <w:r w:rsidR="006C6CE1">
        <w:t xml:space="preserve">as examples of </w:t>
      </w:r>
      <w:proofErr w:type="gramStart"/>
      <w:r w:rsidR="006C6CE1">
        <w:t>harms</w:t>
      </w:r>
      <w:r w:rsidR="00DE1AFE">
        <w:t>,</w:t>
      </w:r>
      <w:r w:rsidR="006C6CE1">
        <w:t xml:space="preserve"> and</w:t>
      </w:r>
      <w:proofErr w:type="gramEnd"/>
      <w:r w:rsidR="006C6CE1">
        <w:t xml:space="preserve"> using the examples she provides in both Tom Robinson’s jury and in Herbert Greenleaf to consider how those harms relate to controversial opinions.</w:t>
      </w:r>
      <w:r w:rsidR="0061608B">
        <w:t xml:space="preserve"> Nguyen’s distinction between epistemic bubbles and echo</w:t>
      </w:r>
      <w:r w:rsidR="00CD2BD8">
        <w:t xml:space="preserve"> </w:t>
      </w:r>
      <w:r w:rsidR="0061608B">
        <w:t xml:space="preserve">chambers was used </w:t>
      </w:r>
      <w:r w:rsidR="009B3CDF">
        <w:t>in many responses</w:t>
      </w:r>
      <w:r w:rsidR="0061608B">
        <w:t xml:space="preserve">, often to argue for the good in allowing controversial opinions which could burst epistemic bubbles. Some </w:t>
      </w:r>
      <w:r w:rsidR="009B3CDF">
        <w:t xml:space="preserve">responses </w:t>
      </w:r>
      <w:r w:rsidR="0061608B">
        <w:t xml:space="preserve">proposed that E Fricker’s TDAPs be used to guard against the harms of controversial opinions. </w:t>
      </w:r>
    </w:p>
    <w:p w14:paraId="168EB7F9" w14:textId="45D80C88" w:rsidR="006C6CE1" w:rsidRPr="00113BC7" w:rsidRDefault="0061608B" w:rsidP="00113BC7">
      <w:pPr>
        <w:pStyle w:val="BodyText"/>
        <w:rPr>
          <w:highlight w:val="yellow"/>
        </w:rPr>
      </w:pPr>
      <w:r>
        <w:t xml:space="preserve">Clifford and Peirce were used less commonly, </w:t>
      </w:r>
      <w:r w:rsidR="009B3CDF">
        <w:t>al</w:t>
      </w:r>
      <w:r w:rsidR="0097626B">
        <w:t xml:space="preserve">though </w:t>
      </w:r>
      <w:r>
        <w:t>sometimes in comparison with each other</w:t>
      </w:r>
      <w:r w:rsidR="0097626B">
        <w:t>:</w:t>
      </w:r>
      <w:r>
        <w:t xml:space="preserve"> Peirce through the harms of Tenacity and Authority as responses to controversy; Clifford through the harms apparent in false (or insufficiently justified) beliefs</w:t>
      </w:r>
      <w:r w:rsidR="009B3CDF">
        <w:t>.</w:t>
      </w:r>
      <w:r w:rsidR="0097626B">
        <w:t xml:space="preserve"> </w:t>
      </w:r>
      <w:r w:rsidR="009B3CDF">
        <w:t xml:space="preserve">However, </w:t>
      </w:r>
      <w:r w:rsidR="0097626B">
        <w:t xml:space="preserve">often these responses demonstrated </w:t>
      </w:r>
      <w:r w:rsidR="006A2D67">
        <w:t xml:space="preserve">difficulty </w:t>
      </w:r>
      <w:r w:rsidR="009B3CDF">
        <w:t xml:space="preserve">in </w:t>
      </w:r>
      <w:r w:rsidR="0097626B">
        <w:t>connecting these thinkers to the concepts and perspectives most relevant to this prompt.</w:t>
      </w:r>
    </w:p>
    <w:p w14:paraId="58ED4D3A" w14:textId="2FA39233" w:rsidR="00AC63DF" w:rsidRDefault="00AC63DF" w:rsidP="00215364">
      <w:pPr>
        <w:pStyle w:val="Heading2"/>
      </w:pPr>
      <w:r>
        <w:t>Question 2</w:t>
      </w:r>
    </w:p>
    <w:p w14:paraId="34FC252F" w14:textId="621408DB" w:rsidR="00F119B7" w:rsidRPr="002D2A24" w:rsidRDefault="00F119B7" w:rsidP="00E848DD">
      <w:pPr>
        <w:pStyle w:val="BodyText"/>
      </w:pPr>
      <w:r>
        <w:t xml:space="preserve">This question was </w:t>
      </w:r>
      <w:r w:rsidR="00B53015">
        <w:t>best</w:t>
      </w:r>
      <w:r w:rsidR="007D5D0C">
        <w:t xml:space="preserve"> </w:t>
      </w:r>
      <w:r w:rsidR="00B53015">
        <w:t>suited</w:t>
      </w:r>
      <w:r>
        <w:t xml:space="preserve"> </w:t>
      </w:r>
      <w:r w:rsidR="00B53015">
        <w:t>to c</w:t>
      </w:r>
      <w:r>
        <w:t xml:space="preserve">ase </w:t>
      </w:r>
      <w:r w:rsidR="00B53015">
        <w:t>s</w:t>
      </w:r>
      <w:r>
        <w:t xml:space="preserve">tudies relevant to the context of </w:t>
      </w:r>
      <w:r w:rsidR="00B53015">
        <w:t>‘</w:t>
      </w:r>
      <w:r w:rsidR="00AB12E1" w:rsidRPr="002D2A24">
        <w:t>truth, trust, credibility and expertise</w:t>
      </w:r>
      <w:r w:rsidR="00B53015">
        <w:t>’</w:t>
      </w:r>
      <w:r w:rsidR="00AB12E1">
        <w:t xml:space="preserve">, and </w:t>
      </w:r>
      <w:r w:rsidR="006335AB">
        <w:t xml:space="preserve">which </w:t>
      </w:r>
      <w:r w:rsidR="00AB12E1">
        <w:t xml:space="preserve">also allowed for some consideration of </w:t>
      </w:r>
      <w:r w:rsidR="006335AB">
        <w:t>‘</w:t>
      </w:r>
      <w:r w:rsidRPr="00F119B7">
        <w:t xml:space="preserve">misinformation, </w:t>
      </w:r>
      <w:r w:rsidRPr="002D2A24">
        <w:t>disinformation and echo chambers</w:t>
      </w:r>
      <w:r w:rsidR="006335AB">
        <w:t>’, and to</w:t>
      </w:r>
      <w:r w:rsidRPr="002D2A24">
        <w:t xml:space="preserve"> thinkers from Unit 4 whose works considered </w:t>
      </w:r>
      <w:r w:rsidR="002D2A24" w:rsidRPr="002D2A24">
        <w:t>the epistemic responsibilities we have to ourselves and to others when forming beliefs, and the circumstances in which we should trust others</w:t>
      </w:r>
      <w:r w:rsidRPr="002D2A24">
        <w:t xml:space="preserve">. </w:t>
      </w:r>
    </w:p>
    <w:p w14:paraId="580A6D8D" w14:textId="41E0B07F" w:rsidR="002D2A24" w:rsidRPr="00967F2B" w:rsidRDefault="002D2A24" w:rsidP="00E848DD">
      <w:pPr>
        <w:pStyle w:val="BodyText"/>
      </w:pPr>
      <w:r>
        <w:t xml:space="preserve">Clifford was </w:t>
      </w:r>
      <w:r w:rsidR="00E666D4">
        <w:t xml:space="preserve">a </w:t>
      </w:r>
      <w:r>
        <w:t>popular</w:t>
      </w:r>
      <w:r w:rsidR="00E666D4">
        <w:t xml:space="preserve"> choice</w:t>
      </w:r>
      <w:r w:rsidR="00B659D7">
        <w:t>.</w:t>
      </w:r>
      <w:r>
        <w:t xml:space="preserve"> </w:t>
      </w:r>
      <w:r w:rsidR="00B659D7">
        <w:t>S</w:t>
      </w:r>
      <w:r>
        <w:t xml:space="preserve">ome </w:t>
      </w:r>
      <w:r w:rsidR="00B659D7">
        <w:t>lower-scoring response</w:t>
      </w:r>
      <w:r w:rsidR="005965C8">
        <w:t>s</w:t>
      </w:r>
      <w:r w:rsidR="00B659D7">
        <w:t xml:space="preserve"> </w:t>
      </w:r>
      <w:r>
        <w:t>demonstrated a misunderstanding of Clifford as being purely evidentialist</w:t>
      </w:r>
      <w:r w:rsidR="00B659D7">
        <w:t>,</w:t>
      </w:r>
      <w:r>
        <w:t xml:space="preserve"> in the sense of accepting only personal empirical justifications for </w:t>
      </w:r>
      <w:proofErr w:type="gramStart"/>
      <w:r>
        <w:t>belief</w:t>
      </w:r>
      <w:r w:rsidR="00B659D7">
        <w:t>,</w:t>
      </w:r>
      <w:r>
        <w:t xml:space="preserve"> and</w:t>
      </w:r>
      <w:proofErr w:type="gramEnd"/>
      <w:r>
        <w:t xml:space="preserve"> missed the opportunity to discuss the sections of Clifford’s text in which he establishes grounds for the acceptance of testimony</w:t>
      </w:r>
      <w:r w:rsidR="0097626B">
        <w:t xml:space="preserve"> (such as through the example of Thucydides)</w:t>
      </w:r>
      <w:r w:rsidR="00B659D7">
        <w:t>.</w:t>
      </w:r>
      <w:r>
        <w:t xml:space="preserve"> </w:t>
      </w:r>
      <w:r w:rsidR="00B659D7">
        <w:t>Responses that used</w:t>
      </w:r>
      <w:r>
        <w:t xml:space="preserve"> Clifford with an awareness of this part of the text </w:t>
      </w:r>
      <w:r w:rsidR="00B659D7">
        <w:t>often scored highly.</w:t>
      </w:r>
    </w:p>
    <w:p w14:paraId="53331465" w14:textId="1EC74ACD" w:rsidR="002D2A24" w:rsidRPr="00967F2B" w:rsidRDefault="002D2A24" w:rsidP="00E848DD">
      <w:pPr>
        <w:pStyle w:val="BodyText"/>
      </w:pPr>
      <w:r w:rsidRPr="00967F2B">
        <w:t xml:space="preserve">E Fricker was also a popular choice. Through her TDAPs, </w:t>
      </w:r>
      <w:r w:rsidR="00915484">
        <w:t>many responses</w:t>
      </w:r>
      <w:r w:rsidR="00915484" w:rsidRPr="00967F2B">
        <w:t xml:space="preserve"> </w:t>
      </w:r>
      <w:r w:rsidRPr="00967F2B">
        <w:t xml:space="preserve">argued that we </w:t>
      </w:r>
      <w:r w:rsidR="00377AB9">
        <w:t>have</w:t>
      </w:r>
      <w:r w:rsidR="00377AB9" w:rsidRPr="00967F2B">
        <w:t xml:space="preserve"> </w:t>
      </w:r>
      <w:r w:rsidRPr="00967F2B">
        <w:t xml:space="preserve">a mechanism available by which we </w:t>
      </w:r>
      <w:r w:rsidR="00377AB9">
        <w:t>can</w:t>
      </w:r>
      <w:r w:rsidR="00377AB9" w:rsidRPr="00967F2B">
        <w:t xml:space="preserve"> </w:t>
      </w:r>
      <w:r w:rsidRPr="00967F2B">
        <w:t xml:space="preserve">determine when we </w:t>
      </w:r>
      <w:r w:rsidR="00377AB9">
        <w:t>can</w:t>
      </w:r>
      <w:r w:rsidR="00377AB9" w:rsidRPr="00967F2B">
        <w:t xml:space="preserve"> </w:t>
      </w:r>
      <w:r w:rsidRPr="00967F2B">
        <w:t xml:space="preserve">believe others, though often these responses </w:t>
      </w:r>
      <w:r w:rsidRPr="00967F2B">
        <w:lastRenderedPageBreak/>
        <w:t xml:space="preserve">were less focused on why it would be important that others are able to believe </w:t>
      </w:r>
      <w:proofErr w:type="gramStart"/>
      <w:r w:rsidRPr="00967F2B">
        <w:t>us</w:t>
      </w:r>
      <w:r w:rsidR="00CB3BD2">
        <w:t>, and</w:t>
      </w:r>
      <w:proofErr w:type="gramEnd"/>
      <w:r w:rsidR="00CB3BD2">
        <w:t xml:space="preserve"> thus were less likely to score highly</w:t>
      </w:r>
      <w:r w:rsidRPr="00967F2B">
        <w:t>.</w:t>
      </w:r>
    </w:p>
    <w:p w14:paraId="490C80F9" w14:textId="5E8D6B65" w:rsidR="002D2A24" w:rsidRPr="00F95A00" w:rsidRDefault="00876E46" w:rsidP="00E848DD">
      <w:pPr>
        <w:pStyle w:val="BodyText"/>
      </w:pPr>
      <w:r>
        <w:t>Responses applying</w:t>
      </w:r>
      <w:r w:rsidR="002D2A24" w:rsidRPr="00967F2B">
        <w:t xml:space="preserve"> Peirce often presented his views as a counter-perspective to either E Fricker or Clifford, on the basis that Peirce was more focused on the fixation of belief than on the belief being formed on sufficient grounds, and thus arguing that we do not need to trust others or be trusted in return as </w:t>
      </w:r>
      <w:r w:rsidR="00DF1D5E">
        <w:t>M</w:t>
      </w:r>
      <w:r w:rsidR="002D2A24" w:rsidRPr="00967F2B">
        <w:t xml:space="preserve">ethods of Tenacity or Authority would suffice. </w:t>
      </w:r>
      <w:r>
        <w:t>Lower-scoring</w:t>
      </w:r>
      <w:r w:rsidRPr="00967F2B">
        <w:t xml:space="preserve"> </w:t>
      </w:r>
      <w:r w:rsidR="002D2A24" w:rsidRPr="00967F2B">
        <w:t>responses often demonstrated a</w:t>
      </w:r>
      <w:r w:rsidR="00967F2B" w:rsidRPr="00967F2B">
        <w:t>n overly</w:t>
      </w:r>
      <w:r>
        <w:t xml:space="preserve"> </w:t>
      </w:r>
      <w:r w:rsidR="00967F2B" w:rsidRPr="00967F2B">
        <w:t xml:space="preserve">generalised understanding of Peirce’s </w:t>
      </w:r>
      <w:proofErr w:type="gramStart"/>
      <w:r w:rsidR="00967F2B" w:rsidRPr="00967F2B">
        <w:t>work, or</w:t>
      </w:r>
      <w:proofErr w:type="gramEnd"/>
      <w:r w:rsidR="00967F2B" w:rsidRPr="00967F2B">
        <w:t xml:space="preserve"> understood his consideration of both Tenacity and Authority uncritically. </w:t>
      </w:r>
      <w:r>
        <w:t>High-</w:t>
      </w:r>
      <w:r w:rsidR="002D2A24" w:rsidRPr="00967F2B">
        <w:t>scoring students who used Peirce were</w:t>
      </w:r>
      <w:r w:rsidR="00967F2B" w:rsidRPr="00967F2B">
        <w:t xml:space="preserve"> able to demonstrate how the need for trust and the epistemic foundations of the scientific method were </w:t>
      </w:r>
      <w:r w:rsidR="00967F2B" w:rsidRPr="00F95A00">
        <w:t>superior for achieving fixation of belief, and thus to show how Peirce’s view supported the need for trust in belief formation.</w:t>
      </w:r>
    </w:p>
    <w:p w14:paraId="0C45FD51" w14:textId="4745B92F" w:rsidR="00C4675B" w:rsidRDefault="00876E46" w:rsidP="00E848DD">
      <w:pPr>
        <w:pStyle w:val="BodyText"/>
      </w:pPr>
      <w:r>
        <w:t>Responses using</w:t>
      </w:r>
      <w:r w:rsidR="00F95A00" w:rsidRPr="00F95A00">
        <w:t xml:space="preserve"> Nguyen’s discussion of the perniciousness of echo</w:t>
      </w:r>
      <w:r w:rsidR="00CD2BD8">
        <w:t xml:space="preserve"> </w:t>
      </w:r>
      <w:r w:rsidR="00F95A00" w:rsidRPr="00F95A00">
        <w:t>chambers and the role of trust in helping people to break</w:t>
      </w:r>
      <w:r>
        <w:t xml:space="preserve"> </w:t>
      </w:r>
      <w:r w:rsidR="00F95A00" w:rsidRPr="00F95A00">
        <w:t>out of echo</w:t>
      </w:r>
      <w:r w:rsidR="00CD2BD8">
        <w:t xml:space="preserve"> </w:t>
      </w:r>
      <w:r w:rsidR="00F95A00">
        <w:t>chambers were often able to demonstrate the importance of the epistemic interdependence suggested by the question</w:t>
      </w:r>
      <w:r w:rsidR="008E0FFB">
        <w:t>.</w:t>
      </w:r>
      <w:r w:rsidR="00F95A00">
        <w:t xml:space="preserve"> </w:t>
      </w:r>
      <w:r w:rsidR="008E0FFB">
        <w:t>T</w:t>
      </w:r>
      <w:r w:rsidR="00C4675B">
        <w:t xml:space="preserve">hose who explored the concept of trust as central to Nguyen’s distinction between </w:t>
      </w:r>
      <w:r w:rsidR="0097626B">
        <w:t>epistemic bubbles and echo</w:t>
      </w:r>
      <w:r w:rsidR="00CD2BD8">
        <w:t xml:space="preserve"> </w:t>
      </w:r>
      <w:r w:rsidR="0097626B">
        <w:t>chambers were often able to demonstrate relevant connections between the thinker and the requirements of this prompt</w:t>
      </w:r>
      <w:r w:rsidR="00F95A00">
        <w:t xml:space="preserve">. </w:t>
      </w:r>
    </w:p>
    <w:p w14:paraId="0891817B" w14:textId="58DE16D7" w:rsidR="00733623" w:rsidRPr="00AB12E1" w:rsidRDefault="008E0FFB" w:rsidP="00E848DD">
      <w:pPr>
        <w:pStyle w:val="BodyText"/>
        <w:rPr>
          <w:highlight w:val="yellow"/>
        </w:rPr>
      </w:pPr>
      <w:r>
        <w:t>Other</w:t>
      </w:r>
      <w:r w:rsidR="00F95A00">
        <w:t xml:space="preserve"> responses selected M Fricker (usually in terms of linking credibility excess or deficit to </w:t>
      </w:r>
      <w:r>
        <w:t xml:space="preserve">the concept of </w:t>
      </w:r>
      <w:r w:rsidR="00F95A00">
        <w:t>mutual trust, especially in the case of Greenleaf’s failure to trust Marge due to his epistemic biases) or Mill (usually in terms of how alternative views allow us to examine our own beliefs)</w:t>
      </w:r>
      <w:r>
        <w:t>. However,</w:t>
      </w:r>
      <w:r w:rsidR="0097626B">
        <w:t xml:space="preserve"> often these </w:t>
      </w:r>
      <w:r>
        <w:t xml:space="preserve">responses </w:t>
      </w:r>
      <w:r w:rsidR="0097626B">
        <w:t xml:space="preserve">demonstrated </w:t>
      </w:r>
      <w:r w:rsidR="00113F46">
        <w:t xml:space="preserve">difficulty </w:t>
      </w:r>
      <w:r w:rsidR="0097626B">
        <w:t xml:space="preserve">connecting these thinkers to the concepts and perspectives most relevant to this </w:t>
      </w:r>
      <w:proofErr w:type="gramStart"/>
      <w:r w:rsidR="0097626B">
        <w:t xml:space="preserve">prompt, </w:t>
      </w:r>
      <w:r>
        <w:t>and</w:t>
      </w:r>
      <w:proofErr w:type="gramEnd"/>
      <w:r>
        <w:t xml:space="preserve"> thus scored less highly.</w:t>
      </w:r>
    </w:p>
    <w:p w14:paraId="6A2E44BF" w14:textId="561E9103" w:rsidR="00AC63DF" w:rsidRPr="00AC63DF" w:rsidRDefault="00AC63DF" w:rsidP="00215364">
      <w:pPr>
        <w:pStyle w:val="Heading2"/>
      </w:pPr>
      <w:r>
        <w:t>Question 3</w:t>
      </w:r>
    </w:p>
    <w:p w14:paraId="33D8B9DB" w14:textId="551AEF8F" w:rsidR="00AB12E1" w:rsidRDefault="00AB12E1" w:rsidP="00E848DD">
      <w:pPr>
        <w:pStyle w:val="BodyText"/>
      </w:pPr>
      <w:r>
        <w:t xml:space="preserve">This question was </w:t>
      </w:r>
      <w:r w:rsidR="0063693A">
        <w:t>best</w:t>
      </w:r>
      <w:r w:rsidR="007D5D0C">
        <w:t xml:space="preserve"> </w:t>
      </w:r>
      <w:r>
        <w:t xml:space="preserve">suited </w:t>
      </w:r>
      <w:r w:rsidR="0063693A">
        <w:t>to c</w:t>
      </w:r>
      <w:r>
        <w:t xml:space="preserve">ase </w:t>
      </w:r>
      <w:r w:rsidR="0063693A">
        <w:t>s</w:t>
      </w:r>
      <w:r>
        <w:t xml:space="preserve">tudies relevant to the context of </w:t>
      </w:r>
      <w:r w:rsidR="0063693A">
        <w:t>‘</w:t>
      </w:r>
      <w:r w:rsidRPr="002D2A24">
        <w:t>truth, trust, credibility and expertise</w:t>
      </w:r>
      <w:r w:rsidR="0063693A">
        <w:t>’</w:t>
      </w:r>
      <w:r>
        <w:t xml:space="preserve">, and </w:t>
      </w:r>
      <w:r w:rsidR="0063693A">
        <w:t xml:space="preserve">which </w:t>
      </w:r>
      <w:r>
        <w:t xml:space="preserve">also allowed for some consideration of </w:t>
      </w:r>
      <w:r w:rsidR="0063693A">
        <w:t>‘</w:t>
      </w:r>
      <w:r w:rsidRPr="00F119B7">
        <w:t xml:space="preserve">misinformation, </w:t>
      </w:r>
      <w:r w:rsidRPr="002D2A24">
        <w:t>disinformation and echo chambers</w:t>
      </w:r>
      <w:r w:rsidR="0063693A">
        <w:t>’, and</w:t>
      </w:r>
      <w:r>
        <w:t xml:space="preserve"> to</w:t>
      </w:r>
      <w:r w:rsidRPr="002D2A24">
        <w:t xml:space="preserve"> thinkers from Unit 4 whose works considered the </w:t>
      </w:r>
      <w:r>
        <w:t>role</w:t>
      </w:r>
      <w:r w:rsidRPr="00013DC5">
        <w:t xml:space="preserve"> </w:t>
      </w:r>
      <w:r>
        <w:t xml:space="preserve">of </w:t>
      </w:r>
      <w:r w:rsidRPr="00013DC5">
        <w:t>experience, testimony and expertise in the formation of and justification for belief</w:t>
      </w:r>
      <w:r w:rsidRPr="002D2A24">
        <w:t xml:space="preserve">. </w:t>
      </w:r>
    </w:p>
    <w:p w14:paraId="54328D69" w14:textId="53A7B215" w:rsidR="00C4675B" w:rsidRDefault="00C4675B" w:rsidP="00E848DD">
      <w:pPr>
        <w:pStyle w:val="BodyText"/>
      </w:pPr>
      <w:r>
        <w:t xml:space="preserve">Many </w:t>
      </w:r>
      <w:r w:rsidR="0035271A">
        <w:t xml:space="preserve">responses </w:t>
      </w:r>
      <w:r>
        <w:t xml:space="preserve">selected E Fricker as a counterview to the statement made in the prompt, on the basis that her TDAPs provide the grounds on which we </w:t>
      </w:r>
      <w:proofErr w:type="gramStart"/>
      <w:r>
        <w:t>are able to</w:t>
      </w:r>
      <w:proofErr w:type="gramEnd"/>
      <w:r>
        <w:t xml:space="preserve"> believe testimony, and thus that we are justified in believing something </w:t>
      </w:r>
      <w:r w:rsidR="0063693A">
        <w:t xml:space="preserve">that </w:t>
      </w:r>
      <w:r>
        <w:t xml:space="preserve">is beyond our own personal experience. </w:t>
      </w:r>
    </w:p>
    <w:p w14:paraId="4985AB1A" w14:textId="745FF9BB" w:rsidR="00C4675B" w:rsidRPr="00967F2B" w:rsidRDefault="00C4675B" w:rsidP="00E848DD">
      <w:pPr>
        <w:pStyle w:val="BodyText"/>
      </w:pPr>
      <w:r>
        <w:t xml:space="preserve">Peirce was also presented </w:t>
      </w:r>
      <w:r w:rsidR="0035271A">
        <w:t xml:space="preserve">in </w:t>
      </w:r>
      <w:r>
        <w:t xml:space="preserve">many </w:t>
      </w:r>
      <w:r w:rsidR="0035271A">
        <w:t xml:space="preserve">responses </w:t>
      </w:r>
      <w:r>
        <w:t>as a counter-perspective to the prompt, on the basis that Peirce was more focused on the fixation of belief than on the truth of beliefs, and thus that Peirce would support the view that we can believe something without direct personal experience</w:t>
      </w:r>
      <w:r w:rsidR="0035271A">
        <w:t>, since we are</w:t>
      </w:r>
      <w:r>
        <w:t xml:space="preserve"> free to choose any belief we wish in the effort to remove doubt. As with the responses using Peirce in Section B, Question 2, </w:t>
      </w:r>
      <w:r w:rsidR="0035271A">
        <w:t xml:space="preserve">lower-scoring responses </w:t>
      </w:r>
      <w:r>
        <w:t xml:space="preserve">often demonstrated an uncritical acceptance of both the Method of Tenacity and the Method of Authority when applying Peirce to this prompt. Some </w:t>
      </w:r>
      <w:r w:rsidR="0035271A">
        <w:t>high-scoring responses</w:t>
      </w:r>
      <w:r>
        <w:t xml:space="preserve"> demonstrate</w:t>
      </w:r>
      <w:r w:rsidR="0035271A">
        <w:t>d</w:t>
      </w:r>
      <w:r>
        <w:t xml:space="preserve"> how the scientific method, and the ongoing collaborative efforts achieved through the scientific method</w:t>
      </w:r>
      <w:r w:rsidR="0035271A">
        <w:t>,</w:t>
      </w:r>
      <w:r>
        <w:t xml:space="preserve"> show</w:t>
      </w:r>
      <w:r w:rsidR="0035271A">
        <w:t xml:space="preserve"> that</w:t>
      </w:r>
      <w:r>
        <w:t xml:space="preserve"> Peirce’s view contradict</w:t>
      </w:r>
      <w:r w:rsidR="0035271A">
        <w:t>s</w:t>
      </w:r>
      <w:r>
        <w:t xml:space="preserve"> the statement made in the prompt.</w:t>
      </w:r>
    </w:p>
    <w:p w14:paraId="2248B2AF" w14:textId="59087E18" w:rsidR="00AB12E1" w:rsidRDefault="00AB12E1" w:rsidP="00E848DD">
      <w:pPr>
        <w:pStyle w:val="BodyText"/>
      </w:pPr>
      <w:r>
        <w:t xml:space="preserve">Clifford was </w:t>
      </w:r>
      <w:r w:rsidR="00C4675B">
        <w:t xml:space="preserve">also </w:t>
      </w:r>
      <w:r>
        <w:t>a popular selection, but again</w:t>
      </w:r>
      <w:r w:rsidR="0035271A">
        <w:t>,</w:t>
      </w:r>
      <w:r>
        <w:t xml:space="preserve"> some </w:t>
      </w:r>
      <w:r w:rsidR="0035271A">
        <w:t xml:space="preserve">lower-scoring responses </w:t>
      </w:r>
      <w:r>
        <w:t>demonstrated a misunderstanding of Clifford as being purely evidentialist</w:t>
      </w:r>
      <w:r w:rsidR="0035271A">
        <w:t>,</w:t>
      </w:r>
      <w:r>
        <w:t xml:space="preserve"> in the sense of accepting only personal empirical justifications for belief</w:t>
      </w:r>
      <w:r w:rsidR="0035271A">
        <w:t>,</w:t>
      </w:r>
      <w:r>
        <w:t xml:space="preserve"> and </w:t>
      </w:r>
      <w:r w:rsidR="00C4675B">
        <w:t xml:space="preserve">therefore that he would agree with the statement made in the prompt. These </w:t>
      </w:r>
      <w:r w:rsidR="0035271A">
        <w:t xml:space="preserve">responses </w:t>
      </w:r>
      <w:r>
        <w:t xml:space="preserve">missed the opportunity to discuss the sections of Clifford’s text in which he establishes grounds for the acceptance of </w:t>
      </w:r>
      <w:r w:rsidR="00C4675B">
        <w:t>beliefs beyond our own personal experience</w:t>
      </w:r>
      <w:r w:rsidR="0035271A">
        <w:t>,</w:t>
      </w:r>
      <w:r w:rsidR="00C4675B">
        <w:t xml:space="preserve"> through the justified assumption of the uniformity of nature. </w:t>
      </w:r>
      <w:r w:rsidR="0035271A">
        <w:t>Responses that used</w:t>
      </w:r>
      <w:r>
        <w:t xml:space="preserve"> Clifford with an awareness of this part of the text </w:t>
      </w:r>
      <w:r w:rsidR="0097626B">
        <w:t xml:space="preserve">(such as through the example of the spectroscope) </w:t>
      </w:r>
      <w:r>
        <w:t xml:space="preserve">were more </w:t>
      </w:r>
      <w:r w:rsidR="00F50337">
        <w:t>likely to score highly.</w:t>
      </w:r>
    </w:p>
    <w:p w14:paraId="5A163966" w14:textId="1C921E9C" w:rsidR="00C4675B" w:rsidRDefault="00CA735A" w:rsidP="00E848DD">
      <w:pPr>
        <w:pStyle w:val="BodyText"/>
      </w:pPr>
      <w:r>
        <w:t xml:space="preserve">Many students applied </w:t>
      </w:r>
      <w:r w:rsidR="00C4675B">
        <w:t>Nguyen’s work on echo</w:t>
      </w:r>
      <w:r w:rsidR="00CD2BD8">
        <w:t xml:space="preserve"> </w:t>
      </w:r>
      <w:r w:rsidR="00C4675B">
        <w:t>chambers</w:t>
      </w:r>
      <w:r>
        <w:t xml:space="preserve"> by making a connection to </w:t>
      </w:r>
      <w:r w:rsidR="00C4675B">
        <w:t xml:space="preserve">the epistemic dangers </w:t>
      </w:r>
      <w:r w:rsidR="0097626B">
        <w:t xml:space="preserve">of restricting belief only to personal empirical </w:t>
      </w:r>
      <w:proofErr w:type="gramStart"/>
      <w:r w:rsidR="0097626B">
        <w:t>experience, and</w:t>
      </w:r>
      <w:proofErr w:type="gramEnd"/>
      <w:r w:rsidR="0097626B">
        <w:t xml:space="preserve"> thus </w:t>
      </w:r>
      <w:r>
        <w:t>being</w:t>
      </w:r>
      <w:r w:rsidR="0097626B">
        <w:t xml:space="preserve"> prone to </w:t>
      </w:r>
      <w:r>
        <w:t>dismissing</w:t>
      </w:r>
      <w:r w:rsidR="0097626B">
        <w:t xml:space="preserve"> experts and figures of epistemic authority and more susceptible to the voices within the echo</w:t>
      </w:r>
      <w:r w:rsidR="00CD2BD8">
        <w:t xml:space="preserve"> </w:t>
      </w:r>
      <w:r w:rsidR="0097626B">
        <w:t>chamber.</w:t>
      </w:r>
    </w:p>
    <w:p w14:paraId="69159965" w14:textId="2CAD137A" w:rsidR="007856DF" w:rsidRPr="00DC5174" w:rsidRDefault="00113F46" w:rsidP="00113BC7">
      <w:pPr>
        <w:pStyle w:val="BodyText"/>
        <w:rPr>
          <w:b/>
          <w:bCs/>
        </w:rPr>
      </w:pPr>
      <w:r>
        <w:lastRenderedPageBreak/>
        <w:t>Other</w:t>
      </w:r>
      <w:r w:rsidR="0097626B">
        <w:t xml:space="preserve"> responses selected</w:t>
      </w:r>
      <w:r>
        <w:t xml:space="preserve"> Mill or</w:t>
      </w:r>
      <w:r w:rsidR="0097626B">
        <w:t xml:space="preserve"> M Fricker (usually in terms of linking credibility excess or deficit to </w:t>
      </w:r>
      <w:r>
        <w:t>the</w:t>
      </w:r>
      <w:r w:rsidR="0097626B">
        <w:t xml:space="preserve"> belief of testimony over personal experience, especially in the case of Greenleaf’s failure to believe Marge)</w:t>
      </w:r>
      <w:r>
        <w:t>. However,</w:t>
      </w:r>
      <w:r w:rsidR="0097626B">
        <w:t xml:space="preserve"> often these </w:t>
      </w:r>
      <w:r>
        <w:t xml:space="preserve">responses </w:t>
      </w:r>
      <w:r w:rsidR="0097626B">
        <w:t xml:space="preserve">demonstrated </w:t>
      </w:r>
      <w:r>
        <w:t xml:space="preserve">difficulty </w:t>
      </w:r>
      <w:r w:rsidR="0097626B">
        <w:t xml:space="preserve">connecting these thinkers to the concepts and perspectives most relevant to this </w:t>
      </w:r>
      <w:proofErr w:type="gramStart"/>
      <w:r w:rsidR="0097626B">
        <w:t xml:space="preserve">prompt, </w:t>
      </w:r>
      <w:r>
        <w:t>and</w:t>
      </w:r>
      <w:proofErr w:type="gramEnd"/>
      <w:r>
        <w:t xml:space="preserve"> thus scored less highly</w:t>
      </w:r>
      <w:r w:rsidR="0097626B">
        <w:t>.</w:t>
      </w:r>
    </w:p>
    <w:p w14:paraId="7E0564FB" w14:textId="7604B2CF" w:rsidR="008B1F37" w:rsidRDefault="008B1F37" w:rsidP="008B1F37">
      <w:pPr>
        <w:pStyle w:val="BodyText"/>
      </w:pPr>
      <w:r>
        <w:t>The following is an example of a high-scoring response to Question 1:</w:t>
      </w:r>
    </w:p>
    <w:p w14:paraId="0166FCFE" w14:textId="1E8BE084" w:rsidR="00A2320E" w:rsidRDefault="00A2320E" w:rsidP="00113BC7">
      <w:pPr>
        <w:pStyle w:val="Studentsample"/>
      </w:pPr>
      <w:r w:rsidRPr="00A2320E">
        <w:t>In 2023</w:t>
      </w:r>
      <w:r>
        <w:t xml:space="preserve">, the Australian Federal government held a referendum proposing a constitutional amendment to establish a permanent advisory body – the Voice. The Australian Human Rights Commission (AHRC) – an independent third party which investigates discrimination and human rights breaches – claimed that its intention was to “help </w:t>
      </w:r>
      <w:r w:rsidR="00F0674C">
        <w:t>realise Indigenous rights through the establishment of an Indigenous voice to parliament”, claiming that increasing Indigenous testimony would lead to tangible improvements in Aboriginal lives. In this essay, I will critically discuss the perspectives of Mill and M</w:t>
      </w:r>
      <w:r w:rsidR="00025402">
        <w:t>.</w:t>
      </w:r>
      <w:r w:rsidR="00F0674C">
        <w:t xml:space="preserve"> Fricker in relation to the case study and whether controversial opinions cause more harm than good in society.</w:t>
      </w:r>
    </w:p>
    <w:p w14:paraId="10AA98B0" w14:textId="4326AA11" w:rsidR="00F0674C" w:rsidRDefault="00F0674C" w:rsidP="00113BC7">
      <w:pPr>
        <w:pStyle w:val="Studentsample"/>
      </w:pPr>
      <w:r>
        <w:t xml:space="preserve">According to Mill, controversial opinions do </w:t>
      </w:r>
      <w:r w:rsidRPr="000872A2">
        <w:rPr>
          <w:u w:val="single"/>
        </w:rPr>
        <w:t>not</w:t>
      </w:r>
      <w:r>
        <w:t xml:space="preserve"> cause more harm than good in society, so long as they do not incite violence. Mill contends that, upon being exposed to beliefs, one is exposed to truth, a belief that contains a portion of the truth, o</w:t>
      </w:r>
      <w:r w:rsidR="00CF4D98">
        <w:t>r</w:t>
      </w:r>
      <w:r>
        <w:t xml:space="preserve"> even if a belief is wrong, it can challenge the grounds of one’s own argument, preventing it from being held as a habit rather than a heartfelt conviction. In all cases, the hearer improves their belief and prevent</w:t>
      </w:r>
      <w:r w:rsidR="00025402">
        <w:t>s</w:t>
      </w:r>
      <w:r>
        <w:t xml:space="preserve"> it from forming into unjustified principle. To engage in open debate, Mill contends that we must cultivate epistemic virtues such as temperate discussion and the willingness to listen to others. To do otherwise is to form epistemic vices such as the suppression of arguments or the misrepresentation of opinions. Therefore, to Mill, controversial opinions do more </w:t>
      </w:r>
      <w:r w:rsidRPr="000872A2">
        <w:rPr>
          <w:u w:val="single"/>
        </w:rPr>
        <w:t>good</w:t>
      </w:r>
      <w:r>
        <w:t xml:space="preserve"> than harm so long as they are justified and expressed in a reasonable and temperate manner.</w:t>
      </w:r>
    </w:p>
    <w:p w14:paraId="21BAE50B" w14:textId="311F6DD2" w:rsidR="000C32E2" w:rsidRDefault="00F0674C" w:rsidP="00113BC7">
      <w:pPr>
        <w:pStyle w:val="Studentsample"/>
      </w:pPr>
      <w:r>
        <w:t>I can see the value of Mill’s argument in real life when people are well-informed and able to engage in open discussion. For example, in my philosophy classroom, when my classmate shares a different perspective, I am compelled to consider their contrary opinion and their reasoning, and so unconsciously revisit my reasons for my own belief. In doing so, my belief is often strengthened in a way that reflects Mill’s argument that engagement with opposing opinions can develop one’s argument and guard against dogmatic beliefs.</w:t>
      </w:r>
    </w:p>
    <w:p w14:paraId="658A7C66" w14:textId="3D572492" w:rsidR="000C32E2" w:rsidRDefault="000C32E2" w:rsidP="00113BC7">
      <w:pPr>
        <w:pStyle w:val="Studentsample"/>
      </w:pPr>
      <w:r>
        <w:t xml:space="preserve">To what extent were Mill’s principles for reasoned engagement with controversial opinions evident in the Voice referendum? Although the government did not suppress any beliefs, they did not provide enough robust reasoning and arguments </w:t>
      </w:r>
      <w:r w:rsidR="00865A4F">
        <w:t>for citizens to develop their own beliefs. According to the Rule of Law article – an official site for the education of Australian laws – the coalition was excluded from any meaningful discussion and there was a lack of debate, claiming that the referendum was “based on the concept of the Voice</w:t>
      </w:r>
      <w:r w:rsidR="007E6B61">
        <w:t xml:space="preserve"> </w:t>
      </w:r>
      <w:r w:rsidR="00865A4F">
        <w:t xml:space="preserve">… rather than a detailed model for its implementation.” As a result, there was a lack of clarity to what exactly the referendum would do for the nation and an assumption as to what the citizens knew. Thus, it is likely that the citizens formed controversial </w:t>
      </w:r>
      <w:proofErr w:type="gramStart"/>
      <w:r w:rsidR="00865A4F">
        <w:t>opinions</w:t>
      </w:r>
      <w:proofErr w:type="gramEnd"/>
      <w:r w:rsidR="00865A4F">
        <w:t xml:space="preserve"> but they were unjustified because of a lack of clear reasoning. This failure to help form justified contrary opinions did not only occur by the Albanese government. The opposition advocated for the slogan “</w:t>
      </w:r>
      <w:r w:rsidR="007F5280">
        <w:t>i</w:t>
      </w:r>
      <w:r w:rsidR="00865A4F">
        <w:t>f you don’t know, vote no” which supported/fostered epistemic vices of ignorance and epistemic laziness. Therefore, to Mill, controversial opinions did more harm than good due to a lack of robust reasoning and clear arguments that undermined Mill’s principle for justified and reasoned debate.</w:t>
      </w:r>
    </w:p>
    <w:p w14:paraId="67D18D25" w14:textId="7C5BB346" w:rsidR="00865A4F" w:rsidRDefault="00865A4F" w:rsidP="00113BC7">
      <w:pPr>
        <w:pStyle w:val="Studentsample"/>
      </w:pPr>
      <w:r>
        <w:t>However, there is a significant impediment to forming and expressing beliefs that even Mill himself could not have anticipated. Political discussions are carried out today largely thorough social media. Short form content, emojis and one</w:t>
      </w:r>
      <w:r w:rsidR="00F450D2">
        <w:t>-</w:t>
      </w:r>
      <w:r>
        <w:t xml:space="preserve">word tweets do not contribute reasoned argument, often perpetuating negativity and emotion. As Johan Hari demonstrates in </w:t>
      </w:r>
      <w:r w:rsidR="000143CC">
        <w:t>“</w:t>
      </w:r>
      <w:r>
        <w:t>Stolen Focus</w:t>
      </w:r>
      <w:r w:rsidR="000143CC">
        <w:t>”</w:t>
      </w:r>
      <w:r>
        <w:t xml:space="preserve">, the words that most increase the tweet rate are </w:t>
      </w:r>
      <w:r w:rsidR="000143CC">
        <w:t>“</w:t>
      </w:r>
      <w:r>
        <w:t>bad</w:t>
      </w:r>
      <w:r w:rsidR="000143CC">
        <w:t>”</w:t>
      </w:r>
      <w:r>
        <w:t xml:space="preserve">, </w:t>
      </w:r>
      <w:r w:rsidR="000143CC">
        <w:t>“</w:t>
      </w:r>
      <w:r>
        <w:t>attack</w:t>
      </w:r>
      <w:r w:rsidR="000143CC">
        <w:t>”</w:t>
      </w:r>
      <w:r>
        <w:t xml:space="preserve"> and </w:t>
      </w:r>
      <w:r w:rsidR="000143CC">
        <w:t>“</w:t>
      </w:r>
      <w:r>
        <w:t>blame</w:t>
      </w:r>
      <w:r w:rsidR="000143CC">
        <w:t>”</w:t>
      </w:r>
      <w:r>
        <w:t>. The medium of discussion actively promotes irrationality and demotes reasoned argument, making it easy to develop controversial opinions that incite harm and violence and are also unjustified.</w:t>
      </w:r>
    </w:p>
    <w:p w14:paraId="5250E34A" w14:textId="52D25310" w:rsidR="00865A4F" w:rsidRDefault="00865A4F" w:rsidP="00113BC7">
      <w:pPr>
        <w:pStyle w:val="Studentsample"/>
      </w:pPr>
      <w:r>
        <w:t>While Mill’s argument is rational and necessary</w:t>
      </w:r>
      <w:r w:rsidR="00F004BD">
        <w:t xml:space="preserve"> to uphold the epistemic values of discussion, it is insufficient as it omits the prejudice that influences beliefs and harms knowers. On the other hand, M</w:t>
      </w:r>
      <w:r w:rsidR="00E765C6">
        <w:t>.</w:t>
      </w:r>
      <w:r w:rsidR="00F004BD">
        <w:t xml:space="preserve"> </w:t>
      </w:r>
      <w:r w:rsidR="00F004BD">
        <w:lastRenderedPageBreak/>
        <w:t>Fricker exposes prejudice’s surreptitious nature and contends that controversial opinions can cause more harm than good in society if they are soaked in prejudice. Fricker uses the example of Mr Greenleaf (a civic-minded and reasonable man) who believed Marge wasn’t telling the truth because, like other females, she was going off instinct rather than facts, thus attributing her a credibility deficit. The detrimental issue is that Greenleaf tried hard to listen to the evidence but did not know his perception of the truth was distorted by prejudice. As a result, Marge’s epistemic autonomy and dignity was undermined, causing a testimonial injustice, harming her as a knower, and Greenleaf was harmed as he missed out on the truth. To Fricker, the epistemic injustice is morally problematic and thus we have a doxastic self</w:t>
      </w:r>
      <w:r w:rsidR="0037121A">
        <w:t>-</w:t>
      </w:r>
      <w:r w:rsidR="00F004BD">
        <w:t>responsibility to engage in critical self</w:t>
      </w:r>
      <w:r w:rsidR="0037121A">
        <w:t>-</w:t>
      </w:r>
      <w:r w:rsidR="00F004BD">
        <w:t>reflection to correct for our prejudices, allowing us to engage with controversial opinion properly.</w:t>
      </w:r>
    </w:p>
    <w:p w14:paraId="53F5FB42" w14:textId="418904B5" w:rsidR="00514ADE" w:rsidRDefault="00F004BD" w:rsidP="00113BC7">
      <w:pPr>
        <w:pStyle w:val="Studentsample"/>
      </w:pPr>
      <w:r>
        <w:t xml:space="preserve">Taking Fricker’s argument into consideration, the Voice was a useful tool to correct for prejudices. According to the AHRC, “Indigenous people have long been excluded from decision making”. It seems, then, that as their epistemic agency was undermined, Indigenous people were victim to </w:t>
      </w:r>
      <w:r w:rsidR="0037121A">
        <w:t>“</w:t>
      </w:r>
      <w:r>
        <w:t xml:space="preserve">systemic </w:t>
      </w:r>
      <w:r w:rsidR="00514ADE">
        <w:t>racial prejudice</w:t>
      </w:r>
      <w:r w:rsidR="0037121A">
        <w:t>”</w:t>
      </w:r>
      <w:r w:rsidR="00514ADE">
        <w:t>. As its intention was to “remove any doubt that the constitution had discriminated against people of the Aboriginal race”</w:t>
      </w:r>
      <w:r w:rsidR="00ED7B53">
        <w:t>,</w:t>
      </w:r>
      <w:r w:rsidR="00514ADE">
        <w:t xml:space="preserve"> according to the Rule of law article, it seems that the Voice mechanism would have been a useful </w:t>
      </w:r>
      <w:proofErr w:type="spellStart"/>
      <w:r w:rsidR="00514ADE">
        <w:t>vessicle</w:t>
      </w:r>
      <w:proofErr w:type="spellEnd"/>
      <w:r w:rsidR="00514ADE">
        <w:t xml:space="preserve"> for us to reassess our credibility judgements and correct for lurking prejudices. In doing so, we may have been able to engage with controversial opinions in a fair manner, leading to the intended improvements in Aboriginal lives.</w:t>
      </w:r>
    </w:p>
    <w:p w14:paraId="6F2A92FC" w14:textId="772EE323" w:rsidR="00AA2D5D" w:rsidRDefault="00514ADE" w:rsidP="00113BC7">
      <w:pPr>
        <w:pStyle w:val="Studentsample"/>
      </w:pPr>
      <w:r>
        <w:t>M</w:t>
      </w:r>
      <w:r w:rsidR="000126AD">
        <w:t>.</w:t>
      </w:r>
      <w:r>
        <w:t xml:space="preserve"> Fricker’s argument is compelling as it exposes the psychologically stealthy nature of prejudice and the harm it does the knower. For example, a teacher may label a student as less intelligent, resulting in a credibility deficit. This not only hams the student by dismissing their contributions to the class, </w:t>
      </w:r>
      <w:proofErr w:type="gramStart"/>
      <w:r>
        <w:t>it</w:t>
      </w:r>
      <w:proofErr w:type="gramEnd"/>
      <w:r>
        <w:t xml:space="preserve"> also impoverishes the classroom’s collective understanding. Yet, even if the referendum was successful, I do not think it would have gone far enough to achieve epistemic justice. What would it mean to see Indigenous people as equal knowers in their own right? According to the head of the Indigenous Health </w:t>
      </w:r>
      <w:r w:rsidR="008F151A">
        <w:t>e</w:t>
      </w:r>
      <w:r>
        <w:t xml:space="preserve">quity </w:t>
      </w:r>
      <w:r w:rsidR="008F151A">
        <w:t>u</w:t>
      </w:r>
      <w:r>
        <w:t xml:space="preserve">nit at Melbourne University, there are ingrained “problematic colonial thought processes”. Western scientific knowledge values rationality and dominance over nature, but there </w:t>
      </w:r>
      <w:r w:rsidR="00D1060B">
        <w:t xml:space="preserve">is </w:t>
      </w:r>
      <w:r>
        <w:t xml:space="preserve">also more holistic and communal </w:t>
      </w:r>
      <w:r w:rsidR="00D3689F">
        <w:t>“</w:t>
      </w:r>
      <w:r>
        <w:t>ways of knowing</w:t>
      </w:r>
      <w:r w:rsidR="00D3689F">
        <w:t>”</w:t>
      </w:r>
      <w:r>
        <w:t xml:space="preserve">. For example, there are instances when we can learn from Indigenous knowledge such as how to “mitigate and adapt for climate change” or “holistic models of wellbeing”. But the paradigm of </w:t>
      </w:r>
      <w:r w:rsidR="00A4037F">
        <w:t>“</w:t>
      </w:r>
      <w:r>
        <w:t>Western scientific ways of knowing</w:t>
      </w:r>
      <w:r w:rsidR="00A4037F">
        <w:t>”</w:t>
      </w:r>
      <w:r>
        <w:t xml:space="preserve"> such as “Western knowledge is superior to Indigenous knowledge” dismisses their contribution </w:t>
      </w:r>
      <w:r w:rsidR="00AA2D5D">
        <w:t>as irrelevant or inferior. Thus, the controversial opinions that M</w:t>
      </w:r>
      <w:r w:rsidR="00A4037F">
        <w:t>.</w:t>
      </w:r>
      <w:r w:rsidR="00AA2D5D">
        <w:t xml:space="preserve"> Fricker considers as beneficial to society </w:t>
      </w:r>
      <w:r w:rsidR="00CE5879">
        <w:t xml:space="preserve">is </w:t>
      </w:r>
      <w:r w:rsidR="00AA2D5D">
        <w:t xml:space="preserve">undermined by the paradigm of </w:t>
      </w:r>
      <w:r w:rsidR="00A4037F">
        <w:t>“</w:t>
      </w:r>
      <w:r w:rsidR="00AA2D5D">
        <w:t>western scientific</w:t>
      </w:r>
      <w:r w:rsidR="00A4037F">
        <w:t>”</w:t>
      </w:r>
      <w:r w:rsidR="00AA2D5D">
        <w:t xml:space="preserve"> knowledge, ultimately resulting in a problematic testimonial injustice. </w:t>
      </w:r>
    </w:p>
    <w:p w14:paraId="7C62D2A0" w14:textId="640942E2" w:rsidR="00F0674C" w:rsidRPr="00751B4D" w:rsidRDefault="00AA2D5D" w:rsidP="00113BC7">
      <w:pPr>
        <w:pStyle w:val="Studentsample"/>
      </w:pPr>
      <w:r>
        <w:t xml:space="preserve">Therefore, controversial opinions do more harm than good in society </w:t>
      </w:r>
      <w:r w:rsidRPr="000872A2">
        <w:rPr>
          <w:u w:val="single"/>
        </w:rPr>
        <w:t>if</w:t>
      </w:r>
      <w:r>
        <w:t xml:space="preserve"> there is a lack of robust reasons in the belief and </w:t>
      </w:r>
      <w:r w:rsidRPr="000872A2">
        <w:rPr>
          <w:u w:val="single"/>
        </w:rPr>
        <w:t>if</w:t>
      </w:r>
      <w:r>
        <w:t xml:space="preserve"> their opinion is soaked in prejudice.</w:t>
      </w:r>
    </w:p>
    <w:sectPr w:rsidR="00F0674C" w:rsidRPr="00751B4D"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4DA1" w14:textId="77777777" w:rsidR="00DF3181" w:rsidRDefault="00DF3181" w:rsidP="00304EA1">
      <w:pPr>
        <w:spacing w:after="0" w:line="240" w:lineRule="auto"/>
      </w:pPr>
      <w:r>
        <w:separator/>
      </w:r>
    </w:p>
  </w:endnote>
  <w:endnote w:type="continuationSeparator" w:id="0">
    <w:p w14:paraId="794BEB23" w14:textId="77777777" w:rsidR="00DF3181" w:rsidRDefault="00DF318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B124" w14:textId="77777777" w:rsidR="00DF3181" w:rsidRDefault="00DF3181" w:rsidP="00304EA1">
      <w:pPr>
        <w:spacing w:after="0" w:line="240" w:lineRule="auto"/>
      </w:pPr>
      <w:r>
        <w:separator/>
      </w:r>
    </w:p>
  </w:footnote>
  <w:footnote w:type="continuationSeparator" w:id="0">
    <w:p w14:paraId="4FF0CA6D" w14:textId="77777777" w:rsidR="00DF3181" w:rsidRDefault="00DF318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630F5055" w:rsidR="00FD29D3" w:rsidRPr="002B0664" w:rsidRDefault="00BC0D8B" w:rsidP="00D86DE4">
    <w:pPr>
      <w:pStyle w:val="Captionsandfootnotes"/>
      <w:rPr>
        <w:color w:val="auto"/>
      </w:rPr>
    </w:pPr>
    <w:r>
      <w:rPr>
        <w:color w:val="auto"/>
      </w:rPr>
      <w:t>2025 VCE Philosophy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83F80"/>
    <w:multiLevelType w:val="hybridMultilevel"/>
    <w:tmpl w:val="964EAC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6B5296"/>
    <w:multiLevelType w:val="hybridMultilevel"/>
    <w:tmpl w:val="550069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460972"/>
    <w:multiLevelType w:val="hybridMultilevel"/>
    <w:tmpl w:val="1EBEA9D0"/>
    <w:lvl w:ilvl="0" w:tplc="EF68ED38">
      <w:start w:val="1"/>
      <w:numFmt w:val="upp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A934F5"/>
    <w:multiLevelType w:val="hybridMultilevel"/>
    <w:tmpl w:val="944CAD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B4B1A"/>
    <w:multiLevelType w:val="hybridMultilevel"/>
    <w:tmpl w:val="944CAD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543E72"/>
    <w:multiLevelType w:val="hybridMultilevel"/>
    <w:tmpl w:val="EB9A034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3F4A91"/>
    <w:multiLevelType w:val="hybridMultilevel"/>
    <w:tmpl w:val="C6B256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EA14134"/>
    <w:multiLevelType w:val="hybridMultilevel"/>
    <w:tmpl w:val="872AEEE8"/>
    <w:lvl w:ilvl="0" w:tplc="CC7EB5A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A103EC"/>
    <w:multiLevelType w:val="hybridMultilevel"/>
    <w:tmpl w:val="31FABF3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5" w15:restartNumberingAfterBreak="0">
    <w:nsid w:val="6CF378AE"/>
    <w:multiLevelType w:val="hybridMultilevel"/>
    <w:tmpl w:val="75C215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5C70E1"/>
    <w:multiLevelType w:val="hybridMultilevel"/>
    <w:tmpl w:val="2CCC143E"/>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0313A3"/>
    <w:multiLevelType w:val="hybridMultilevel"/>
    <w:tmpl w:val="A926ABDA"/>
    <w:lvl w:ilvl="0" w:tplc="D954F8BA">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3E23FC"/>
    <w:multiLevelType w:val="hybridMultilevel"/>
    <w:tmpl w:val="2E6C4BC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8764004">
    <w:abstractNumId w:val="24"/>
  </w:num>
  <w:num w:numId="2" w16cid:durableId="1678000311">
    <w:abstractNumId w:val="22"/>
  </w:num>
  <w:num w:numId="3" w16cid:durableId="1018848057">
    <w:abstractNumId w:val="18"/>
  </w:num>
  <w:num w:numId="4" w16cid:durableId="1304190575">
    <w:abstractNumId w:val="14"/>
  </w:num>
  <w:num w:numId="5" w16cid:durableId="2057312338">
    <w:abstractNumId w:val="2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1"/>
  </w:num>
  <w:num w:numId="17" w16cid:durableId="630597890">
    <w:abstractNumId w:val="19"/>
  </w:num>
  <w:num w:numId="18" w16cid:durableId="1166820845">
    <w:abstractNumId w:val="13"/>
  </w:num>
  <w:num w:numId="19" w16cid:durableId="1711220609">
    <w:abstractNumId w:val="10"/>
  </w:num>
  <w:num w:numId="20" w16cid:durableId="1680083792">
    <w:abstractNumId w:val="15"/>
  </w:num>
  <w:num w:numId="21" w16cid:durableId="329992630">
    <w:abstractNumId w:val="26"/>
  </w:num>
  <w:num w:numId="22" w16cid:durableId="557327881">
    <w:abstractNumId w:val="28"/>
  </w:num>
  <w:num w:numId="23" w16cid:durableId="1879321498">
    <w:abstractNumId w:val="12"/>
  </w:num>
  <w:num w:numId="24" w16cid:durableId="29769133">
    <w:abstractNumId w:val="17"/>
  </w:num>
  <w:num w:numId="25" w16cid:durableId="329529348">
    <w:abstractNumId w:val="11"/>
  </w:num>
  <w:num w:numId="26" w16cid:durableId="1183664089">
    <w:abstractNumId w:val="20"/>
  </w:num>
  <w:num w:numId="27" w16cid:durableId="1135949816">
    <w:abstractNumId w:val="27"/>
  </w:num>
  <w:num w:numId="28" w16cid:durableId="99494053">
    <w:abstractNumId w:val="16"/>
  </w:num>
  <w:num w:numId="29" w16cid:durableId="44415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0B40"/>
    <w:rsid w:val="00003885"/>
    <w:rsid w:val="00011D2D"/>
    <w:rsid w:val="000126AD"/>
    <w:rsid w:val="000143CC"/>
    <w:rsid w:val="00023E0E"/>
    <w:rsid w:val="00025402"/>
    <w:rsid w:val="00037220"/>
    <w:rsid w:val="00055F6E"/>
    <w:rsid w:val="0005780E"/>
    <w:rsid w:val="00057CAF"/>
    <w:rsid w:val="00060358"/>
    <w:rsid w:val="00065CC6"/>
    <w:rsid w:val="000661E8"/>
    <w:rsid w:val="000663B7"/>
    <w:rsid w:val="00075CC6"/>
    <w:rsid w:val="0008168B"/>
    <w:rsid w:val="000872A2"/>
    <w:rsid w:val="0009391A"/>
    <w:rsid w:val="000A37CD"/>
    <w:rsid w:val="000A71F7"/>
    <w:rsid w:val="000B12AA"/>
    <w:rsid w:val="000B19A6"/>
    <w:rsid w:val="000B491F"/>
    <w:rsid w:val="000B4E03"/>
    <w:rsid w:val="000B4F1F"/>
    <w:rsid w:val="000C32C2"/>
    <w:rsid w:val="000C32E2"/>
    <w:rsid w:val="000D1201"/>
    <w:rsid w:val="000D1438"/>
    <w:rsid w:val="000F09E4"/>
    <w:rsid w:val="000F0C92"/>
    <w:rsid w:val="000F16FD"/>
    <w:rsid w:val="000F5AAF"/>
    <w:rsid w:val="000F6D4E"/>
    <w:rsid w:val="00113BC7"/>
    <w:rsid w:val="00113F46"/>
    <w:rsid w:val="00117B8E"/>
    <w:rsid w:val="0012573A"/>
    <w:rsid w:val="00136B41"/>
    <w:rsid w:val="00137F48"/>
    <w:rsid w:val="00140385"/>
    <w:rsid w:val="001406EB"/>
    <w:rsid w:val="00142593"/>
    <w:rsid w:val="00142950"/>
    <w:rsid w:val="00143520"/>
    <w:rsid w:val="00153AD2"/>
    <w:rsid w:val="0015544C"/>
    <w:rsid w:val="00160165"/>
    <w:rsid w:val="00161747"/>
    <w:rsid w:val="001779EA"/>
    <w:rsid w:val="0018188B"/>
    <w:rsid w:val="001837AA"/>
    <w:rsid w:val="001958AC"/>
    <w:rsid w:val="001A70D2"/>
    <w:rsid w:val="001B3B7D"/>
    <w:rsid w:val="001C0CAE"/>
    <w:rsid w:val="001C66FB"/>
    <w:rsid w:val="001D3246"/>
    <w:rsid w:val="001D7B0D"/>
    <w:rsid w:val="00207E4A"/>
    <w:rsid w:val="0021529F"/>
    <w:rsid w:val="00215364"/>
    <w:rsid w:val="002279BA"/>
    <w:rsid w:val="002329F3"/>
    <w:rsid w:val="00237A35"/>
    <w:rsid w:val="00243F0D"/>
    <w:rsid w:val="00260767"/>
    <w:rsid w:val="00261EDC"/>
    <w:rsid w:val="00262FFF"/>
    <w:rsid w:val="002647BB"/>
    <w:rsid w:val="00271A9C"/>
    <w:rsid w:val="002754C1"/>
    <w:rsid w:val="002841C8"/>
    <w:rsid w:val="00284ADA"/>
    <w:rsid w:val="0028516B"/>
    <w:rsid w:val="0029292E"/>
    <w:rsid w:val="002B0664"/>
    <w:rsid w:val="002C6F90"/>
    <w:rsid w:val="002C7D69"/>
    <w:rsid w:val="002D1B37"/>
    <w:rsid w:val="002D2A24"/>
    <w:rsid w:val="002E1A8C"/>
    <w:rsid w:val="002E4FB5"/>
    <w:rsid w:val="002E602F"/>
    <w:rsid w:val="002F024F"/>
    <w:rsid w:val="002F36E1"/>
    <w:rsid w:val="002F4E28"/>
    <w:rsid w:val="00302FB8"/>
    <w:rsid w:val="00304EA1"/>
    <w:rsid w:val="00305DE9"/>
    <w:rsid w:val="00310595"/>
    <w:rsid w:val="00311ACE"/>
    <w:rsid w:val="00314D81"/>
    <w:rsid w:val="00320CA6"/>
    <w:rsid w:val="00322FC6"/>
    <w:rsid w:val="00323BCC"/>
    <w:rsid w:val="00323DFA"/>
    <w:rsid w:val="00324CA4"/>
    <w:rsid w:val="00326B7A"/>
    <w:rsid w:val="00327800"/>
    <w:rsid w:val="00343133"/>
    <w:rsid w:val="0035271A"/>
    <w:rsid w:val="0035293F"/>
    <w:rsid w:val="00360564"/>
    <w:rsid w:val="00364DA5"/>
    <w:rsid w:val="00365612"/>
    <w:rsid w:val="0037121A"/>
    <w:rsid w:val="00375DB2"/>
    <w:rsid w:val="00377AB9"/>
    <w:rsid w:val="00381C75"/>
    <w:rsid w:val="00385DAB"/>
    <w:rsid w:val="00386326"/>
    <w:rsid w:val="00391986"/>
    <w:rsid w:val="00391C0F"/>
    <w:rsid w:val="0039361D"/>
    <w:rsid w:val="00394AC2"/>
    <w:rsid w:val="003A00B4"/>
    <w:rsid w:val="003A06B2"/>
    <w:rsid w:val="003A2037"/>
    <w:rsid w:val="003C5E71"/>
    <w:rsid w:val="003E53AD"/>
    <w:rsid w:val="003F773B"/>
    <w:rsid w:val="0040374E"/>
    <w:rsid w:val="004054DB"/>
    <w:rsid w:val="00417AA3"/>
    <w:rsid w:val="004235E4"/>
    <w:rsid w:val="0042445B"/>
    <w:rsid w:val="00424BD8"/>
    <w:rsid w:val="00425DFE"/>
    <w:rsid w:val="00427B4A"/>
    <w:rsid w:val="00434EDB"/>
    <w:rsid w:val="00440B32"/>
    <w:rsid w:val="00454FD0"/>
    <w:rsid w:val="00456D51"/>
    <w:rsid w:val="0046078D"/>
    <w:rsid w:val="00462FC1"/>
    <w:rsid w:val="00465E2F"/>
    <w:rsid w:val="00476C6A"/>
    <w:rsid w:val="00477B49"/>
    <w:rsid w:val="0048143D"/>
    <w:rsid w:val="00481D4B"/>
    <w:rsid w:val="004836F4"/>
    <w:rsid w:val="00485BA1"/>
    <w:rsid w:val="004863C9"/>
    <w:rsid w:val="00490D0D"/>
    <w:rsid w:val="00495C80"/>
    <w:rsid w:val="0049616D"/>
    <w:rsid w:val="004A2ED8"/>
    <w:rsid w:val="004A74FC"/>
    <w:rsid w:val="004B2F9C"/>
    <w:rsid w:val="004F3C0E"/>
    <w:rsid w:val="004F5BDA"/>
    <w:rsid w:val="005006A0"/>
    <w:rsid w:val="00507297"/>
    <w:rsid w:val="00512514"/>
    <w:rsid w:val="00514ADE"/>
    <w:rsid w:val="0051631E"/>
    <w:rsid w:val="0053154E"/>
    <w:rsid w:val="00531DDC"/>
    <w:rsid w:val="00537A1F"/>
    <w:rsid w:val="005450C2"/>
    <w:rsid w:val="00553550"/>
    <w:rsid w:val="00561951"/>
    <w:rsid w:val="00563250"/>
    <w:rsid w:val="005637A8"/>
    <w:rsid w:val="00566029"/>
    <w:rsid w:val="00580103"/>
    <w:rsid w:val="005828CA"/>
    <w:rsid w:val="005923CB"/>
    <w:rsid w:val="005965C8"/>
    <w:rsid w:val="005A3EE1"/>
    <w:rsid w:val="005B391B"/>
    <w:rsid w:val="005D0DF1"/>
    <w:rsid w:val="005D3D78"/>
    <w:rsid w:val="005E2EF0"/>
    <w:rsid w:val="005E482E"/>
    <w:rsid w:val="005F4092"/>
    <w:rsid w:val="005F6370"/>
    <w:rsid w:val="00614468"/>
    <w:rsid w:val="0061488D"/>
    <w:rsid w:val="00614EA1"/>
    <w:rsid w:val="0061588F"/>
    <w:rsid w:val="0061608B"/>
    <w:rsid w:val="00617C4D"/>
    <w:rsid w:val="00620FDC"/>
    <w:rsid w:val="006335AB"/>
    <w:rsid w:val="0063693A"/>
    <w:rsid w:val="006440AB"/>
    <w:rsid w:val="00654E37"/>
    <w:rsid w:val="00666E4B"/>
    <w:rsid w:val="0068471E"/>
    <w:rsid w:val="00684F98"/>
    <w:rsid w:val="0069360D"/>
    <w:rsid w:val="00693FFD"/>
    <w:rsid w:val="00697CE1"/>
    <w:rsid w:val="006A0E8A"/>
    <w:rsid w:val="006A2D67"/>
    <w:rsid w:val="006A562B"/>
    <w:rsid w:val="006C0C3F"/>
    <w:rsid w:val="006C14A5"/>
    <w:rsid w:val="006C1B76"/>
    <w:rsid w:val="006C6CE1"/>
    <w:rsid w:val="006D2159"/>
    <w:rsid w:val="006E0264"/>
    <w:rsid w:val="006F26D2"/>
    <w:rsid w:val="006F787C"/>
    <w:rsid w:val="00702636"/>
    <w:rsid w:val="00706040"/>
    <w:rsid w:val="0071620E"/>
    <w:rsid w:val="00716555"/>
    <w:rsid w:val="00724507"/>
    <w:rsid w:val="0072733C"/>
    <w:rsid w:val="0073354C"/>
    <w:rsid w:val="00733623"/>
    <w:rsid w:val="00740847"/>
    <w:rsid w:val="00751B4D"/>
    <w:rsid w:val="00752384"/>
    <w:rsid w:val="007630E7"/>
    <w:rsid w:val="00763F0B"/>
    <w:rsid w:val="0076496E"/>
    <w:rsid w:val="00773E6C"/>
    <w:rsid w:val="00781FB1"/>
    <w:rsid w:val="007856DF"/>
    <w:rsid w:val="007B28B0"/>
    <w:rsid w:val="007C551B"/>
    <w:rsid w:val="007D1AFF"/>
    <w:rsid w:val="007D1B6D"/>
    <w:rsid w:val="007D25FB"/>
    <w:rsid w:val="007D5D0C"/>
    <w:rsid w:val="007E4245"/>
    <w:rsid w:val="007E6B61"/>
    <w:rsid w:val="007E7EC1"/>
    <w:rsid w:val="007F5280"/>
    <w:rsid w:val="00813C37"/>
    <w:rsid w:val="008154B5"/>
    <w:rsid w:val="008211F7"/>
    <w:rsid w:val="00823962"/>
    <w:rsid w:val="00824C7E"/>
    <w:rsid w:val="0082621B"/>
    <w:rsid w:val="00831F33"/>
    <w:rsid w:val="00840B63"/>
    <w:rsid w:val="00850410"/>
    <w:rsid w:val="00852719"/>
    <w:rsid w:val="008557F6"/>
    <w:rsid w:val="00855892"/>
    <w:rsid w:val="00860115"/>
    <w:rsid w:val="00860774"/>
    <w:rsid w:val="00860912"/>
    <w:rsid w:val="00865A4F"/>
    <w:rsid w:val="00870A89"/>
    <w:rsid w:val="00871409"/>
    <w:rsid w:val="00876E46"/>
    <w:rsid w:val="00883154"/>
    <w:rsid w:val="00886A1C"/>
    <w:rsid w:val="0088783C"/>
    <w:rsid w:val="008A39A2"/>
    <w:rsid w:val="008A6920"/>
    <w:rsid w:val="008B1F37"/>
    <w:rsid w:val="008B4210"/>
    <w:rsid w:val="008D0F96"/>
    <w:rsid w:val="008E0FFB"/>
    <w:rsid w:val="008E5015"/>
    <w:rsid w:val="008E720D"/>
    <w:rsid w:val="008F0932"/>
    <w:rsid w:val="008F151A"/>
    <w:rsid w:val="008F1CC0"/>
    <w:rsid w:val="00901339"/>
    <w:rsid w:val="009077FE"/>
    <w:rsid w:val="009132B1"/>
    <w:rsid w:val="00915484"/>
    <w:rsid w:val="009210AC"/>
    <w:rsid w:val="00923D3A"/>
    <w:rsid w:val="00933A76"/>
    <w:rsid w:val="009370BC"/>
    <w:rsid w:val="009406B1"/>
    <w:rsid w:val="00943FBF"/>
    <w:rsid w:val="009528F1"/>
    <w:rsid w:val="0096711D"/>
    <w:rsid w:val="00967F2B"/>
    <w:rsid w:val="00970580"/>
    <w:rsid w:val="0097626B"/>
    <w:rsid w:val="00980CC9"/>
    <w:rsid w:val="009867CB"/>
    <w:rsid w:val="00986917"/>
    <w:rsid w:val="0098739B"/>
    <w:rsid w:val="00987D62"/>
    <w:rsid w:val="0099638A"/>
    <w:rsid w:val="009A18A0"/>
    <w:rsid w:val="009A282C"/>
    <w:rsid w:val="009B12D4"/>
    <w:rsid w:val="009B316A"/>
    <w:rsid w:val="009B3CDF"/>
    <w:rsid w:val="009B5A51"/>
    <w:rsid w:val="009B61E5"/>
    <w:rsid w:val="009C142E"/>
    <w:rsid w:val="009C2349"/>
    <w:rsid w:val="009C4B6E"/>
    <w:rsid w:val="009D0762"/>
    <w:rsid w:val="009D084F"/>
    <w:rsid w:val="009D1E89"/>
    <w:rsid w:val="009D2685"/>
    <w:rsid w:val="009D28DE"/>
    <w:rsid w:val="009E0C3D"/>
    <w:rsid w:val="009E5707"/>
    <w:rsid w:val="009E5DE0"/>
    <w:rsid w:val="009F2D66"/>
    <w:rsid w:val="00A05DBC"/>
    <w:rsid w:val="00A07F74"/>
    <w:rsid w:val="00A1142A"/>
    <w:rsid w:val="00A12728"/>
    <w:rsid w:val="00A17661"/>
    <w:rsid w:val="00A2320E"/>
    <w:rsid w:val="00A24B2D"/>
    <w:rsid w:val="00A36F17"/>
    <w:rsid w:val="00A37DD5"/>
    <w:rsid w:val="00A4037F"/>
    <w:rsid w:val="00A40966"/>
    <w:rsid w:val="00A5465F"/>
    <w:rsid w:val="00A56B43"/>
    <w:rsid w:val="00A601B0"/>
    <w:rsid w:val="00A64757"/>
    <w:rsid w:val="00A749D0"/>
    <w:rsid w:val="00A846B4"/>
    <w:rsid w:val="00A921E0"/>
    <w:rsid w:val="00A922F4"/>
    <w:rsid w:val="00A93560"/>
    <w:rsid w:val="00A964B7"/>
    <w:rsid w:val="00AA2D5D"/>
    <w:rsid w:val="00AB12E1"/>
    <w:rsid w:val="00AB50D6"/>
    <w:rsid w:val="00AC48E0"/>
    <w:rsid w:val="00AC63DF"/>
    <w:rsid w:val="00AE2C24"/>
    <w:rsid w:val="00AE40E2"/>
    <w:rsid w:val="00AE5526"/>
    <w:rsid w:val="00AF051B"/>
    <w:rsid w:val="00AF1841"/>
    <w:rsid w:val="00AF43C0"/>
    <w:rsid w:val="00B01578"/>
    <w:rsid w:val="00B03484"/>
    <w:rsid w:val="00B0738F"/>
    <w:rsid w:val="00B11A62"/>
    <w:rsid w:val="00B13D3B"/>
    <w:rsid w:val="00B14809"/>
    <w:rsid w:val="00B230DB"/>
    <w:rsid w:val="00B260FB"/>
    <w:rsid w:val="00B26601"/>
    <w:rsid w:val="00B31615"/>
    <w:rsid w:val="00B36B81"/>
    <w:rsid w:val="00B379B2"/>
    <w:rsid w:val="00B41951"/>
    <w:rsid w:val="00B41A51"/>
    <w:rsid w:val="00B4426D"/>
    <w:rsid w:val="00B53015"/>
    <w:rsid w:val="00B53229"/>
    <w:rsid w:val="00B62480"/>
    <w:rsid w:val="00B62B8A"/>
    <w:rsid w:val="00B659D7"/>
    <w:rsid w:val="00B6641E"/>
    <w:rsid w:val="00B72B58"/>
    <w:rsid w:val="00B81B70"/>
    <w:rsid w:val="00B85C1D"/>
    <w:rsid w:val="00BA6430"/>
    <w:rsid w:val="00BB10DE"/>
    <w:rsid w:val="00BB2610"/>
    <w:rsid w:val="00BB3BAB"/>
    <w:rsid w:val="00BB68CE"/>
    <w:rsid w:val="00BC0092"/>
    <w:rsid w:val="00BC0D8B"/>
    <w:rsid w:val="00BC630F"/>
    <w:rsid w:val="00BC7878"/>
    <w:rsid w:val="00BD0724"/>
    <w:rsid w:val="00BD2B91"/>
    <w:rsid w:val="00BD5F47"/>
    <w:rsid w:val="00BE5521"/>
    <w:rsid w:val="00BE65EC"/>
    <w:rsid w:val="00BF6C23"/>
    <w:rsid w:val="00C017E5"/>
    <w:rsid w:val="00C05D9D"/>
    <w:rsid w:val="00C07507"/>
    <w:rsid w:val="00C122BF"/>
    <w:rsid w:val="00C1230A"/>
    <w:rsid w:val="00C150E3"/>
    <w:rsid w:val="00C26F9E"/>
    <w:rsid w:val="00C33E8D"/>
    <w:rsid w:val="00C462D9"/>
    <w:rsid w:val="00C4675B"/>
    <w:rsid w:val="00C519A2"/>
    <w:rsid w:val="00C53263"/>
    <w:rsid w:val="00C57C81"/>
    <w:rsid w:val="00C623B2"/>
    <w:rsid w:val="00C70113"/>
    <w:rsid w:val="00C7210C"/>
    <w:rsid w:val="00C736B5"/>
    <w:rsid w:val="00C75F1D"/>
    <w:rsid w:val="00C761FB"/>
    <w:rsid w:val="00C77171"/>
    <w:rsid w:val="00C80DFF"/>
    <w:rsid w:val="00C8293C"/>
    <w:rsid w:val="00C95156"/>
    <w:rsid w:val="00C9672A"/>
    <w:rsid w:val="00C97783"/>
    <w:rsid w:val="00CA0DC2"/>
    <w:rsid w:val="00CA735A"/>
    <w:rsid w:val="00CB3486"/>
    <w:rsid w:val="00CB3BD2"/>
    <w:rsid w:val="00CB68E8"/>
    <w:rsid w:val="00CB72BF"/>
    <w:rsid w:val="00CD2BD8"/>
    <w:rsid w:val="00CD419C"/>
    <w:rsid w:val="00CE5205"/>
    <w:rsid w:val="00CE5879"/>
    <w:rsid w:val="00CF0853"/>
    <w:rsid w:val="00CF2A8F"/>
    <w:rsid w:val="00CF4D98"/>
    <w:rsid w:val="00D017A4"/>
    <w:rsid w:val="00D02769"/>
    <w:rsid w:val="00D02CC1"/>
    <w:rsid w:val="00D04F01"/>
    <w:rsid w:val="00D05962"/>
    <w:rsid w:val="00D05E82"/>
    <w:rsid w:val="00D06414"/>
    <w:rsid w:val="00D1060B"/>
    <w:rsid w:val="00D20591"/>
    <w:rsid w:val="00D21E37"/>
    <w:rsid w:val="00D24E5A"/>
    <w:rsid w:val="00D275DF"/>
    <w:rsid w:val="00D338E4"/>
    <w:rsid w:val="00D33A30"/>
    <w:rsid w:val="00D34D24"/>
    <w:rsid w:val="00D3689F"/>
    <w:rsid w:val="00D4110A"/>
    <w:rsid w:val="00D51947"/>
    <w:rsid w:val="00D52915"/>
    <w:rsid w:val="00D532F0"/>
    <w:rsid w:val="00D55E2B"/>
    <w:rsid w:val="00D56E0F"/>
    <w:rsid w:val="00D758E6"/>
    <w:rsid w:val="00D76E10"/>
    <w:rsid w:val="00D77413"/>
    <w:rsid w:val="00D77D83"/>
    <w:rsid w:val="00D81D48"/>
    <w:rsid w:val="00D82759"/>
    <w:rsid w:val="00D86DE4"/>
    <w:rsid w:val="00D92379"/>
    <w:rsid w:val="00DB4000"/>
    <w:rsid w:val="00DC25AE"/>
    <w:rsid w:val="00DC5174"/>
    <w:rsid w:val="00DD78DC"/>
    <w:rsid w:val="00DE0E86"/>
    <w:rsid w:val="00DE1909"/>
    <w:rsid w:val="00DE1AFE"/>
    <w:rsid w:val="00DE51DB"/>
    <w:rsid w:val="00DF1D5E"/>
    <w:rsid w:val="00DF259A"/>
    <w:rsid w:val="00DF3181"/>
    <w:rsid w:val="00DF7107"/>
    <w:rsid w:val="00E00B90"/>
    <w:rsid w:val="00E11E6F"/>
    <w:rsid w:val="00E208DF"/>
    <w:rsid w:val="00E23F1D"/>
    <w:rsid w:val="00E25C94"/>
    <w:rsid w:val="00E30E05"/>
    <w:rsid w:val="00E310B7"/>
    <w:rsid w:val="00E351D4"/>
    <w:rsid w:val="00E36361"/>
    <w:rsid w:val="00E4707C"/>
    <w:rsid w:val="00E4757A"/>
    <w:rsid w:val="00E47677"/>
    <w:rsid w:val="00E55AE9"/>
    <w:rsid w:val="00E55C1E"/>
    <w:rsid w:val="00E652F3"/>
    <w:rsid w:val="00E666D4"/>
    <w:rsid w:val="00E71100"/>
    <w:rsid w:val="00E7229D"/>
    <w:rsid w:val="00E72804"/>
    <w:rsid w:val="00E734EF"/>
    <w:rsid w:val="00E74389"/>
    <w:rsid w:val="00E765C6"/>
    <w:rsid w:val="00E82850"/>
    <w:rsid w:val="00E83CDA"/>
    <w:rsid w:val="00E848DD"/>
    <w:rsid w:val="00E91A83"/>
    <w:rsid w:val="00E92A95"/>
    <w:rsid w:val="00E93438"/>
    <w:rsid w:val="00EA3B5D"/>
    <w:rsid w:val="00EA6CFB"/>
    <w:rsid w:val="00EA7590"/>
    <w:rsid w:val="00EB0C84"/>
    <w:rsid w:val="00EB76AB"/>
    <w:rsid w:val="00EC75C4"/>
    <w:rsid w:val="00ED0CC3"/>
    <w:rsid w:val="00ED150E"/>
    <w:rsid w:val="00ED7B53"/>
    <w:rsid w:val="00EF1B8E"/>
    <w:rsid w:val="00EF34DC"/>
    <w:rsid w:val="00EF7441"/>
    <w:rsid w:val="00EF7723"/>
    <w:rsid w:val="00F004BD"/>
    <w:rsid w:val="00F0255E"/>
    <w:rsid w:val="00F0584E"/>
    <w:rsid w:val="00F0674C"/>
    <w:rsid w:val="00F07AAD"/>
    <w:rsid w:val="00F119B7"/>
    <w:rsid w:val="00F1458C"/>
    <w:rsid w:val="00F16A59"/>
    <w:rsid w:val="00F17FDE"/>
    <w:rsid w:val="00F2688A"/>
    <w:rsid w:val="00F33E6D"/>
    <w:rsid w:val="00F40D53"/>
    <w:rsid w:val="00F450D2"/>
    <w:rsid w:val="00F4525C"/>
    <w:rsid w:val="00F50337"/>
    <w:rsid w:val="00F50D86"/>
    <w:rsid w:val="00F74B9F"/>
    <w:rsid w:val="00F958F1"/>
    <w:rsid w:val="00F95A00"/>
    <w:rsid w:val="00F973C1"/>
    <w:rsid w:val="00F974D8"/>
    <w:rsid w:val="00FC3F9C"/>
    <w:rsid w:val="00FC7613"/>
    <w:rsid w:val="00FD061D"/>
    <w:rsid w:val="00FD29D3"/>
    <w:rsid w:val="00FE3F0B"/>
    <w:rsid w:val="00FE4689"/>
    <w:rsid w:val="00FF005A"/>
    <w:rsid w:val="00FF3810"/>
    <w:rsid w:val="00FF6130"/>
    <w:rsid w:val="01448CF7"/>
    <w:rsid w:val="0346CD67"/>
    <w:rsid w:val="05657AB0"/>
    <w:rsid w:val="0576777A"/>
    <w:rsid w:val="079C690E"/>
    <w:rsid w:val="08A06CF7"/>
    <w:rsid w:val="0B5D9942"/>
    <w:rsid w:val="0CE86A43"/>
    <w:rsid w:val="1271B217"/>
    <w:rsid w:val="189A9814"/>
    <w:rsid w:val="1A1CE216"/>
    <w:rsid w:val="1AD50F64"/>
    <w:rsid w:val="1EC516BA"/>
    <w:rsid w:val="20581217"/>
    <w:rsid w:val="2278E2CE"/>
    <w:rsid w:val="24A87BD0"/>
    <w:rsid w:val="24F8DDC7"/>
    <w:rsid w:val="26E7DBDD"/>
    <w:rsid w:val="2AF8A1CE"/>
    <w:rsid w:val="354B0D33"/>
    <w:rsid w:val="3B28F812"/>
    <w:rsid w:val="3B5C7FED"/>
    <w:rsid w:val="3F6B3E32"/>
    <w:rsid w:val="41A2F61B"/>
    <w:rsid w:val="44BE561A"/>
    <w:rsid w:val="44DCE5F4"/>
    <w:rsid w:val="4E918D95"/>
    <w:rsid w:val="501E209F"/>
    <w:rsid w:val="534E685B"/>
    <w:rsid w:val="547BCCDD"/>
    <w:rsid w:val="5545B601"/>
    <w:rsid w:val="56E591B6"/>
    <w:rsid w:val="587DBE75"/>
    <w:rsid w:val="59E18889"/>
    <w:rsid w:val="5C67F0D0"/>
    <w:rsid w:val="5E93AE31"/>
    <w:rsid w:val="5F0743EF"/>
    <w:rsid w:val="615221E5"/>
    <w:rsid w:val="6315E7B2"/>
    <w:rsid w:val="636C3086"/>
    <w:rsid w:val="6566539C"/>
    <w:rsid w:val="6987ABCE"/>
    <w:rsid w:val="6B5DF621"/>
    <w:rsid w:val="6F0A8059"/>
    <w:rsid w:val="71277754"/>
    <w:rsid w:val="73843D54"/>
    <w:rsid w:val="7C48C5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4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2320E"/>
    <w:pPr>
      <w:tabs>
        <w:tab w:val="left" w:pos="425"/>
      </w:tabs>
      <w:spacing w:before="60" w:after="60"/>
      <w:contextualSpacing/>
    </w:pPr>
    <w:rPr>
      <w:rFonts w:ascii="Arial" w:eastAsia="Times New Roman" w:hAnsi="Arial" w:cs="Arial"/>
      <w:i/>
      <w:iCs/>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character" w:styleId="CommentReference">
    <w:name w:val="annotation reference"/>
    <w:basedOn w:val="DefaultParagraphFont"/>
    <w:uiPriority w:val="99"/>
    <w:semiHidden/>
    <w:unhideWhenUsed/>
    <w:rsid w:val="00E82850"/>
    <w:rPr>
      <w:sz w:val="16"/>
      <w:szCs w:val="16"/>
    </w:rPr>
  </w:style>
  <w:style w:type="paragraph" w:customStyle="1" w:styleId="Studentsample">
    <w:name w:val="Student sample"/>
    <w:basedOn w:val="Normal"/>
    <w:qFormat/>
    <w:rsid w:val="004235E4"/>
    <w:pPr>
      <w:spacing w:before="120" w:after="120" w:line="280" w:lineRule="exact"/>
      <w:ind w:left="284"/>
    </w:pPr>
    <w:rPr>
      <w:rFonts w:ascii="Arial" w:hAnsi="Arial" w:cs="Arial"/>
      <w:i/>
      <w:iCs/>
      <w:sz w:val="20"/>
      <w:shd w:val="clear" w:color="auto" w:fill="FFFFFF"/>
      <w:lang w:val="en-AU"/>
    </w:rPr>
  </w:style>
  <w:style w:type="character" w:styleId="Strong">
    <w:name w:val="Strong"/>
    <w:basedOn w:val="DefaultParagraphFont"/>
    <w:uiPriority w:val="22"/>
    <w:qFormat/>
    <w:rsid w:val="00113BC7"/>
    <w:rPr>
      <w:b/>
      <w:bCs/>
    </w:rPr>
  </w:style>
  <w:style w:type="paragraph" w:styleId="Revision">
    <w:name w:val="Revision"/>
    <w:hidden/>
    <w:uiPriority w:val="99"/>
    <w:semiHidden/>
    <w:rsid w:val="00113BC7"/>
    <w:pPr>
      <w:spacing w:after="0" w:line="240" w:lineRule="auto"/>
    </w:pPr>
  </w:style>
  <w:style w:type="table" w:customStyle="1" w:styleId="VCAATableClosed">
    <w:name w:val="VCAA Table Closed"/>
    <w:basedOn w:val="TableNormal"/>
    <w:uiPriority w:val="99"/>
    <w:rsid w:val="005D0DF1"/>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Consolas" w:hAnsi="Consolas"/>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
    <w:name w:val="VCAA table condensed"/>
    <w:qFormat/>
    <w:rsid w:val="00EF7723"/>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EF7723"/>
    <w:rPr>
      <w:color w:val="FFFFFF" w:themeColor="background1"/>
    </w:rPr>
  </w:style>
  <w:style w:type="paragraph" w:customStyle="1" w:styleId="VCAAnumbers">
    <w:name w:val="VCAA numbers"/>
    <w:basedOn w:val="Normal"/>
    <w:qFormat/>
    <w:rsid w:val="00EF7723"/>
    <w:pPr>
      <w:keepNext/>
      <w:keepLines/>
      <w:tabs>
        <w:tab w:val="left" w:pos="425"/>
      </w:tabs>
      <w:spacing w:before="60" w:after="60" w:line="280" w:lineRule="exact"/>
      <w:ind w:left="425" w:hanging="425"/>
      <w:contextualSpacing/>
    </w:pPr>
    <w:rPr>
      <w:rFonts w:ascii="Arial" w:eastAsia="Arial" w:hAnsi="Arial" w:cs="Arial"/>
      <w:kern w:val="22"/>
      <w:sz w:val="20"/>
      <w:lang w:eastAsia="ja-JP"/>
    </w:rPr>
  </w:style>
  <w:style w:type="paragraph" w:customStyle="1" w:styleId="VCAAtablecondensedbullet">
    <w:name w:val="VCAA table condensed bullet"/>
    <w:basedOn w:val="Normal"/>
    <w:qFormat/>
    <w:rsid w:val="00EF7723"/>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body">
    <w:name w:val="VCAA body"/>
    <w:link w:val="VCAAbodyChar"/>
    <w:qFormat/>
    <w:rsid w:val="00BC630F"/>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BC630F"/>
    <w:rPr>
      <w:rFonts w:ascii="Arial" w:hAnsi="Arial" w:cs="Arial"/>
      <w:color w:val="000000" w:themeColor="text1"/>
      <w:sz w:val="20"/>
    </w:rPr>
  </w:style>
  <w:style w:type="character" w:styleId="Emphasis">
    <w:name w:val="Emphasis"/>
    <w:basedOn w:val="DefaultParagraphFont"/>
    <w:uiPriority w:val="20"/>
    <w:qFormat/>
    <w:rsid w:val="00360564"/>
    <w:rPr>
      <w:i/>
      <w:iCs/>
    </w:rPr>
  </w:style>
  <w:style w:type="paragraph" w:customStyle="1" w:styleId="underline">
    <w:name w:val="underline"/>
    <w:link w:val="underlineChar"/>
    <w:qFormat/>
    <w:rsid w:val="00617C4D"/>
    <w:pPr>
      <w:spacing w:before="120" w:after="120" w:line="288" w:lineRule="auto"/>
    </w:pPr>
    <w:rPr>
      <w:rFonts w:ascii="Arial" w:hAnsi="Arial" w:cs="Arial"/>
      <w:color w:val="000000" w:themeColor="text1"/>
      <w:sz w:val="20"/>
      <w:lang w:val="en-AU" w:eastAsia="en-AU"/>
    </w:rPr>
  </w:style>
  <w:style w:type="character" w:customStyle="1" w:styleId="underlineChar">
    <w:name w:val="underline Char"/>
    <w:basedOn w:val="DefaultParagraphFont"/>
    <w:link w:val="underline"/>
    <w:rsid w:val="00617C4D"/>
    <w:rPr>
      <w:rFonts w:ascii="Arial" w:hAnsi="Arial" w:cs="Arial"/>
      <w:color w:val="000000" w:themeColor="text1"/>
      <w:sz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8114</Words>
  <Characters>46250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Philosophy external assessment report</dc:title>
  <dc:subject/>
  <dc:creator/>
  <cp:keywords/>
  <cp:lastModifiedBy/>
  <cp:revision>1</cp:revision>
  <dcterms:created xsi:type="dcterms:W3CDTF">2026-02-12T00:17:00Z</dcterms:created>
  <dcterms:modified xsi:type="dcterms:W3CDTF">2026-02-12T00:17:00Z</dcterms:modified>
</cp:coreProperties>
</file>