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1E0D97E3" w:rsidR="00F4525C" w:rsidRPr="00736288" w:rsidRDefault="00971A7E" w:rsidP="00736288">
          <w:pPr>
            <w:pStyle w:val="Title"/>
          </w:pPr>
          <w:r w:rsidRPr="00736288">
            <w:t xml:space="preserve">2025 VCE Outdoor </w:t>
          </w:r>
          <w:r>
            <w:t>and</w:t>
          </w:r>
          <w:r w:rsidRPr="00736288">
            <w:t xml:space="preserve"> Environmental Studies external assessment report</w:t>
          </w:r>
        </w:p>
      </w:sdtContent>
    </w:sdt>
    <w:p w14:paraId="0639C1EC" w14:textId="77777777" w:rsidR="00E71430" w:rsidRDefault="00E71430" w:rsidP="00E71430">
      <w:pPr>
        <w:pStyle w:val="Heading1"/>
      </w:pPr>
      <w:bookmarkStart w:id="0" w:name="TemplateOverview"/>
      <w:bookmarkEnd w:id="0"/>
      <w:r>
        <w:t>Specific information</w:t>
      </w:r>
    </w:p>
    <w:p w14:paraId="0D8D8527" w14:textId="363FC46C" w:rsidR="00E71430" w:rsidRPr="00E71430" w:rsidRDefault="00E71430" w:rsidP="00F12442">
      <w:pPr>
        <w:pStyle w:val="BodyText"/>
        <w:rPr>
          <w:lang w:val="en-US"/>
        </w:rPr>
      </w:pPr>
      <w:r>
        <w:t>Note: Student responses reproduced in this report have not been corrected for grammar, spelling or factual information.</w:t>
      </w:r>
    </w:p>
    <w:p w14:paraId="6E5600B7" w14:textId="1692B1AE" w:rsidR="00E71430" w:rsidRDefault="00E71430" w:rsidP="00E71430">
      <w:pPr>
        <w:pStyle w:val="BodyText"/>
      </w:pPr>
      <w:r w:rsidRPr="002A4FAB">
        <w:t>This report provides sample answers or an indication of what answers may have included. Unless otherwise stated, these are not intended to be exemplary or complete responses.</w:t>
      </w:r>
    </w:p>
    <w:p w14:paraId="19E19279" w14:textId="07ACCFB6" w:rsidR="00E71430" w:rsidRDefault="00E71430" w:rsidP="00F12442">
      <w:pPr>
        <w:pStyle w:val="BodyText"/>
      </w:pPr>
      <w:r>
        <w:t>The statistics in this report may be subject to rounding resulting in a total more or less than 100 per cent.</w:t>
      </w:r>
    </w:p>
    <w:p w14:paraId="39040263" w14:textId="66CD5580" w:rsidR="000B114F" w:rsidRPr="00736288" w:rsidRDefault="000B114F" w:rsidP="00736288">
      <w:pPr>
        <w:pStyle w:val="Heading2"/>
      </w:pPr>
      <w:r w:rsidRPr="00736288">
        <w:t>Section A</w:t>
      </w:r>
    </w:p>
    <w:p w14:paraId="69DC68FA" w14:textId="77777777" w:rsidR="000B114F" w:rsidRDefault="000B114F" w:rsidP="00736288">
      <w:pPr>
        <w:pStyle w:val="Heading3"/>
      </w:pPr>
      <w:r>
        <w:t>Question 1</w:t>
      </w:r>
    </w:p>
    <w:tbl>
      <w:tblPr>
        <w:tblStyle w:val="VCAATableClosed"/>
        <w:tblW w:w="3333" w:type="pct"/>
        <w:tblLook w:val="04A0" w:firstRow="1" w:lastRow="0" w:firstColumn="1" w:lastColumn="0" w:noHBand="0" w:noVBand="1"/>
      </w:tblPr>
      <w:tblGrid>
        <w:gridCol w:w="1068"/>
        <w:gridCol w:w="1071"/>
        <w:gridCol w:w="1069"/>
        <w:gridCol w:w="1071"/>
        <w:gridCol w:w="1069"/>
        <w:gridCol w:w="1071"/>
      </w:tblGrid>
      <w:tr w:rsidR="00E71430" w:rsidRPr="00141A4D" w14:paraId="2E669857" w14:textId="77777777" w:rsidTr="00E71430">
        <w:trPr>
          <w:cnfStyle w:val="100000000000" w:firstRow="1" w:lastRow="0" w:firstColumn="0" w:lastColumn="0" w:oddVBand="0" w:evenVBand="0" w:oddHBand="0" w:evenHBand="0" w:firstRowFirstColumn="0" w:firstRowLastColumn="0" w:lastRowFirstColumn="0" w:lastRowLastColumn="0"/>
        </w:trPr>
        <w:tc>
          <w:tcPr>
            <w:tcW w:w="832" w:type="pct"/>
          </w:tcPr>
          <w:p w14:paraId="146A5025" w14:textId="77777777" w:rsidR="00E71430" w:rsidRPr="00141A4D" w:rsidRDefault="00E71430" w:rsidP="00384DB7">
            <w:pPr>
              <w:pStyle w:val="Tablecondensedheading"/>
              <w:rPr>
                <w:lang w:val="en-AU"/>
              </w:rPr>
            </w:pPr>
            <w:r w:rsidRPr="00141A4D">
              <w:rPr>
                <w:lang w:val="en-AU"/>
              </w:rPr>
              <w:t>Mark</w:t>
            </w:r>
            <w:r>
              <w:rPr>
                <w:lang w:val="en-AU"/>
              </w:rPr>
              <w:t>s</w:t>
            </w:r>
          </w:p>
        </w:tc>
        <w:tc>
          <w:tcPr>
            <w:tcW w:w="834" w:type="pct"/>
          </w:tcPr>
          <w:p w14:paraId="4D915403" w14:textId="77777777" w:rsidR="00E71430" w:rsidRPr="00141A4D" w:rsidRDefault="00E71430" w:rsidP="00384DB7">
            <w:pPr>
              <w:pStyle w:val="Tablecondensedheading"/>
              <w:rPr>
                <w:lang w:val="en-AU"/>
              </w:rPr>
            </w:pPr>
            <w:r w:rsidRPr="00141A4D">
              <w:rPr>
                <w:lang w:val="en-AU"/>
              </w:rPr>
              <w:t>0</w:t>
            </w:r>
          </w:p>
        </w:tc>
        <w:tc>
          <w:tcPr>
            <w:tcW w:w="833" w:type="pct"/>
          </w:tcPr>
          <w:p w14:paraId="5B50D63F" w14:textId="77777777" w:rsidR="00E71430" w:rsidRPr="00141A4D" w:rsidRDefault="00E71430" w:rsidP="00384DB7">
            <w:pPr>
              <w:pStyle w:val="Tablecondensedheading"/>
              <w:rPr>
                <w:lang w:val="en-AU"/>
              </w:rPr>
            </w:pPr>
            <w:r w:rsidRPr="00141A4D">
              <w:rPr>
                <w:lang w:val="en-AU"/>
              </w:rPr>
              <w:t>1</w:t>
            </w:r>
          </w:p>
        </w:tc>
        <w:tc>
          <w:tcPr>
            <w:tcW w:w="834" w:type="pct"/>
          </w:tcPr>
          <w:p w14:paraId="473822F3" w14:textId="77777777" w:rsidR="00E71430" w:rsidRPr="00141A4D" w:rsidRDefault="00E71430" w:rsidP="00384DB7">
            <w:pPr>
              <w:pStyle w:val="Tablecondensedheading"/>
              <w:rPr>
                <w:lang w:val="en-AU"/>
              </w:rPr>
            </w:pPr>
            <w:r w:rsidRPr="00141A4D">
              <w:rPr>
                <w:lang w:val="en-AU"/>
              </w:rPr>
              <w:t>2</w:t>
            </w:r>
          </w:p>
        </w:tc>
        <w:tc>
          <w:tcPr>
            <w:tcW w:w="833" w:type="pct"/>
          </w:tcPr>
          <w:p w14:paraId="4FA1ABFA" w14:textId="77777777" w:rsidR="00E71430" w:rsidRPr="00141A4D" w:rsidRDefault="00E71430" w:rsidP="00384DB7">
            <w:pPr>
              <w:pStyle w:val="Tablecondensedheading"/>
              <w:rPr>
                <w:lang w:val="en-AU"/>
              </w:rPr>
            </w:pPr>
            <w:r w:rsidRPr="00141A4D">
              <w:rPr>
                <w:lang w:val="en-AU"/>
              </w:rPr>
              <w:t>3</w:t>
            </w:r>
          </w:p>
        </w:tc>
        <w:tc>
          <w:tcPr>
            <w:tcW w:w="834" w:type="pct"/>
          </w:tcPr>
          <w:p w14:paraId="16E01A88" w14:textId="77777777" w:rsidR="00E71430" w:rsidRPr="00141A4D" w:rsidRDefault="00E71430" w:rsidP="00384DB7">
            <w:pPr>
              <w:pStyle w:val="Tablecondensedheading"/>
              <w:rPr>
                <w:lang w:val="en-AU"/>
              </w:rPr>
            </w:pPr>
            <w:r w:rsidRPr="00141A4D">
              <w:rPr>
                <w:lang w:val="en-AU"/>
              </w:rPr>
              <w:t>Average</w:t>
            </w:r>
          </w:p>
        </w:tc>
      </w:tr>
      <w:tr w:rsidR="00E71430" w:rsidRPr="00141A4D" w14:paraId="08A525F7" w14:textId="77777777" w:rsidTr="00E71430">
        <w:tc>
          <w:tcPr>
            <w:tcW w:w="832" w:type="pct"/>
          </w:tcPr>
          <w:p w14:paraId="30EF1FA4" w14:textId="77777777" w:rsidR="00E71430" w:rsidRPr="00141A4D" w:rsidRDefault="00E71430" w:rsidP="00384DB7">
            <w:pPr>
              <w:pStyle w:val="Tablecondensed"/>
              <w:rPr>
                <w:lang w:val="en-AU"/>
              </w:rPr>
            </w:pPr>
            <w:r w:rsidRPr="00141A4D">
              <w:rPr>
                <w:lang w:val="en-AU"/>
              </w:rPr>
              <w:t>%</w:t>
            </w:r>
          </w:p>
        </w:tc>
        <w:tc>
          <w:tcPr>
            <w:tcW w:w="834" w:type="pct"/>
            <w:vAlign w:val="bottom"/>
          </w:tcPr>
          <w:p w14:paraId="609DAED8" w14:textId="50431ADD" w:rsidR="00E71430" w:rsidRPr="00141A4D" w:rsidRDefault="00E71430" w:rsidP="00384DB7">
            <w:pPr>
              <w:pStyle w:val="Tablecondensed"/>
              <w:rPr>
                <w:lang w:val="en-AU"/>
              </w:rPr>
            </w:pPr>
            <w:r>
              <w:rPr>
                <w:lang w:val="en-AU"/>
              </w:rPr>
              <w:t>2</w:t>
            </w:r>
          </w:p>
        </w:tc>
        <w:tc>
          <w:tcPr>
            <w:tcW w:w="833" w:type="pct"/>
            <w:vAlign w:val="bottom"/>
          </w:tcPr>
          <w:p w14:paraId="1C496D43" w14:textId="049DF128" w:rsidR="00E71430" w:rsidRPr="00141A4D" w:rsidRDefault="00E71430" w:rsidP="00384DB7">
            <w:pPr>
              <w:pStyle w:val="Tablecondensed"/>
              <w:rPr>
                <w:lang w:val="en-AU"/>
              </w:rPr>
            </w:pPr>
            <w:r>
              <w:rPr>
                <w:lang w:val="en-AU"/>
              </w:rPr>
              <w:t>7</w:t>
            </w:r>
          </w:p>
        </w:tc>
        <w:tc>
          <w:tcPr>
            <w:tcW w:w="834" w:type="pct"/>
            <w:vAlign w:val="bottom"/>
          </w:tcPr>
          <w:p w14:paraId="47F1602E" w14:textId="55D09689" w:rsidR="00E71430" w:rsidRPr="00141A4D" w:rsidRDefault="00E71430" w:rsidP="00384DB7">
            <w:pPr>
              <w:pStyle w:val="Tablecondensed"/>
              <w:rPr>
                <w:lang w:val="en-AU"/>
              </w:rPr>
            </w:pPr>
            <w:r w:rsidRPr="00CB68BD">
              <w:rPr>
                <w:lang w:val="en-AU"/>
              </w:rPr>
              <w:t>3</w:t>
            </w:r>
            <w:r w:rsidR="00C117BE" w:rsidRPr="00CB68BD">
              <w:rPr>
                <w:lang w:val="en-AU"/>
              </w:rPr>
              <w:t>8</w:t>
            </w:r>
          </w:p>
        </w:tc>
        <w:tc>
          <w:tcPr>
            <w:tcW w:w="833" w:type="pct"/>
            <w:vAlign w:val="bottom"/>
          </w:tcPr>
          <w:p w14:paraId="1203B16F" w14:textId="3E2BD6D8" w:rsidR="00E71430" w:rsidRPr="00141A4D" w:rsidRDefault="00E71430" w:rsidP="00384DB7">
            <w:pPr>
              <w:pStyle w:val="Tablecondensed"/>
              <w:rPr>
                <w:lang w:val="en-AU"/>
              </w:rPr>
            </w:pPr>
            <w:r w:rsidRPr="00CB68BD">
              <w:rPr>
                <w:lang w:val="en-AU"/>
              </w:rPr>
              <w:t>5</w:t>
            </w:r>
            <w:r w:rsidR="00C117BE" w:rsidRPr="00CB68BD">
              <w:rPr>
                <w:lang w:val="en-AU"/>
              </w:rPr>
              <w:t>3</w:t>
            </w:r>
          </w:p>
        </w:tc>
        <w:tc>
          <w:tcPr>
            <w:tcW w:w="834" w:type="pct"/>
          </w:tcPr>
          <w:p w14:paraId="20877BCD" w14:textId="6364D38A" w:rsidR="00E71430" w:rsidRPr="00141A4D" w:rsidRDefault="00E71430" w:rsidP="00384DB7">
            <w:pPr>
              <w:pStyle w:val="Tablecondensed"/>
              <w:rPr>
                <w:lang w:val="en-AU"/>
              </w:rPr>
            </w:pPr>
            <w:r>
              <w:rPr>
                <w:lang w:val="en-AU"/>
              </w:rPr>
              <w:t>2.4</w:t>
            </w:r>
          </w:p>
        </w:tc>
      </w:tr>
    </w:tbl>
    <w:p w14:paraId="6E6DB33E" w14:textId="77777777" w:rsidR="00D701C9" w:rsidRDefault="00D16F24" w:rsidP="00736288">
      <w:pPr>
        <w:pStyle w:val="BodyText"/>
      </w:pPr>
      <w:r w:rsidRPr="001A6484">
        <w:t>Students were required to describe a specific Indigenous peoples’ relationship with an outdoor environment prior to European colonisation.</w:t>
      </w:r>
    </w:p>
    <w:p w14:paraId="23ADBA1A" w14:textId="0F0B1F5E" w:rsidR="00D16F24" w:rsidRDefault="00D16F24" w:rsidP="00736288">
      <w:pPr>
        <w:pStyle w:val="BodyText"/>
      </w:pPr>
      <w:r w:rsidRPr="001A6484">
        <w:t xml:space="preserve">High-scoring responses identified a specific group and named </w:t>
      </w:r>
      <w:r w:rsidR="00DA2EC1">
        <w:t xml:space="preserve">an </w:t>
      </w:r>
      <w:r w:rsidRPr="001A6484">
        <w:t>environment, providing detailed examples of cultural practices, land use and connections to Country that demonstrated custodianship and deep ecological knowledge.</w:t>
      </w:r>
    </w:p>
    <w:p w14:paraId="1754B52B" w14:textId="640CDF61" w:rsidR="00CF2421" w:rsidRPr="001A6484" w:rsidRDefault="00CF2421" w:rsidP="00736288">
      <w:pPr>
        <w:pStyle w:val="BodyText"/>
      </w:pPr>
      <w:r>
        <w:t>L</w:t>
      </w:r>
      <w:r w:rsidRPr="00410AA4">
        <w:t>ower</w:t>
      </w:r>
      <w:r>
        <w:t>-</w:t>
      </w:r>
      <w:r w:rsidRPr="00410AA4">
        <w:t xml:space="preserve">scoring responses: </w:t>
      </w:r>
    </w:p>
    <w:p w14:paraId="2722F4C0" w14:textId="631B32E2" w:rsidR="00D16F24" w:rsidRPr="001A6484" w:rsidRDefault="00872913" w:rsidP="00736288">
      <w:pPr>
        <w:pStyle w:val="Bullet"/>
      </w:pPr>
      <w:r>
        <w:t>u</w:t>
      </w:r>
      <w:r w:rsidR="00D16F24" w:rsidRPr="001A6484">
        <w:t>s</w:t>
      </w:r>
      <w:r w:rsidR="00CF2421">
        <w:t>ed</w:t>
      </w:r>
      <w:r w:rsidR="00D16F24" w:rsidRPr="001A6484">
        <w:t xml:space="preserve"> generic environments without specific detail</w:t>
      </w:r>
    </w:p>
    <w:p w14:paraId="3AFBEED5" w14:textId="7960A132" w:rsidR="00D16F24" w:rsidRPr="001A6484" w:rsidRDefault="00872913" w:rsidP="00736288">
      <w:pPr>
        <w:pStyle w:val="Bullet"/>
      </w:pPr>
      <w:r>
        <w:t>r</w:t>
      </w:r>
      <w:r w:rsidR="00D16F24" w:rsidRPr="001A6484">
        <w:t>eferr</w:t>
      </w:r>
      <w:r w:rsidR="00CF2421">
        <w:t>ed</w:t>
      </w:r>
      <w:r w:rsidR="00D16F24" w:rsidRPr="001A6484">
        <w:t xml:space="preserve"> to post-colonisation practices</w:t>
      </w:r>
    </w:p>
    <w:p w14:paraId="4DE6C2E6" w14:textId="3F8EB03A" w:rsidR="00764F3A" w:rsidRPr="001A6484" w:rsidRDefault="00872913" w:rsidP="00736288">
      <w:pPr>
        <w:pStyle w:val="Bullet"/>
      </w:pPr>
      <w:r>
        <w:t>g</w:t>
      </w:r>
      <w:r w:rsidR="00CF2421">
        <w:t>ave</w:t>
      </w:r>
      <w:r w:rsidR="00D16F24" w:rsidRPr="001A6484">
        <w:t xml:space="preserve"> vague or broad statements</w:t>
      </w:r>
      <w:r>
        <w:t>.</w:t>
      </w:r>
      <w:r w:rsidR="00D16F24" w:rsidRPr="001A6484">
        <w:t xml:space="preserve"> </w:t>
      </w:r>
    </w:p>
    <w:p w14:paraId="45F9B6CF" w14:textId="77777777" w:rsidR="001F7C99" w:rsidRDefault="001F7C99">
      <w:pPr>
        <w:spacing w:line="276" w:lineRule="auto"/>
        <w:rPr>
          <w:rFonts w:ascii="Arial" w:hAnsi="Arial" w:cs="Arial"/>
          <w:color w:val="000000" w:themeColor="text1"/>
          <w:sz w:val="20"/>
          <w:lang w:val="en-AU" w:eastAsia="en-AU"/>
        </w:rPr>
      </w:pPr>
      <w:r>
        <w:br w:type="page"/>
      </w:r>
    </w:p>
    <w:p w14:paraId="0D113B79" w14:textId="30A58EC7" w:rsidR="00872913" w:rsidRPr="001A6484" w:rsidRDefault="00872913" w:rsidP="00736288">
      <w:pPr>
        <w:pStyle w:val="BodyText"/>
      </w:pPr>
      <w:r>
        <w:lastRenderedPageBreak/>
        <w:t>The following is an example of a high-scoring student response.</w:t>
      </w:r>
    </w:p>
    <w:p w14:paraId="66D4FE1E" w14:textId="36893A84" w:rsidR="007D586F" w:rsidRPr="001448D4" w:rsidRDefault="007D586F" w:rsidP="00872913">
      <w:pPr>
        <w:pStyle w:val="BodyText"/>
        <w:ind w:left="284"/>
        <w:rPr>
          <w:rStyle w:val="Emphasis"/>
        </w:rPr>
      </w:pPr>
      <w:r w:rsidRPr="001448D4">
        <w:rPr>
          <w:rStyle w:val="Emphasis"/>
        </w:rPr>
        <w:t xml:space="preserve">The Wathaurong nations relationship with the Geelong/Bellarine region before colonisation (60,000 years ago) was one of deep cultural and spiritual connection, </w:t>
      </w:r>
      <w:r w:rsidR="001A6484" w:rsidRPr="001448D4">
        <w:rPr>
          <w:rStyle w:val="Emphasis"/>
        </w:rPr>
        <w:t>perceiving</w:t>
      </w:r>
      <w:r w:rsidRPr="001448D4">
        <w:rPr>
          <w:rStyle w:val="Emphasis"/>
        </w:rPr>
        <w:t xml:space="preserve"> themselves as custodians. They viewed the land as a mother that would care for and protect them. By living semi-nomadic lifestyles they would gather the </w:t>
      </w:r>
      <w:r w:rsidR="001A6484" w:rsidRPr="001448D4">
        <w:rPr>
          <w:rStyle w:val="Emphasis"/>
        </w:rPr>
        <w:t>Murrnong</w:t>
      </w:r>
      <w:r w:rsidRPr="001448D4">
        <w:rPr>
          <w:rStyle w:val="Emphasis"/>
        </w:rPr>
        <w:t xml:space="preserve"> Daisy slightly inland of </w:t>
      </w:r>
      <w:r w:rsidR="001A6484" w:rsidRPr="001448D4">
        <w:rPr>
          <w:rStyle w:val="Emphasis"/>
        </w:rPr>
        <w:t xml:space="preserve">Geelong’s </w:t>
      </w:r>
      <w:r w:rsidRPr="001448D4">
        <w:rPr>
          <w:rStyle w:val="Emphasis"/>
        </w:rPr>
        <w:t xml:space="preserve">Eastern beach, they would only take as much </w:t>
      </w:r>
      <w:r w:rsidR="001A6484" w:rsidRPr="001448D4">
        <w:rPr>
          <w:rStyle w:val="Emphasis"/>
        </w:rPr>
        <w:t>Murrnong</w:t>
      </w:r>
      <w:r w:rsidRPr="001448D4">
        <w:rPr>
          <w:rStyle w:val="Emphasis"/>
        </w:rPr>
        <w:t xml:space="preserve"> as they need, and would </w:t>
      </w:r>
      <w:r w:rsidR="001A6484" w:rsidRPr="001448D4">
        <w:rPr>
          <w:rStyle w:val="Emphasis"/>
        </w:rPr>
        <w:t>replant</w:t>
      </w:r>
      <w:r w:rsidRPr="001448D4">
        <w:rPr>
          <w:rStyle w:val="Emphasis"/>
        </w:rPr>
        <w:t xml:space="preserve"> the bulbs for future harvest. This ensured they </w:t>
      </w:r>
      <w:r w:rsidR="001A6484" w:rsidRPr="001448D4">
        <w:rPr>
          <w:rStyle w:val="Emphasis"/>
        </w:rPr>
        <w:t>didn’t deplete</w:t>
      </w:r>
      <w:r w:rsidRPr="001448D4">
        <w:rPr>
          <w:rStyle w:val="Emphasis"/>
        </w:rPr>
        <w:t xml:space="preserve"> resource</w:t>
      </w:r>
      <w:r w:rsidR="001A6484" w:rsidRPr="001448D4">
        <w:rPr>
          <w:rStyle w:val="Emphasis"/>
        </w:rPr>
        <w:t>s</w:t>
      </w:r>
      <w:r w:rsidRPr="001448D4">
        <w:rPr>
          <w:rStyle w:val="Emphasis"/>
        </w:rPr>
        <w:t>, making their method sustainable and less impactful on the environment, showing the symbiotic relationship the indigenous had</w:t>
      </w:r>
      <w:r w:rsidR="001A6484" w:rsidRPr="001448D4">
        <w:rPr>
          <w:rStyle w:val="Emphasis"/>
        </w:rPr>
        <w:t>.</w:t>
      </w:r>
    </w:p>
    <w:p w14:paraId="1DF4A111" w14:textId="2BE6D79D" w:rsidR="00563646" w:rsidRDefault="00563646" w:rsidP="00971A7E">
      <w:pPr>
        <w:pStyle w:val="Heading3"/>
      </w:pPr>
      <w:r>
        <w:t>Question 2</w:t>
      </w:r>
    </w:p>
    <w:tbl>
      <w:tblPr>
        <w:tblStyle w:val="VCAATableClosed"/>
        <w:tblW w:w="4997" w:type="pct"/>
        <w:tblLook w:val="04A0" w:firstRow="1" w:lastRow="0" w:firstColumn="1" w:lastColumn="0" w:noHBand="0" w:noVBand="1"/>
      </w:tblPr>
      <w:tblGrid>
        <w:gridCol w:w="1071"/>
        <w:gridCol w:w="1071"/>
        <w:gridCol w:w="1071"/>
        <w:gridCol w:w="1071"/>
        <w:gridCol w:w="1071"/>
        <w:gridCol w:w="1070"/>
        <w:gridCol w:w="1070"/>
        <w:gridCol w:w="1064"/>
        <w:gridCol w:w="1064"/>
      </w:tblGrid>
      <w:tr w:rsidR="00E71430" w:rsidRPr="00141A4D" w14:paraId="4F99F1E7" w14:textId="77777777" w:rsidTr="00E71430">
        <w:trPr>
          <w:cnfStyle w:val="100000000000" w:firstRow="1" w:lastRow="0" w:firstColumn="0" w:lastColumn="0" w:oddVBand="0" w:evenVBand="0" w:oddHBand="0" w:evenHBand="0" w:firstRowFirstColumn="0" w:firstRowLastColumn="0" w:lastRowFirstColumn="0" w:lastRowLastColumn="0"/>
        </w:trPr>
        <w:tc>
          <w:tcPr>
            <w:tcW w:w="556" w:type="pct"/>
          </w:tcPr>
          <w:p w14:paraId="0BCC8FE3" w14:textId="77777777" w:rsidR="00E71430" w:rsidRPr="00141A4D" w:rsidRDefault="00E71430" w:rsidP="00384DB7">
            <w:pPr>
              <w:pStyle w:val="Tablecondensedheading"/>
              <w:rPr>
                <w:lang w:val="en-AU"/>
              </w:rPr>
            </w:pPr>
            <w:r w:rsidRPr="00141A4D">
              <w:rPr>
                <w:lang w:val="en-AU"/>
              </w:rPr>
              <w:t>Mark</w:t>
            </w:r>
            <w:r>
              <w:rPr>
                <w:lang w:val="en-AU"/>
              </w:rPr>
              <w:t>s</w:t>
            </w:r>
          </w:p>
        </w:tc>
        <w:tc>
          <w:tcPr>
            <w:tcW w:w="556" w:type="pct"/>
          </w:tcPr>
          <w:p w14:paraId="41B8B32F" w14:textId="77777777" w:rsidR="00E71430" w:rsidRPr="00141A4D" w:rsidRDefault="00E71430" w:rsidP="00384DB7">
            <w:pPr>
              <w:pStyle w:val="Tablecondensedheading"/>
              <w:rPr>
                <w:lang w:val="en-AU"/>
              </w:rPr>
            </w:pPr>
            <w:r w:rsidRPr="00141A4D">
              <w:rPr>
                <w:lang w:val="en-AU"/>
              </w:rPr>
              <w:t>0</w:t>
            </w:r>
          </w:p>
        </w:tc>
        <w:tc>
          <w:tcPr>
            <w:tcW w:w="556" w:type="pct"/>
          </w:tcPr>
          <w:p w14:paraId="65BEE2FF" w14:textId="77777777" w:rsidR="00E71430" w:rsidRPr="00141A4D" w:rsidRDefault="00E71430" w:rsidP="00384DB7">
            <w:pPr>
              <w:pStyle w:val="Tablecondensedheading"/>
              <w:rPr>
                <w:lang w:val="en-AU"/>
              </w:rPr>
            </w:pPr>
            <w:r w:rsidRPr="00141A4D">
              <w:rPr>
                <w:lang w:val="en-AU"/>
              </w:rPr>
              <w:t>1</w:t>
            </w:r>
          </w:p>
        </w:tc>
        <w:tc>
          <w:tcPr>
            <w:tcW w:w="556" w:type="pct"/>
          </w:tcPr>
          <w:p w14:paraId="67173111" w14:textId="77777777" w:rsidR="00E71430" w:rsidRPr="00141A4D" w:rsidRDefault="00E71430" w:rsidP="00384DB7">
            <w:pPr>
              <w:pStyle w:val="Tablecondensedheading"/>
              <w:rPr>
                <w:lang w:val="en-AU"/>
              </w:rPr>
            </w:pPr>
            <w:r w:rsidRPr="00141A4D">
              <w:rPr>
                <w:lang w:val="en-AU"/>
              </w:rPr>
              <w:t>2</w:t>
            </w:r>
          </w:p>
        </w:tc>
        <w:tc>
          <w:tcPr>
            <w:tcW w:w="556" w:type="pct"/>
          </w:tcPr>
          <w:p w14:paraId="7FC2509C" w14:textId="77777777" w:rsidR="00E71430" w:rsidRPr="00141A4D" w:rsidRDefault="00E71430" w:rsidP="00384DB7">
            <w:pPr>
              <w:pStyle w:val="Tablecondensedheading"/>
              <w:rPr>
                <w:lang w:val="en-AU"/>
              </w:rPr>
            </w:pPr>
            <w:r w:rsidRPr="00141A4D">
              <w:rPr>
                <w:lang w:val="en-AU"/>
              </w:rPr>
              <w:t>3</w:t>
            </w:r>
          </w:p>
        </w:tc>
        <w:tc>
          <w:tcPr>
            <w:tcW w:w="556" w:type="pct"/>
          </w:tcPr>
          <w:p w14:paraId="7A900E5B" w14:textId="5D1ADB94" w:rsidR="00E71430" w:rsidRPr="00141A4D" w:rsidRDefault="00E71430" w:rsidP="00384DB7">
            <w:pPr>
              <w:pStyle w:val="Tablecondensedheading"/>
              <w:rPr>
                <w:lang w:val="en-AU"/>
              </w:rPr>
            </w:pPr>
            <w:r>
              <w:rPr>
                <w:lang w:val="en-AU"/>
              </w:rPr>
              <w:t>4</w:t>
            </w:r>
          </w:p>
        </w:tc>
        <w:tc>
          <w:tcPr>
            <w:tcW w:w="556" w:type="pct"/>
          </w:tcPr>
          <w:p w14:paraId="1B705FEC" w14:textId="7AD22ED9" w:rsidR="00E71430" w:rsidRPr="00141A4D" w:rsidRDefault="00E71430" w:rsidP="00384DB7">
            <w:pPr>
              <w:pStyle w:val="Tablecondensedheading"/>
              <w:rPr>
                <w:lang w:val="en-AU"/>
              </w:rPr>
            </w:pPr>
            <w:r>
              <w:rPr>
                <w:lang w:val="en-AU"/>
              </w:rPr>
              <w:t>5</w:t>
            </w:r>
          </w:p>
        </w:tc>
        <w:tc>
          <w:tcPr>
            <w:tcW w:w="553" w:type="pct"/>
          </w:tcPr>
          <w:p w14:paraId="790F78FB" w14:textId="2FE9F98F" w:rsidR="00E71430" w:rsidRPr="00141A4D" w:rsidRDefault="00E71430" w:rsidP="00384DB7">
            <w:pPr>
              <w:pStyle w:val="Tablecondensedheading"/>
              <w:rPr>
                <w:lang w:val="en-AU"/>
              </w:rPr>
            </w:pPr>
            <w:r>
              <w:rPr>
                <w:lang w:val="en-AU"/>
              </w:rPr>
              <w:t>6</w:t>
            </w:r>
          </w:p>
        </w:tc>
        <w:tc>
          <w:tcPr>
            <w:tcW w:w="553" w:type="pct"/>
          </w:tcPr>
          <w:p w14:paraId="5C9B5F0A" w14:textId="4BAE4EBD" w:rsidR="00E71430" w:rsidRPr="00141A4D" w:rsidRDefault="00E71430" w:rsidP="00384DB7">
            <w:pPr>
              <w:pStyle w:val="Tablecondensedheading"/>
              <w:rPr>
                <w:lang w:val="en-AU"/>
              </w:rPr>
            </w:pPr>
            <w:r w:rsidRPr="00141A4D">
              <w:rPr>
                <w:lang w:val="en-AU"/>
              </w:rPr>
              <w:t>Average</w:t>
            </w:r>
          </w:p>
        </w:tc>
      </w:tr>
      <w:tr w:rsidR="00E71430" w:rsidRPr="00141A4D" w14:paraId="559BCA57" w14:textId="77777777" w:rsidTr="00E71430">
        <w:tc>
          <w:tcPr>
            <w:tcW w:w="556" w:type="pct"/>
          </w:tcPr>
          <w:p w14:paraId="5FE1FAA4" w14:textId="77777777" w:rsidR="00E71430" w:rsidRPr="00141A4D" w:rsidRDefault="00E71430" w:rsidP="00384DB7">
            <w:pPr>
              <w:pStyle w:val="Tablecondensed"/>
              <w:rPr>
                <w:lang w:val="en-AU"/>
              </w:rPr>
            </w:pPr>
            <w:r w:rsidRPr="00141A4D">
              <w:rPr>
                <w:lang w:val="en-AU"/>
              </w:rPr>
              <w:t>%</w:t>
            </w:r>
          </w:p>
        </w:tc>
        <w:tc>
          <w:tcPr>
            <w:tcW w:w="556" w:type="pct"/>
            <w:vAlign w:val="bottom"/>
          </w:tcPr>
          <w:p w14:paraId="7B59499B" w14:textId="49B55A00" w:rsidR="00E71430" w:rsidRPr="00141A4D" w:rsidRDefault="00E71430" w:rsidP="00384DB7">
            <w:pPr>
              <w:pStyle w:val="Tablecondensed"/>
              <w:rPr>
                <w:lang w:val="en-AU"/>
              </w:rPr>
            </w:pPr>
            <w:r>
              <w:rPr>
                <w:lang w:val="en-AU"/>
              </w:rPr>
              <w:t>3</w:t>
            </w:r>
          </w:p>
        </w:tc>
        <w:tc>
          <w:tcPr>
            <w:tcW w:w="556" w:type="pct"/>
            <w:vAlign w:val="bottom"/>
          </w:tcPr>
          <w:p w14:paraId="2B69ABF5" w14:textId="2CA50742" w:rsidR="00E71430" w:rsidRPr="00141A4D" w:rsidRDefault="00AD398C" w:rsidP="00384DB7">
            <w:pPr>
              <w:pStyle w:val="Tablecondensed"/>
              <w:rPr>
                <w:lang w:val="en-AU"/>
              </w:rPr>
            </w:pPr>
            <w:r>
              <w:rPr>
                <w:lang w:val="en-AU"/>
              </w:rPr>
              <w:t>3</w:t>
            </w:r>
          </w:p>
        </w:tc>
        <w:tc>
          <w:tcPr>
            <w:tcW w:w="556" w:type="pct"/>
            <w:vAlign w:val="bottom"/>
          </w:tcPr>
          <w:p w14:paraId="0FF69805" w14:textId="4A2BEAD5" w:rsidR="00E71430" w:rsidRPr="00141A4D" w:rsidRDefault="00E71430" w:rsidP="00384DB7">
            <w:pPr>
              <w:pStyle w:val="Tablecondensed"/>
              <w:rPr>
                <w:lang w:val="en-AU"/>
              </w:rPr>
            </w:pPr>
            <w:r>
              <w:rPr>
                <w:lang w:val="en-AU"/>
              </w:rPr>
              <w:t>8</w:t>
            </w:r>
          </w:p>
        </w:tc>
        <w:tc>
          <w:tcPr>
            <w:tcW w:w="556" w:type="pct"/>
            <w:vAlign w:val="bottom"/>
          </w:tcPr>
          <w:p w14:paraId="0232AC45" w14:textId="3098C7ED" w:rsidR="00E71430" w:rsidRPr="00141A4D" w:rsidRDefault="00E71430" w:rsidP="00384DB7">
            <w:pPr>
              <w:pStyle w:val="Tablecondensed"/>
              <w:rPr>
                <w:lang w:val="en-AU"/>
              </w:rPr>
            </w:pPr>
            <w:r>
              <w:rPr>
                <w:lang w:val="en-AU"/>
              </w:rPr>
              <w:t>17</w:t>
            </w:r>
          </w:p>
        </w:tc>
        <w:tc>
          <w:tcPr>
            <w:tcW w:w="556" w:type="pct"/>
          </w:tcPr>
          <w:p w14:paraId="6F5E7166" w14:textId="4027A4CF" w:rsidR="00E71430" w:rsidRDefault="00E71430" w:rsidP="00384DB7">
            <w:pPr>
              <w:pStyle w:val="Tablecondensed"/>
              <w:rPr>
                <w:lang w:val="en-AU"/>
              </w:rPr>
            </w:pPr>
            <w:r>
              <w:rPr>
                <w:lang w:val="en-AU"/>
              </w:rPr>
              <w:t>20</w:t>
            </w:r>
          </w:p>
        </w:tc>
        <w:tc>
          <w:tcPr>
            <w:tcW w:w="556" w:type="pct"/>
          </w:tcPr>
          <w:p w14:paraId="04C43B60" w14:textId="1862CD77" w:rsidR="00E71430" w:rsidRDefault="00E71430" w:rsidP="00384DB7">
            <w:pPr>
              <w:pStyle w:val="Tablecondensed"/>
              <w:rPr>
                <w:lang w:val="en-AU"/>
              </w:rPr>
            </w:pPr>
            <w:r>
              <w:rPr>
                <w:lang w:val="en-AU"/>
              </w:rPr>
              <w:t>22</w:t>
            </w:r>
          </w:p>
        </w:tc>
        <w:tc>
          <w:tcPr>
            <w:tcW w:w="553" w:type="pct"/>
          </w:tcPr>
          <w:p w14:paraId="7EEBFB55" w14:textId="67055316" w:rsidR="00E71430" w:rsidRDefault="00E71430" w:rsidP="00384DB7">
            <w:pPr>
              <w:pStyle w:val="Tablecondensed"/>
              <w:rPr>
                <w:lang w:val="en-AU"/>
              </w:rPr>
            </w:pPr>
            <w:r>
              <w:rPr>
                <w:lang w:val="en-AU"/>
              </w:rPr>
              <w:t>27</w:t>
            </w:r>
          </w:p>
        </w:tc>
        <w:tc>
          <w:tcPr>
            <w:tcW w:w="553" w:type="pct"/>
          </w:tcPr>
          <w:p w14:paraId="6D078C3C" w14:textId="002B2CF6" w:rsidR="00E71430" w:rsidRPr="00141A4D" w:rsidRDefault="00E71430" w:rsidP="00384DB7">
            <w:pPr>
              <w:pStyle w:val="Tablecondensed"/>
              <w:rPr>
                <w:lang w:val="en-AU"/>
              </w:rPr>
            </w:pPr>
            <w:r>
              <w:rPr>
                <w:lang w:val="en-AU"/>
              </w:rPr>
              <w:t>4.2</w:t>
            </w:r>
          </w:p>
        </w:tc>
      </w:tr>
    </w:tbl>
    <w:p w14:paraId="7AA15650" w14:textId="77777777" w:rsidR="00D701C9" w:rsidRDefault="00D16F24" w:rsidP="00736288">
      <w:pPr>
        <w:pStyle w:val="BodyText"/>
      </w:pPr>
      <w:r w:rsidRPr="00D16F24">
        <w:t>Students were required to use the time periods provided to outline non-Indigenous peoples’ relationships with the Yarra River as shown in Images A, B and C.</w:t>
      </w:r>
    </w:p>
    <w:p w14:paraId="03DC0FE2" w14:textId="38BF2115" w:rsidR="00D16F24" w:rsidRDefault="00D16F24" w:rsidP="00736288">
      <w:pPr>
        <w:pStyle w:val="BodyText"/>
      </w:pPr>
      <w:r w:rsidRPr="00D16F24">
        <w:t>High-scoring responses linked each image to the correct historical period and described how non-Indigenous peoples perceived, interacted with and used the river at that time.</w:t>
      </w:r>
    </w:p>
    <w:p w14:paraId="3BCAD37C" w14:textId="77777777" w:rsidR="00CF2421" w:rsidRPr="001A6484" w:rsidRDefault="00CF2421" w:rsidP="00CF2421">
      <w:pPr>
        <w:pStyle w:val="BodyText"/>
      </w:pPr>
      <w:r>
        <w:t>L</w:t>
      </w:r>
      <w:r w:rsidRPr="00410AA4">
        <w:t>ower</w:t>
      </w:r>
      <w:r>
        <w:t>-</w:t>
      </w:r>
      <w:r w:rsidRPr="00410AA4">
        <w:t xml:space="preserve">scoring responses: </w:t>
      </w:r>
    </w:p>
    <w:p w14:paraId="15F841B9" w14:textId="41039ADD" w:rsidR="00D16F24" w:rsidRPr="00D16F24" w:rsidRDefault="00CF2421" w:rsidP="00736288">
      <w:pPr>
        <w:pStyle w:val="Bullet"/>
      </w:pPr>
      <w:r>
        <w:t>did no</w:t>
      </w:r>
      <w:r w:rsidR="00872913" w:rsidRPr="00D16F24">
        <w:t xml:space="preserve">t </w:t>
      </w:r>
      <w:r w:rsidR="00D16F24" w:rsidRPr="00D16F24">
        <w:t xml:space="preserve">link </w:t>
      </w:r>
      <w:r w:rsidR="00764F3A">
        <w:t>the outline of each relationship</w:t>
      </w:r>
      <w:r w:rsidR="00D16F24" w:rsidRPr="00D16F24">
        <w:t xml:space="preserve"> directly to each image</w:t>
      </w:r>
    </w:p>
    <w:p w14:paraId="6FFE1418" w14:textId="654BFFA0" w:rsidR="00D16F24" w:rsidRPr="00D16F24" w:rsidRDefault="00872913" w:rsidP="00736288">
      <w:pPr>
        <w:pStyle w:val="Bullet"/>
      </w:pPr>
      <w:r>
        <w:t>a</w:t>
      </w:r>
      <w:r w:rsidRPr="00D16F24">
        <w:t>ppl</w:t>
      </w:r>
      <w:r w:rsidR="00CF2421">
        <w:t>ied</w:t>
      </w:r>
      <w:r w:rsidRPr="00D16F24">
        <w:t xml:space="preserve"> </w:t>
      </w:r>
      <w:r w:rsidR="00D16F24" w:rsidRPr="00D16F24">
        <w:t>the wrong historical time period to an image</w:t>
      </w:r>
    </w:p>
    <w:p w14:paraId="0155DE46" w14:textId="47E7A90F" w:rsidR="00D16F24" w:rsidRPr="00D16F24" w:rsidRDefault="00186BE2" w:rsidP="00736288">
      <w:pPr>
        <w:pStyle w:val="Bullet"/>
      </w:pPr>
      <w:r>
        <w:t>outlined</w:t>
      </w:r>
      <w:r w:rsidRPr="00D16F24">
        <w:t xml:space="preserve"> </w:t>
      </w:r>
      <w:r w:rsidR="00D16F24" w:rsidRPr="00D16F24">
        <w:t>Indigenous relationships instead of non-Indigenous</w:t>
      </w:r>
      <w:r w:rsidR="00872913" w:rsidRPr="00872913">
        <w:t xml:space="preserve"> </w:t>
      </w:r>
      <w:r w:rsidR="00872913" w:rsidRPr="00D16F24">
        <w:t>relationships</w:t>
      </w:r>
    </w:p>
    <w:p w14:paraId="563CD927" w14:textId="6C0C0092" w:rsidR="00D16F24" w:rsidRPr="00D16F24" w:rsidRDefault="00872913" w:rsidP="00736288">
      <w:pPr>
        <w:pStyle w:val="Bullet"/>
      </w:pPr>
      <w:r>
        <w:t>p</w:t>
      </w:r>
      <w:r w:rsidRPr="00D16F24">
        <w:t>rovid</w:t>
      </w:r>
      <w:r w:rsidR="00CF2421">
        <w:t>ed</w:t>
      </w:r>
      <w:r w:rsidRPr="00D16F24">
        <w:t xml:space="preserve"> </w:t>
      </w:r>
      <w:r w:rsidR="00D16F24" w:rsidRPr="00D16F24">
        <w:t>broad comments without referring to visual details in the images.</w:t>
      </w:r>
    </w:p>
    <w:p w14:paraId="1333C0D1" w14:textId="237EDE06" w:rsidR="00943BB7" w:rsidRPr="00736288" w:rsidRDefault="00943BB7" w:rsidP="00736288">
      <w:pPr>
        <w:pStyle w:val="BodyText"/>
      </w:pPr>
      <w:r>
        <w:t>The following is an example of a high-scoring student response.</w:t>
      </w:r>
    </w:p>
    <w:p w14:paraId="61F9910E" w14:textId="55183EC1" w:rsidR="002A2696" w:rsidRPr="001448D4" w:rsidRDefault="002A2696" w:rsidP="00943BB7">
      <w:pPr>
        <w:pStyle w:val="BodyText"/>
        <w:ind w:left="284"/>
        <w:rPr>
          <w:rStyle w:val="Emphasis"/>
        </w:rPr>
      </w:pPr>
      <w:r w:rsidRPr="001448D4">
        <w:rPr>
          <w:rStyle w:val="Emphasis"/>
        </w:rPr>
        <w:t>Image A</w:t>
      </w:r>
      <w:r w:rsidRPr="001448D4">
        <w:rPr>
          <w:rStyle w:val="Emphasis"/>
        </w:rPr>
        <w:br/>
        <w:t>This image of the Yarra in early colonisation signifies that settlers were drawn to coastal and river environments where they felt familiar. Their perception was that the land was unowned and therefore a land of opportunity</w:t>
      </w:r>
      <w:r w:rsidR="00764F3A" w:rsidRPr="001448D4">
        <w:rPr>
          <w:rStyle w:val="Emphasis"/>
        </w:rPr>
        <w:t xml:space="preserve">, </w:t>
      </w:r>
      <w:r w:rsidRPr="001448D4">
        <w:rPr>
          <w:rStyle w:val="Emphasis"/>
        </w:rPr>
        <w:t>somewhere to be developed, farmed</w:t>
      </w:r>
      <w:r w:rsidR="00764F3A" w:rsidRPr="001448D4">
        <w:rPr>
          <w:rStyle w:val="Emphasis"/>
        </w:rPr>
        <w:t xml:space="preserve"> (you can see farmland in this image)</w:t>
      </w:r>
      <w:r w:rsidRPr="001448D4">
        <w:rPr>
          <w:rStyle w:val="Emphasis"/>
        </w:rPr>
        <w:t xml:space="preserve"> and ‘improved’ according to European ideals.</w:t>
      </w:r>
    </w:p>
    <w:p w14:paraId="3E3EAD0A" w14:textId="4654C606" w:rsidR="002A2696" w:rsidRPr="001448D4" w:rsidRDefault="002A2696" w:rsidP="00943BB7">
      <w:pPr>
        <w:pStyle w:val="BodyText"/>
        <w:ind w:left="284"/>
        <w:rPr>
          <w:rStyle w:val="Emphasis"/>
        </w:rPr>
      </w:pPr>
      <w:r w:rsidRPr="001448D4">
        <w:rPr>
          <w:rStyle w:val="Emphasis"/>
        </w:rPr>
        <w:t>Image B</w:t>
      </w:r>
      <w:r w:rsidRPr="001448D4">
        <w:rPr>
          <w:rStyle w:val="Emphasis"/>
        </w:rPr>
        <w:br/>
        <w:t xml:space="preserve">This image </w:t>
      </w:r>
      <w:r w:rsidR="00764F3A" w:rsidRPr="001448D4">
        <w:rPr>
          <w:rStyle w:val="Emphasis"/>
        </w:rPr>
        <w:t>shows a large sailboat coming into a the Yara River. This would have connected with</w:t>
      </w:r>
      <w:r w:rsidRPr="001448D4">
        <w:rPr>
          <w:rStyle w:val="Emphasis"/>
        </w:rPr>
        <w:t xml:space="preserve"> the rapid increase in population during the pre-Federation period, particularly influenced by the gold rush. The ships represent merchants and gold seekers arriving into the ports before travelling onwards to regions such as Ballarat and Bendigo. This demonstrates a relationship in which the river was viewed as a gateway to economic opportunity and national expansion.</w:t>
      </w:r>
    </w:p>
    <w:p w14:paraId="05812224" w14:textId="61D4335F" w:rsidR="002A2696" w:rsidRPr="001448D4" w:rsidRDefault="002A2696" w:rsidP="00943BB7">
      <w:pPr>
        <w:pStyle w:val="BodyText"/>
        <w:ind w:left="284"/>
        <w:rPr>
          <w:rStyle w:val="Emphasis"/>
        </w:rPr>
      </w:pPr>
      <w:r w:rsidRPr="001448D4">
        <w:rPr>
          <w:rStyle w:val="Emphasis"/>
        </w:rPr>
        <w:t>Image C</w:t>
      </w:r>
      <w:r w:rsidRPr="001448D4">
        <w:rPr>
          <w:rStyle w:val="Emphasis"/>
        </w:rPr>
        <w:br/>
        <w:t>This image reflects the significant population growth and industrialisation of Melbourne</w:t>
      </w:r>
      <w:r w:rsidR="00764F3A" w:rsidRPr="001448D4">
        <w:rPr>
          <w:rStyle w:val="Emphasis"/>
        </w:rPr>
        <w:t xml:space="preserve"> with large buildings and a smog line of pollution evident</w:t>
      </w:r>
      <w:r w:rsidRPr="001448D4">
        <w:rPr>
          <w:rStyle w:val="Emphasis"/>
        </w:rPr>
        <w:t>. Development along the river illustrates a perception of the environment as a resource to support infrastructure, industry and national progress. It highlights how the Yarra was increasingly modified to facilitate urban growth and economic development.</w:t>
      </w:r>
    </w:p>
    <w:p w14:paraId="51A5DFBC" w14:textId="77777777" w:rsidR="001F7C99" w:rsidRDefault="001F7C99">
      <w:pPr>
        <w:spacing w:line="276" w:lineRule="auto"/>
        <w:rPr>
          <w:rFonts w:ascii="Arial" w:hAnsi="Arial" w:cs="Arial"/>
          <w:color w:val="0F7EB4"/>
          <w:sz w:val="32"/>
          <w:szCs w:val="24"/>
          <w:lang w:val="en-AU"/>
        </w:rPr>
      </w:pPr>
      <w:r>
        <w:br w:type="page"/>
      </w:r>
    </w:p>
    <w:p w14:paraId="41F85129" w14:textId="50EE0786" w:rsidR="00563646" w:rsidRDefault="00563646" w:rsidP="00736288">
      <w:pPr>
        <w:pStyle w:val="Heading3"/>
      </w:pPr>
      <w:r>
        <w:lastRenderedPageBreak/>
        <w:t>Question 3a</w:t>
      </w:r>
      <w:r w:rsidR="001F7C99">
        <w:t>.</w:t>
      </w:r>
    </w:p>
    <w:tbl>
      <w:tblPr>
        <w:tblStyle w:val="VCAATableClosed"/>
        <w:tblW w:w="3333" w:type="pct"/>
        <w:tblLook w:val="04A0" w:firstRow="1" w:lastRow="0" w:firstColumn="1" w:lastColumn="0" w:noHBand="0" w:noVBand="1"/>
      </w:tblPr>
      <w:tblGrid>
        <w:gridCol w:w="1068"/>
        <w:gridCol w:w="1071"/>
        <w:gridCol w:w="1069"/>
        <w:gridCol w:w="1071"/>
        <w:gridCol w:w="1069"/>
        <w:gridCol w:w="1071"/>
      </w:tblGrid>
      <w:tr w:rsidR="00E71430" w:rsidRPr="00141A4D" w14:paraId="74E0505A" w14:textId="77777777" w:rsidTr="00384DB7">
        <w:trPr>
          <w:cnfStyle w:val="100000000000" w:firstRow="1" w:lastRow="0" w:firstColumn="0" w:lastColumn="0" w:oddVBand="0" w:evenVBand="0" w:oddHBand="0" w:evenHBand="0" w:firstRowFirstColumn="0" w:firstRowLastColumn="0" w:lastRowFirstColumn="0" w:lastRowLastColumn="0"/>
        </w:trPr>
        <w:tc>
          <w:tcPr>
            <w:tcW w:w="832" w:type="pct"/>
          </w:tcPr>
          <w:p w14:paraId="5ECE16E2" w14:textId="77777777" w:rsidR="00E71430" w:rsidRPr="00141A4D" w:rsidRDefault="00E71430" w:rsidP="00384DB7">
            <w:pPr>
              <w:pStyle w:val="Tablecondensedheading"/>
              <w:rPr>
                <w:lang w:val="en-AU"/>
              </w:rPr>
            </w:pPr>
            <w:r w:rsidRPr="00141A4D">
              <w:rPr>
                <w:lang w:val="en-AU"/>
              </w:rPr>
              <w:t>Mark</w:t>
            </w:r>
            <w:r>
              <w:rPr>
                <w:lang w:val="en-AU"/>
              </w:rPr>
              <w:t>s</w:t>
            </w:r>
          </w:p>
        </w:tc>
        <w:tc>
          <w:tcPr>
            <w:tcW w:w="834" w:type="pct"/>
          </w:tcPr>
          <w:p w14:paraId="2350C348" w14:textId="77777777" w:rsidR="00E71430" w:rsidRPr="00141A4D" w:rsidRDefault="00E71430" w:rsidP="00384DB7">
            <w:pPr>
              <w:pStyle w:val="Tablecondensedheading"/>
              <w:rPr>
                <w:lang w:val="en-AU"/>
              </w:rPr>
            </w:pPr>
            <w:r w:rsidRPr="00141A4D">
              <w:rPr>
                <w:lang w:val="en-AU"/>
              </w:rPr>
              <w:t>0</w:t>
            </w:r>
          </w:p>
        </w:tc>
        <w:tc>
          <w:tcPr>
            <w:tcW w:w="833" w:type="pct"/>
          </w:tcPr>
          <w:p w14:paraId="6C605933" w14:textId="77777777" w:rsidR="00E71430" w:rsidRPr="00141A4D" w:rsidRDefault="00E71430" w:rsidP="00384DB7">
            <w:pPr>
              <w:pStyle w:val="Tablecondensedheading"/>
              <w:rPr>
                <w:lang w:val="en-AU"/>
              </w:rPr>
            </w:pPr>
            <w:r w:rsidRPr="00141A4D">
              <w:rPr>
                <w:lang w:val="en-AU"/>
              </w:rPr>
              <w:t>1</w:t>
            </w:r>
          </w:p>
        </w:tc>
        <w:tc>
          <w:tcPr>
            <w:tcW w:w="834" w:type="pct"/>
          </w:tcPr>
          <w:p w14:paraId="474AF4A2" w14:textId="77777777" w:rsidR="00E71430" w:rsidRPr="00141A4D" w:rsidRDefault="00E71430" w:rsidP="00384DB7">
            <w:pPr>
              <w:pStyle w:val="Tablecondensedheading"/>
              <w:rPr>
                <w:lang w:val="en-AU"/>
              </w:rPr>
            </w:pPr>
            <w:r w:rsidRPr="00141A4D">
              <w:rPr>
                <w:lang w:val="en-AU"/>
              </w:rPr>
              <w:t>2</w:t>
            </w:r>
          </w:p>
        </w:tc>
        <w:tc>
          <w:tcPr>
            <w:tcW w:w="833" w:type="pct"/>
          </w:tcPr>
          <w:p w14:paraId="2197D57A" w14:textId="77777777" w:rsidR="00E71430" w:rsidRPr="00141A4D" w:rsidRDefault="00E71430" w:rsidP="00384DB7">
            <w:pPr>
              <w:pStyle w:val="Tablecondensedheading"/>
              <w:rPr>
                <w:lang w:val="en-AU"/>
              </w:rPr>
            </w:pPr>
            <w:r w:rsidRPr="00141A4D">
              <w:rPr>
                <w:lang w:val="en-AU"/>
              </w:rPr>
              <w:t>3</w:t>
            </w:r>
          </w:p>
        </w:tc>
        <w:tc>
          <w:tcPr>
            <w:tcW w:w="834" w:type="pct"/>
          </w:tcPr>
          <w:p w14:paraId="58E56F01" w14:textId="77777777" w:rsidR="00E71430" w:rsidRPr="00141A4D" w:rsidRDefault="00E71430" w:rsidP="00384DB7">
            <w:pPr>
              <w:pStyle w:val="Tablecondensedheading"/>
              <w:rPr>
                <w:lang w:val="en-AU"/>
              </w:rPr>
            </w:pPr>
            <w:r w:rsidRPr="00141A4D">
              <w:rPr>
                <w:lang w:val="en-AU"/>
              </w:rPr>
              <w:t>Average</w:t>
            </w:r>
          </w:p>
        </w:tc>
      </w:tr>
      <w:tr w:rsidR="00E71430" w:rsidRPr="00141A4D" w14:paraId="73B06197" w14:textId="77777777" w:rsidTr="00384DB7">
        <w:tc>
          <w:tcPr>
            <w:tcW w:w="832" w:type="pct"/>
          </w:tcPr>
          <w:p w14:paraId="5C77887A" w14:textId="77777777" w:rsidR="00E71430" w:rsidRPr="00141A4D" w:rsidRDefault="00E71430" w:rsidP="00384DB7">
            <w:pPr>
              <w:pStyle w:val="Tablecondensed"/>
              <w:rPr>
                <w:lang w:val="en-AU"/>
              </w:rPr>
            </w:pPr>
            <w:r w:rsidRPr="00141A4D">
              <w:rPr>
                <w:lang w:val="en-AU"/>
              </w:rPr>
              <w:t>%</w:t>
            </w:r>
          </w:p>
        </w:tc>
        <w:tc>
          <w:tcPr>
            <w:tcW w:w="834" w:type="pct"/>
            <w:vAlign w:val="bottom"/>
          </w:tcPr>
          <w:p w14:paraId="70BB8CDB" w14:textId="0037366C" w:rsidR="00E71430" w:rsidRPr="00141A4D" w:rsidRDefault="00E71430" w:rsidP="00384DB7">
            <w:pPr>
              <w:pStyle w:val="Tablecondensed"/>
              <w:rPr>
                <w:lang w:val="en-AU"/>
              </w:rPr>
            </w:pPr>
            <w:r>
              <w:rPr>
                <w:lang w:val="en-AU"/>
              </w:rPr>
              <w:t>10</w:t>
            </w:r>
          </w:p>
        </w:tc>
        <w:tc>
          <w:tcPr>
            <w:tcW w:w="833" w:type="pct"/>
            <w:vAlign w:val="bottom"/>
          </w:tcPr>
          <w:p w14:paraId="661793E9" w14:textId="0D3972F4" w:rsidR="00E71430" w:rsidRPr="00141A4D" w:rsidRDefault="00E71430" w:rsidP="00384DB7">
            <w:pPr>
              <w:pStyle w:val="Tablecondensed"/>
              <w:rPr>
                <w:lang w:val="en-AU"/>
              </w:rPr>
            </w:pPr>
            <w:r>
              <w:rPr>
                <w:lang w:val="en-AU"/>
              </w:rPr>
              <w:t>16</w:t>
            </w:r>
          </w:p>
        </w:tc>
        <w:tc>
          <w:tcPr>
            <w:tcW w:w="834" w:type="pct"/>
            <w:vAlign w:val="bottom"/>
          </w:tcPr>
          <w:p w14:paraId="31923021" w14:textId="67C9631E" w:rsidR="00E71430" w:rsidRPr="00141A4D" w:rsidRDefault="00E71430" w:rsidP="00384DB7">
            <w:pPr>
              <w:pStyle w:val="Tablecondensed"/>
              <w:rPr>
                <w:lang w:val="en-AU"/>
              </w:rPr>
            </w:pPr>
            <w:r w:rsidRPr="00943BB7">
              <w:rPr>
                <w:lang w:val="en-AU"/>
              </w:rPr>
              <w:t>32</w:t>
            </w:r>
          </w:p>
        </w:tc>
        <w:tc>
          <w:tcPr>
            <w:tcW w:w="833" w:type="pct"/>
            <w:vAlign w:val="bottom"/>
          </w:tcPr>
          <w:p w14:paraId="504D3DB3" w14:textId="6220BEC0" w:rsidR="00E71430" w:rsidRPr="00141A4D" w:rsidRDefault="00E71430" w:rsidP="00384DB7">
            <w:pPr>
              <w:pStyle w:val="Tablecondensed"/>
              <w:rPr>
                <w:lang w:val="en-AU"/>
              </w:rPr>
            </w:pPr>
            <w:r>
              <w:rPr>
                <w:lang w:val="en-AU"/>
              </w:rPr>
              <w:t>42</w:t>
            </w:r>
          </w:p>
        </w:tc>
        <w:tc>
          <w:tcPr>
            <w:tcW w:w="834" w:type="pct"/>
          </w:tcPr>
          <w:p w14:paraId="3E44E274" w14:textId="1654AB73" w:rsidR="00E71430" w:rsidRPr="00141A4D" w:rsidRDefault="00E71430" w:rsidP="00384DB7">
            <w:pPr>
              <w:pStyle w:val="Tablecondensed"/>
              <w:rPr>
                <w:lang w:val="en-AU"/>
              </w:rPr>
            </w:pPr>
            <w:r>
              <w:rPr>
                <w:lang w:val="en-AU"/>
              </w:rPr>
              <w:t>2</w:t>
            </w:r>
            <w:r w:rsidR="00AD398C">
              <w:rPr>
                <w:lang w:val="en-AU"/>
              </w:rPr>
              <w:t>.1</w:t>
            </w:r>
          </w:p>
        </w:tc>
      </w:tr>
    </w:tbl>
    <w:p w14:paraId="3BB3ED6D" w14:textId="77777777" w:rsidR="00664FCA" w:rsidRDefault="00D16F24" w:rsidP="00736288">
      <w:pPr>
        <w:pStyle w:val="BodyText"/>
      </w:pPr>
      <w:r w:rsidRPr="00D16F24">
        <w:t>Students were required to use a specific example to describe how a pre-1990 historical environmental campaign began.</w:t>
      </w:r>
    </w:p>
    <w:p w14:paraId="4148641F" w14:textId="40FE2E0A" w:rsidR="00D16F24" w:rsidRPr="00D16F24" w:rsidRDefault="00D16F24" w:rsidP="00736288">
      <w:pPr>
        <w:pStyle w:val="BodyText"/>
      </w:pPr>
      <w:r w:rsidRPr="00D16F24">
        <w:t xml:space="preserve">High-scoring responses identified a correct campaign and </w:t>
      </w:r>
      <w:r w:rsidR="00664FCA">
        <w:t xml:space="preserve">selected </w:t>
      </w:r>
      <w:r w:rsidR="00443118">
        <w:t>a specific example of th</w:t>
      </w:r>
      <w:r w:rsidR="001F7C99">
        <w:t>e</w:t>
      </w:r>
      <w:r w:rsidR="00443118">
        <w:t xml:space="preserve"> campaign</w:t>
      </w:r>
      <w:r w:rsidR="001F7C99">
        <w:t>’</w:t>
      </w:r>
      <w:r w:rsidR="00443118">
        <w:t xml:space="preserve">s </w:t>
      </w:r>
      <w:r w:rsidRPr="00D16F24">
        <w:t>origins using</w:t>
      </w:r>
      <w:r w:rsidR="00443118">
        <w:t xml:space="preserve"> </w:t>
      </w:r>
      <w:r w:rsidRPr="00D16F24">
        <w:t>accurate dates, key events, locations and organisations involved.</w:t>
      </w:r>
    </w:p>
    <w:p w14:paraId="796ED2D6" w14:textId="77777777" w:rsidR="00CF2421" w:rsidRPr="001A6484" w:rsidRDefault="00CF2421" w:rsidP="00CF2421">
      <w:pPr>
        <w:pStyle w:val="BodyText"/>
      </w:pPr>
      <w:r>
        <w:t>L</w:t>
      </w:r>
      <w:r w:rsidRPr="00410AA4">
        <w:t>ower</w:t>
      </w:r>
      <w:r>
        <w:t>-</w:t>
      </w:r>
      <w:r w:rsidRPr="00410AA4">
        <w:t xml:space="preserve">scoring responses: </w:t>
      </w:r>
    </w:p>
    <w:p w14:paraId="5A660D4E" w14:textId="42F1FDE5" w:rsidR="00D16F24" w:rsidRPr="00D16F24" w:rsidRDefault="00CF2421" w:rsidP="00736288">
      <w:pPr>
        <w:pStyle w:val="Bullet"/>
      </w:pPr>
      <w:r>
        <w:t xml:space="preserve">did </w:t>
      </w:r>
      <w:r w:rsidR="00943BB7">
        <w:t>n</w:t>
      </w:r>
      <w:r w:rsidR="00943BB7" w:rsidRPr="00D16F24">
        <w:t xml:space="preserve">ot </w:t>
      </w:r>
      <w:r w:rsidR="00D16F24" w:rsidRPr="00D16F24">
        <w:t>includ</w:t>
      </w:r>
      <w:r>
        <w:t>e</w:t>
      </w:r>
      <w:r w:rsidR="00D16F24" w:rsidRPr="00D16F24">
        <w:t xml:space="preserve"> specific historical details such as dates, people, organisations or places</w:t>
      </w:r>
    </w:p>
    <w:p w14:paraId="18194414" w14:textId="01FF7633" w:rsidR="00D16F24" w:rsidRPr="00D16F24" w:rsidRDefault="00943BB7" w:rsidP="00736288">
      <w:pPr>
        <w:pStyle w:val="Bullet"/>
      </w:pPr>
      <w:r>
        <w:t>s</w:t>
      </w:r>
      <w:r w:rsidRPr="00D16F24">
        <w:t>elect</w:t>
      </w:r>
      <w:r w:rsidR="00CF2421">
        <w:t>ed</w:t>
      </w:r>
      <w:r w:rsidRPr="00D16F24">
        <w:t xml:space="preserve"> </w:t>
      </w:r>
      <w:r w:rsidR="00D16F24" w:rsidRPr="00D16F24">
        <w:t>post-1990 campaigns, which did not meet the requirements</w:t>
      </w:r>
    </w:p>
    <w:p w14:paraId="1C556578" w14:textId="291939BC" w:rsidR="00D16F24" w:rsidRPr="00D16F24" w:rsidRDefault="00943BB7" w:rsidP="00736288">
      <w:pPr>
        <w:pStyle w:val="Bullet"/>
      </w:pPr>
      <w:r>
        <w:t>g</w:t>
      </w:r>
      <w:r w:rsidR="00CF2421">
        <w:t>ave</w:t>
      </w:r>
      <w:r w:rsidRPr="00D16F24">
        <w:t xml:space="preserve"> </w:t>
      </w:r>
      <w:r w:rsidR="00D16F24" w:rsidRPr="00D16F24">
        <w:t>general statements about environmental concern instead of explaining how the campaign began</w:t>
      </w:r>
    </w:p>
    <w:p w14:paraId="13227AE6" w14:textId="765C11F3" w:rsidR="00D16F24" w:rsidRPr="00D16F24" w:rsidRDefault="00943BB7" w:rsidP="00736288">
      <w:pPr>
        <w:pStyle w:val="Bullet"/>
      </w:pPr>
      <w:r>
        <w:t>m</w:t>
      </w:r>
      <w:r w:rsidRPr="00D16F24">
        <w:t>ix</w:t>
      </w:r>
      <w:r w:rsidR="00CF2421">
        <w:t>ed</w:t>
      </w:r>
      <w:r w:rsidRPr="00D16F24">
        <w:t xml:space="preserve"> </w:t>
      </w:r>
      <w:r w:rsidR="00D16F24" w:rsidRPr="00D16F24">
        <w:t>up the campaign’s origins with later actions or outcomes</w:t>
      </w:r>
    </w:p>
    <w:p w14:paraId="4B27E913" w14:textId="6796BC00" w:rsidR="00943BB7" w:rsidRDefault="00943BB7" w:rsidP="00F12442">
      <w:pPr>
        <w:pStyle w:val="Bullet"/>
      </w:pPr>
      <w:r>
        <w:t>p</w:t>
      </w:r>
      <w:r w:rsidRPr="00D16F24">
        <w:t>rovid</w:t>
      </w:r>
      <w:r w:rsidR="00CF2421">
        <w:t>ed</w:t>
      </w:r>
      <w:r w:rsidRPr="00D16F24">
        <w:t xml:space="preserve"> </w:t>
      </w:r>
      <w:r w:rsidR="00D16F24" w:rsidRPr="00D16F24">
        <w:t>limited or inaccurate historical context.</w:t>
      </w:r>
    </w:p>
    <w:p w14:paraId="0B0887AB" w14:textId="77777777" w:rsidR="00943BB7" w:rsidRPr="00736288" w:rsidRDefault="00943BB7" w:rsidP="00943BB7">
      <w:pPr>
        <w:pStyle w:val="BodyText"/>
      </w:pPr>
      <w:r>
        <w:t>The following is an example of a high-scoring student response.</w:t>
      </w:r>
    </w:p>
    <w:p w14:paraId="511AA1E2" w14:textId="3C38B7FD" w:rsidR="00563646" w:rsidRPr="001448D4" w:rsidRDefault="002A2696" w:rsidP="001F7C99">
      <w:pPr>
        <w:pStyle w:val="BodyText"/>
        <w:ind w:left="284"/>
        <w:rPr>
          <w:rStyle w:val="Emphasis"/>
        </w:rPr>
      </w:pPr>
      <w:r w:rsidRPr="001448D4">
        <w:rPr>
          <w:rStyle w:val="Emphasis"/>
        </w:rPr>
        <w:t>Franklin River campaign:</w:t>
      </w:r>
      <w:r w:rsidRPr="001448D4">
        <w:rPr>
          <w:rStyle w:val="Emphasis"/>
        </w:rPr>
        <w:br/>
        <w:t xml:space="preserve">The Franklin River campaign began in 1978 when the Tasmanian Hydro-Electric Commission announced plans to construct a new dam on a remote river in Tasmania’s South-West. Following the earlier 1976 flooding of Lake Pedder, public opinion was divided, and concern grew over further environmental loss. </w:t>
      </w:r>
      <w:r w:rsidR="00443118" w:rsidRPr="001448D4">
        <w:rPr>
          <w:rStyle w:val="Emphasis"/>
        </w:rPr>
        <w:t>Th</w:t>
      </w:r>
      <w:r w:rsidRPr="001448D4">
        <w:rPr>
          <w:rStyle w:val="Emphasis"/>
        </w:rPr>
        <w:t>e Tasmanian Wilderness Society (TWS) emerged as key leaders in opposing the proposal.</w:t>
      </w:r>
    </w:p>
    <w:p w14:paraId="72BA0F79" w14:textId="3C7AD27A" w:rsidR="00A24EFD" w:rsidRDefault="00563646" w:rsidP="00971A7E">
      <w:pPr>
        <w:pStyle w:val="Heading3"/>
      </w:pPr>
      <w:r>
        <w:t>Question 3b</w:t>
      </w:r>
      <w:r w:rsidR="001F7C99">
        <w:t>.</w:t>
      </w:r>
    </w:p>
    <w:tbl>
      <w:tblPr>
        <w:tblStyle w:val="VCAATableClosed"/>
        <w:tblW w:w="3889" w:type="pct"/>
        <w:tblLook w:val="04A0" w:firstRow="1" w:lastRow="0" w:firstColumn="1" w:lastColumn="0" w:noHBand="0" w:noVBand="1"/>
      </w:tblPr>
      <w:tblGrid>
        <w:gridCol w:w="1069"/>
        <w:gridCol w:w="1071"/>
        <w:gridCol w:w="1069"/>
        <w:gridCol w:w="1071"/>
        <w:gridCol w:w="1069"/>
        <w:gridCol w:w="1071"/>
        <w:gridCol w:w="1069"/>
      </w:tblGrid>
      <w:tr w:rsidR="00E71430" w:rsidRPr="00141A4D" w14:paraId="7F83BEE5" w14:textId="77777777" w:rsidTr="00E71430">
        <w:trPr>
          <w:cnfStyle w:val="100000000000" w:firstRow="1" w:lastRow="0" w:firstColumn="0" w:lastColumn="0" w:oddVBand="0" w:evenVBand="0" w:oddHBand="0" w:evenHBand="0" w:firstRowFirstColumn="0" w:firstRowLastColumn="0" w:lastRowFirstColumn="0" w:lastRowLastColumn="0"/>
        </w:trPr>
        <w:tc>
          <w:tcPr>
            <w:tcW w:w="713" w:type="pct"/>
          </w:tcPr>
          <w:p w14:paraId="3307F69D" w14:textId="77777777" w:rsidR="00E71430" w:rsidRPr="00141A4D" w:rsidRDefault="00E71430" w:rsidP="00384DB7">
            <w:pPr>
              <w:pStyle w:val="Tablecondensedheading"/>
              <w:rPr>
                <w:lang w:val="en-AU"/>
              </w:rPr>
            </w:pPr>
            <w:r w:rsidRPr="00141A4D">
              <w:rPr>
                <w:lang w:val="en-AU"/>
              </w:rPr>
              <w:t>Mark</w:t>
            </w:r>
            <w:r>
              <w:rPr>
                <w:lang w:val="en-AU"/>
              </w:rPr>
              <w:t>s</w:t>
            </w:r>
          </w:p>
        </w:tc>
        <w:tc>
          <w:tcPr>
            <w:tcW w:w="715" w:type="pct"/>
          </w:tcPr>
          <w:p w14:paraId="538CBA74" w14:textId="77777777" w:rsidR="00E71430" w:rsidRPr="00141A4D" w:rsidRDefault="00E71430" w:rsidP="00384DB7">
            <w:pPr>
              <w:pStyle w:val="Tablecondensedheading"/>
              <w:rPr>
                <w:lang w:val="en-AU"/>
              </w:rPr>
            </w:pPr>
            <w:r w:rsidRPr="00141A4D">
              <w:rPr>
                <w:lang w:val="en-AU"/>
              </w:rPr>
              <w:t>0</w:t>
            </w:r>
          </w:p>
        </w:tc>
        <w:tc>
          <w:tcPr>
            <w:tcW w:w="714" w:type="pct"/>
          </w:tcPr>
          <w:p w14:paraId="58D9D0AD" w14:textId="77777777" w:rsidR="00E71430" w:rsidRPr="00141A4D" w:rsidRDefault="00E71430" w:rsidP="00384DB7">
            <w:pPr>
              <w:pStyle w:val="Tablecondensedheading"/>
              <w:rPr>
                <w:lang w:val="en-AU"/>
              </w:rPr>
            </w:pPr>
            <w:r w:rsidRPr="00141A4D">
              <w:rPr>
                <w:lang w:val="en-AU"/>
              </w:rPr>
              <w:t>1</w:t>
            </w:r>
          </w:p>
        </w:tc>
        <w:tc>
          <w:tcPr>
            <w:tcW w:w="715" w:type="pct"/>
          </w:tcPr>
          <w:p w14:paraId="37276333" w14:textId="77777777" w:rsidR="00E71430" w:rsidRPr="00141A4D" w:rsidRDefault="00E71430" w:rsidP="00384DB7">
            <w:pPr>
              <w:pStyle w:val="Tablecondensedheading"/>
              <w:rPr>
                <w:lang w:val="en-AU"/>
              </w:rPr>
            </w:pPr>
            <w:r w:rsidRPr="00141A4D">
              <w:rPr>
                <w:lang w:val="en-AU"/>
              </w:rPr>
              <w:t>2</w:t>
            </w:r>
          </w:p>
        </w:tc>
        <w:tc>
          <w:tcPr>
            <w:tcW w:w="714" w:type="pct"/>
          </w:tcPr>
          <w:p w14:paraId="7D157A02" w14:textId="77777777" w:rsidR="00E71430" w:rsidRPr="00141A4D" w:rsidRDefault="00E71430" w:rsidP="00384DB7">
            <w:pPr>
              <w:pStyle w:val="Tablecondensedheading"/>
              <w:rPr>
                <w:lang w:val="en-AU"/>
              </w:rPr>
            </w:pPr>
            <w:r w:rsidRPr="00141A4D">
              <w:rPr>
                <w:lang w:val="en-AU"/>
              </w:rPr>
              <w:t>3</w:t>
            </w:r>
          </w:p>
        </w:tc>
        <w:tc>
          <w:tcPr>
            <w:tcW w:w="715" w:type="pct"/>
          </w:tcPr>
          <w:p w14:paraId="5A2C6B89" w14:textId="5C04211F" w:rsidR="00E71430" w:rsidRPr="00141A4D" w:rsidRDefault="00E71430" w:rsidP="00384DB7">
            <w:pPr>
              <w:pStyle w:val="Tablecondensedheading"/>
              <w:rPr>
                <w:lang w:val="en-AU"/>
              </w:rPr>
            </w:pPr>
            <w:r>
              <w:rPr>
                <w:lang w:val="en-AU"/>
              </w:rPr>
              <w:t>4</w:t>
            </w:r>
          </w:p>
        </w:tc>
        <w:tc>
          <w:tcPr>
            <w:tcW w:w="715" w:type="pct"/>
          </w:tcPr>
          <w:p w14:paraId="3BF6A0CD" w14:textId="0AE6FAB3" w:rsidR="00E71430" w:rsidRPr="00141A4D" w:rsidRDefault="00E71430" w:rsidP="00384DB7">
            <w:pPr>
              <w:pStyle w:val="Tablecondensedheading"/>
              <w:rPr>
                <w:lang w:val="en-AU"/>
              </w:rPr>
            </w:pPr>
            <w:r w:rsidRPr="00141A4D">
              <w:rPr>
                <w:lang w:val="en-AU"/>
              </w:rPr>
              <w:t>Average</w:t>
            </w:r>
          </w:p>
        </w:tc>
      </w:tr>
      <w:tr w:rsidR="00E71430" w:rsidRPr="00141A4D" w14:paraId="34AEE76C" w14:textId="77777777" w:rsidTr="00E71430">
        <w:tc>
          <w:tcPr>
            <w:tcW w:w="713" w:type="pct"/>
          </w:tcPr>
          <w:p w14:paraId="7C3F6301" w14:textId="77777777" w:rsidR="00E71430" w:rsidRPr="00141A4D" w:rsidRDefault="00E71430" w:rsidP="00384DB7">
            <w:pPr>
              <w:pStyle w:val="Tablecondensed"/>
              <w:rPr>
                <w:lang w:val="en-AU"/>
              </w:rPr>
            </w:pPr>
            <w:r w:rsidRPr="00141A4D">
              <w:rPr>
                <w:lang w:val="en-AU"/>
              </w:rPr>
              <w:t>%</w:t>
            </w:r>
          </w:p>
        </w:tc>
        <w:tc>
          <w:tcPr>
            <w:tcW w:w="715" w:type="pct"/>
            <w:vAlign w:val="bottom"/>
          </w:tcPr>
          <w:p w14:paraId="26C61B52" w14:textId="3F06C16D" w:rsidR="00E71430" w:rsidRPr="00141A4D" w:rsidRDefault="00E71430" w:rsidP="00384DB7">
            <w:pPr>
              <w:pStyle w:val="Tablecondensed"/>
              <w:rPr>
                <w:lang w:val="en-AU"/>
              </w:rPr>
            </w:pPr>
            <w:r>
              <w:rPr>
                <w:lang w:val="en-AU"/>
              </w:rPr>
              <w:t>19</w:t>
            </w:r>
          </w:p>
        </w:tc>
        <w:tc>
          <w:tcPr>
            <w:tcW w:w="714" w:type="pct"/>
            <w:vAlign w:val="bottom"/>
          </w:tcPr>
          <w:p w14:paraId="1912D94E" w14:textId="4FDC58A7" w:rsidR="00E71430" w:rsidRPr="00141A4D" w:rsidRDefault="00E71430" w:rsidP="00384DB7">
            <w:pPr>
              <w:pStyle w:val="Tablecondensed"/>
              <w:rPr>
                <w:lang w:val="en-AU"/>
              </w:rPr>
            </w:pPr>
            <w:r>
              <w:rPr>
                <w:lang w:val="en-AU"/>
              </w:rPr>
              <w:t>17</w:t>
            </w:r>
          </w:p>
        </w:tc>
        <w:tc>
          <w:tcPr>
            <w:tcW w:w="715" w:type="pct"/>
            <w:vAlign w:val="bottom"/>
          </w:tcPr>
          <w:p w14:paraId="032747E0" w14:textId="77298989" w:rsidR="00E71430" w:rsidRPr="00141A4D" w:rsidRDefault="00E71430" w:rsidP="00384DB7">
            <w:pPr>
              <w:pStyle w:val="Tablecondensed"/>
              <w:rPr>
                <w:lang w:val="en-AU"/>
              </w:rPr>
            </w:pPr>
            <w:r>
              <w:rPr>
                <w:lang w:val="en-AU"/>
              </w:rPr>
              <w:t>26</w:t>
            </w:r>
          </w:p>
        </w:tc>
        <w:tc>
          <w:tcPr>
            <w:tcW w:w="714" w:type="pct"/>
            <w:vAlign w:val="bottom"/>
          </w:tcPr>
          <w:p w14:paraId="14FD1B3E" w14:textId="04725689" w:rsidR="00E71430" w:rsidRPr="00141A4D" w:rsidRDefault="00E71430" w:rsidP="00384DB7">
            <w:pPr>
              <w:pStyle w:val="Tablecondensed"/>
              <w:rPr>
                <w:lang w:val="en-AU"/>
              </w:rPr>
            </w:pPr>
            <w:r>
              <w:rPr>
                <w:lang w:val="en-AU"/>
              </w:rPr>
              <w:t>23</w:t>
            </w:r>
          </w:p>
        </w:tc>
        <w:tc>
          <w:tcPr>
            <w:tcW w:w="715" w:type="pct"/>
          </w:tcPr>
          <w:p w14:paraId="57195763" w14:textId="56CE30F2" w:rsidR="00E71430" w:rsidRDefault="00E71430" w:rsidP="00384DB7">
            <w:pPr>
              <w:pStyle w:val="Tablecondensed"/>
              <w:rPr>
                <w:lang w:val="en-AU"/>
              </w:rPr>
            </w:pPr>
            <w:r>
              <w:rPr>
                <w:lang w:val="en-AU"/>
              </w:rPr>
              <w:t>14</w:t>
            </w:r>
          </w:p>
        </w:tc>
        <w:tc>
          <w:tcPr>
            <w:tcW w:w="715" w:type="pct"/>
          </w:tcPr>
          <w:p w14:paraId="4D0ADC36" w14:textId="66F74245" w:rsidR="00E71430" w:rsidRPr="00141A4D" w:rsidRDefault="00AD398C" w:rsidP="00384DB7">
            <w:pPr>
              <w:pStyle w:val="Tablecondensed"/>
              <w:rPr>
                <w:lang w:val="en-AU"/>
              </w:rPr>
            </w:pPr>
            <w:r>
              <w:rPr>
                <w:lang w:val="en-AU"/>
              </w:rPr>
              <w:t>2.0</w:t>
            </w:r>
          </w:p>
        </w:tc>
      </w:tr>
    </w:tbl>
    <w:p w14:paraId="23FF26CB" w14:textId="4996B956" w:rsidR="00D701C9" w:rsidRDefault="00F16B9C" w:rsidP="00736288">
      <w:pPr>
        <w:pStyle w:val="BodyText"/>
        <w:rPr>
          <w:rFonts w:eastAsia="Times New Roman" w:cstheme="minorHAnsi"/>
        </w:rPr>
      </w:pPr>
      <w:r w:rsidRPr="00F16B9C">
        <w:rPr>
          <w:rFonts w:eastAsia="Times New Roman" w:cstheme="minorHAnsi"/>
        </w:rPr>
        <w:t xml:space="preserve">Students were required to evaluate the effectiveness of the environmental campaign described in </w:t>
      </w:r>
      <w:r w:rsidR="00DE3CA8" w:rsidRPr="00F16B9C">
        <w:rPr>
          <w:rFonts w:eastAsia="Times New Roman" w:cstheme="minorHAnsi"/>
        </w:rPr>
        <w:t>Question</w:t>
      </w:r>
      <w:r w:rsidR="00DE3CA8">
        <w:rPr>
          <w:rFonts w:eastAsia="Times New Roman" w:cstheme="minorHAnsi"/>
        </w:rPr>
        <w:t> </w:t>
      </w:r>
      <w:r w:rsidRPr="00F16B9C">
        <w:rPr>
          <w:rFonts w:eastAsia="Times New Roman" w:cstheme="minorHAnsi"/>
        </w:rPr>
        <w:t>3a in influencing a government or political party prior to 1990.</w:t>
      </w:r>
    </w:p>
    <w:p w14:paraId="37FE504C" w14:textId="7238FE89" w:rsidR="00F16B9C" w:rsidRPr="00F16B9C" w:rsidRDefault="00F16B9C" w:rsidP="00736288">
      <w:pPr>
        <w:pStyle w:val="BodyText"/>
        <w:rPr>
          <w:rFonts w:eastAsia="Times New Roman" w:cstheme="minorHAnsi"/>
        </w:rPr>
      </w:pPr>
      <w:r w:rsidRPr="00F16B9C">
        <w:rPr>
          <w:rFonts w:eastAsia="Times New Roman" w:cstheme="minorHAnsi"/>
        </w:rPr>
        <w:t>High-scoring responses presented a clear evaluative judgement supported by specific evidence, demonstrating how the campaign shaped political decisions or policies.</w:t>
      </w:r>
    </w:p>
    <w:p w14:paraId="137BC408" w14:textId="65604813" w:rsidR="00CF2421" w:rsidRPr="00F12442" w:rsidRDefault="00CF2421" w:rsidP="00736288">
      <w:pPr>
        <w:pStyle w:val="BodyText"/>
      </w:pPr>
      <w:r>
        <w:t>L</w:t>
      </w:r>
      <w:r w:rsidRPr="00410AA4">
        <w:t>ower</w:t>
      </w:r>
      <w:r>
        <w:t>-</w:t>
      </w:r>
      <w:r w:rsidRPr="00410AA4">
        <w:t xml:space="preserve">scoring responses: </w:t>
      </w:r>
    </w:p>
    <w:p w14:paraId="6FEB7229" w14:textId="739C555B" w:rsidR="00F16B9C" w:rsidRPr="00736288" w:rsidRDefault="00CF2421" w:rsidP="00736288">
      <w:pPr>
        <w:pStyle w:val="Bullet"/>
      </w:pPr>
      <w:r>
        <w:t>used</w:t>
      </w:r>
      <w:r w:rsidR="00F16B9C" w:rsidRPr="00736288">
        <w:t xml:space="preserve"> post-1990 examples, which did not meet the requirements</w:t>
      </w:r>
    </w:p>
    <w:p w14:paraId="36877420" w14:textId="0076528C" w:rsidR="00F16B9C" w:rsidRPr="00736288" w:rsidRDefault="00CF2421" w:rsidP="00736288">
      <w:pPr>
        <w:pStyle w:val="Bullet"/>
      </w:pPr>
      <w:r>
        <w:t>described</w:t>
      </w:r>
      <w:r w:rsidRPr="00736288">
        <w:t xml:space="preserve"> </w:t>
      </w:r>
      <w:r w:rsidR="00F16B9C" w:rsidRPr="00736288">
        <w:t xml:space="preserve">campaign events instead of evaluating </w:t>
      </w:r>
      <w:r w:rsidR="007F6109">
        <w:t xml:space="preserve">its </w:t>
      </w:r>
      <w:r w:rsidR="00F16B9C" w:rsidRPr="00736288">
        <w:t>influence on governments or political parties</w:t>
      </w:r>
    </w:p>
    <w:p w14:paraId="057EB264" w14:textId="59B482C5" w:rsidR="00F16B9C" w:rsidRPr="00736288" w:rsidRDefault="00CF2421" w:rsidP="00736288">
      <w:pPr>
        <w:pStyle w:val="Bullet"/>
      </w:pPr>
      <w:r>
        <w:t>provided</w:t>
      </w:r>
      <w:r w:rsidRPr="00736288">
        <w:t xml:space="preserve"> </w:t>
      </w:r>
      <w:r w:rsidR="00F16B9C" w:rsidRPr="00736288">
        <w:t>an overall judgement that merely restated earlier points rather than adding insight</w:t>
      </w:r>
    </w:p>
    <w:p w14:paraId="688E53BC" w14:textId="6F6142D1" w:rsidR="00F16B9C" w:rsidRPr="00736288" w:rsidRDefault="00CF2421" w:rsidP="00736288">
      <w:pPr>
        <w:pStyle w:val="Bullet"/>
      </w:pPr>
      <w:r>
        <w:t>did not</w:t>
      </w:r>
      <w:r w:rsidRPr="00736288">
        <w:t xml:space="preserve"> </w:t>
      </w:r>
      <w:r w:rsidR="00F16B9C" w:rsidRPr="00736288">
        <w:t>identify which government or political party was influenced</w:t>
      </w:r>
    </w:p>
    <w:p w14:paraId="372F2FFC" w14:textId="014D4889" w:rsidR="00F16B9C" w:rsidRPr="00736288" w:rsidRDefault="00CF2421" w:rsidP="00736288">
      <w:pPr>
        <w:pStyle w:val="Bullet"/>
      </w:pPr>
      <w:r>
        <w:t>failed</w:t>
      </w:r>
      <w:r w:rsidRPr="00736288">
        <w:t xml:space="preserve"> </w:t>
      </w:r>
      <w:r w:rsidR="00F16B9C" w:rsidRPr="00736288">
        <w:t>to link the campaign’s impact to specific policy changes, decisions or reforms.</w:t>
      </w:r>
    </w:p>
    <w:p w14:paraId="78EF23F4" w14:textId="77777777" w:rsidR="001F7C99" w:rsidRDefault="001F7C99">
      <w:pPr>
        <w:spacing w:line="276" w:lineRule="auto"/>
        <w:rPr>
          <w:rFonts w:ascii="Arial" w:hAnsi="Arial" w:cs="Arial"/>
          <w:color w:val="000000" w:themeColor="text1"/>
          <w:sz w:val="20"/>
          <w:lang w:val="en-AU" w:eastAsia="en-AU"/>
        </w:rPr>
      </w:pPr>
      <w:r>
        <w:br w:type="page"/>
      </w:r>
    </w:p>
    <w:p w14:paraId="47881571" w14:textId="77777777" w:rsidR="00CF2421" w:rsidRPr="00736288" w:rsidRDefault="00CF2421" w:rsidP="00CF2421">
      <w:pPr>
        <w:pStyle w:val="BodyText"/>
      </w:pPr>
      <w:r>
        <w:lastRenderedPageBreak/>
        <w:t>The following is an example of a high-scoring student response.</w:t>
      </w:r>
    </w:p>
    <w:p w14:paraId="1A5C5878" w14:textId="5B53EBE7" w:rsidR="00CF2421" w:rsidRPr="001448D4" w:rsidRDefault="002A2696" w:rsidP="00943BB7">
      <w:pPr>
        <w:pStyle w:val="BodyText"/>
        <w:ind w:left="284"/>
        <w:rPr>
          <w:rStyle w:val="Emphasis"/>
        </w:rPr>
      </w:pPr>
      <w:r w:rsidRPr="001448D4">
        <w:rPr>
          <w:rStyle w:val="Emphasis"/>
        </w:rPr>
        <w:t>Franklin River campaign:</w:t>
      </w:r>
    </w:p>
    <w:p w14:paraId="10F0A652" w14:textId="0F89C3DC" w:rsidR="00CF2421" w:rsidRPr="001448D4" w:rsidRDefault="002A2696" w:rsidP="00943BB7">
      <w:pPr>
        <w:pStyle w:val="BodyText"/>
        <w:ind w:left="284"/>
        <w:rPr>
          <w:rStyle w:val="Emphasis"/>
        </w:rPr>
      </w:pPr>
      <w:r w:rsidRPr="001448D4">
        <w:rPr>
          <w:rStyle w:val="Emphasis"/>
        </w:rPr>
        <w:t>The Franklin River campaign succeeded in gaining widespread support across Tasmania and nationally, significantly influencing the outcome of the 1983 federal election, which resulted in the Labor Party under Prime Minister Bob Hawke coming to power. The new federal government subsequently moved to protect the Franklin by seeking World Heritage listing, and in July 1983, the High Court ruled in favour of the Commonwealth’s authority to prevent the dam from proceeding, overruling the Tasmanian Liberal Government’s pro-dam stance.</w:t>
      </w:r>
    </w:p>
    <w:p w14:paraId="028390D4" w14:textId="1F36B5FE" w:rsidR="002A2696" w:rsidRPr="001448D4" w:rsidRDefault="002A2696" w:rsidP="00943BB7">
      <w:pPr>
        <w:pStyle w:val="BodyText"/>
        <w:ind w:left="284"/>
        <w:rPr>
          <w:rStyle w:val="Emphasis"/>
        </w:rPr>
      </w:pPr>
      <w:r w:rsidRPr="001448D4">
        <w:rPr>
          <w:rStyle w:val="Emphasis"/>
        </w:rPr>
        <w:t>Overall, the Franklin River campaign was highly effective, as it not only protected the river but also shifted national environmental awareness and prompted future governments to adopt policies recognising their responsibilities to the environment.</w:t>
      </w:r>
    </w:p>
    <w:p w14:paraId="6AA95113" w14:textId="2934C7E5" w:rsidR="00F16B9C" w:rsidRDefault="00F16B9C" w:rsidP="00971A7E">
      <w:pPr>
        <w:pStyle w:val="Heading3"/>
      </w:pPr>
      <w:r>
        <w:t>Question 4a</w:t>
      </w:r>
      <w:r w:rsidR="001F7C99">
        <w:t>.</w:t>
      </w:r>
    </w:p>
    <w:tbl>
      <w:tblPr>
        <w:tblStyle w:val="VCAATableClosed"/>
        <w:tblW w:w="3333" w:type="pct"/>
        <w:tblLook w:val="04A0" w:firstRow="1" w:lastRow="0" w:firstColumn="1" w:lastColumn="0" w:noHBand="0" w:noVBand="1"/>
      </w:tblPr>
      <w:tblGrid>
        <w:gridCol w:w="1068"/>
        <w:gridCol w:w="1071"/>
        <w:gridCol w:w="1069"/>
        <w:gridCol w:w="1071"/>
        <w:gridCol w:w="1069"/>
        <w:gridCol w:w="1071"/>
      </w:tblGrid>
      <w:tr w:rsidR="00E71430" w:rsidRPr="00141A4D" w14:paraId="36AB1404" w14:textId="77777777" w:rsidTr="00384DB7">
        <w:trPr>
          <w:cnfStyle w:val="100000000000" w:firstRow="1" w:lastRow="0" w:firstColumn="0" w:lastColumn="0" w:oddVBand="0" w:evenVBand="0" w:oddHBand="0" w:evenHBand="0" w:firstRowFirstColumn="0" w:firstRowLastColumn="0" w:lastRowFirstColumn="0" w:lastRowLastColumn="0"/>
        </w:trPr>
        <w:tc>
          <w:tcPr>
            <w:tcW w:w="832" w:type="pct"/>
          </w:tcPr>
          <w:p w14:paraId="3995C48D" w14:textId="77777777" w:rsidR="00E71430" w:rsidRPr="00141A4D" w:rsidRDefault="00E71430" w:rsidP="00384DB7">
            <w:pPr>
              <w:pStyle w:val="Tablecondensedheading"/>
              <w:rPr>
                <w:lang w:val="en-AU"/>
              </w:rPr>
            </w:pPr>
            <w:r w:rsidRPr="00141A4D">
              <w:rPr>
                <w:lang w:val="en-AU"/>
              </w:rPr>
              <w:t>Mark</w:t>
            </w:r>
            <w:r>
              <w:rPr>
                <w:lang w:val="en-AU"/>
              </w:rPr>
              <w:t>s</w:t>
            </w:r>
          </w:p>
        </w:tc>
        <w:tc>
          <w:tcPr>
            <w:tcW w:w="834" w:type="pct"/>
          </w:tcPr>
          <w:p w14:paraId="41A22D73" w14:textId="77777777" w:rsidR="00E71430" w:rsidRPr="00141A4D" w:rsidRDefault="00E71430" w:rsidP="00384DB7">
            <w:pPr>
              <w:pStyle w:val="Tablecondensedheading"/>
              <w:rPr>
                <w:lang w:val="en-AU"/>
              </w:rPr>
            </w:pPr>
            <w:r w:rsidRPr="00141A4D">
              <w:rPr>
                <w:lang w:val="en-AU"/>
              </w:rPr>
              <w:t>0</w:t>
            </w:r>
          </w:p>
        </w:tc>
        <w:tc>
          <w:tcPr>
            <w:tcW w:w="833" w:type="pct"/>
          </w:tcPr>
          <w:p w14:paraId="05B67D4E" w14:textId="77777777" w:rsidR="00E71430" w:rsidRPr="00141A4D" w:rsidRDefault="00E71430" w:rsidP="00384DB7">
            <w:pPr>
              <w:pStyle w:val="Tablecondensedheading"/>
              <w:rPr>
                <w:lang w:val="en-AU"/>
              </w:rPr>
            </w:pPr>
            <w:r w:rsidRPr="00141A4D">
              <w:rPr>
                <w:lang w:val="en-AU"/>
              </w:rPr>
              <w:t>1</w:t>
            </w:r>
          </w:p>
        </w:tc>
        <w:tc>
          <w:tcPr>
            <w:tcW w:w="834" w:type="pct"/>
          </w:tcPr>
          <w:p w14:paraId="44F1DBB9" w14:textId="77777777" w:rsidR="00E71430" w:rsidRPr="00141A4D" w:rsidRDefault="00E71430" w:rsidP="00384DB7">
            <w:pPr>
              <w:pStyle w:val="Tablecondensedheading"/>
              <w:rPr>
                <w:lang w:val="en-AU"/>
              </w:rPr>
            </w:pPr>
            <w:r w:rsidRPr="00141A4D">
              <w:rPr>
                <w:lang w:val="en-AU"/>
              </w:rPr>
              <w:t>2</w:t>
            </w:r>
          </w:p>
        </w:tc>
        <w:tc>
          <w:tcPr>
            <w:tcW w:w="833" w:type="pct"/>
          </w:tcPr>
          <w:p w14:paraId="0D871F80" w14:textId="77777777" w:rsidR="00E71430" w:rsidRPr="00141A4D" w:rsidRDefault="00E71430" w:rsidP="00384DB7">
            <w:pPr>
              <w:pStyle w:val="Tablecondensedheading"/>
              <w:rPr>
                <w:lang w:val="en-AU"/>
              </w:rPr>
            </w:pPr>
            <w:r w:rsidRPr="00141A4D">
              <w:rPr>
                <w:lang w:val="en-AU"/>
              </w:rPr>
              <w:t>3</w:t>
            </w:r>
          </w:p>
        </w:tc>
        <w:tc>
          <w:tcPr>
            <w:tcW w:w="834" w:type="pct"/>
          </w:tcPr>
          <w:p w14:paraId="13D03C6E" w14:textId="77777777" w:rsidR="00E71430" w:rsidRPr="00141A4D" w:rsidRDefault="00E71430" w:rsidP="00384DB7">
            <w:pPr>
              <w:pStyle w:val="Tablecondensedheading"/>
              <w:rPr>
                <w:lang w:val="en-AU"/>
              </w:rPr>
            </w:pPr>
            <w:r w:rsidRPr="00141A4D">
              <w:rPr>
                <w:lang w:val="en-AU"/>
              </w:rPr>
              <w:t>Average</w:t>
            </w:r>
          </w:p>
        </w:tc>
      </w:tr>
      <w:tr w:rsidR="00E71430" w:rsidRPr="00141A4D" w14:paraId="6DA3EC5E" w14:textId="77777777" w:rsidTr="00384DB7">
        <w:tc>
          <w:tcPr>
            <w:tcW w:w="832" w:type="pct"/>
          </w:tcPr>
          <w:p w14:paraId="5C2B9EF0" w14:textId="77777777" w:rsidR="00E71430" w:rsidRPr="00141A4D" w:rsidRDefault="00E71430" w:rsidP="00384DB7">
            <w:pPr>
              <w:pStyle w:val="Tablecondensed"/>
              <w:rPr>
                <w:lang w:val="en-AU"/>
              </w:rPr>
            </w:pPr>
            <w:r w:rsidRPr="00141A4D">
              <w:rPr>
                <w:lang w:val="en-AU"/>
              </w:rPr>
              <w:t>%</w:t>
            </w:r>
          </w:p>
        </w:tc>
        <w:tc>
          <w:tcPr>
            <w:tcW w:w="834" w:type="pct"/>
            <w:vAlign w:val="bottom"/>
          </w:tcPr>
          <w:p w14:paraId="107D53F4" w14:textId="4F5D5EBB" w:rsidR="00E71430" w:rsidRPr="00141A4D" w:rsidRDefault="00E71430" w:rsidP="00384DB7">
            <w:pPr>
              <w:pStyle w:val="Tablecondensed"/>
              <w:rPr>
                <w:lang w:val="en-AU"/>
              </w:rPr>
            </w:pPr>
            <w:r>
              <w:rPr>
                <w:lang w:val="en-AU"/>
              </w:rPr>
              <w:t>30</w:t>
            </w:r>
          </w:p>
        </w:tc>
        <w:tc>
          <w:tcPr>
            <w:tcW w:w="833" w:type="pct"/>
            <w:vAlign w:val="bottom"/>
          </w:tcPr>
          <w:p w14:paraId="330A674C" w14:textId="50D620A5" w:rsidR="00E71430" w:rsidRPr="00141A4D" w:rsidRDefault="00E71430" w:rsidP="00384DB7">
            <w:pPr>
              <w:pStyle w:val="Tablecondensed"/>
              <w:rPr>
                <w:lang w:val="en-AU"/>
              </w:rPr>
            </w:pPr>
            <w:r>
              <w:rPr>
                <w:lang w:val="en-AU"/>
              </w:rPr>
              <w:t>19</w:t>
            </w:r>
          </w:p>
        </w:tc>
        <w:tc>
          <w:tcPr>
            <w:tcW w:w="834" w:type="pct"/>
            <w:vAlign w:val="bottom"/>
          </w:tcPr>
          <w:p w14:paraId="3129962B" w14:textId="470085B4" w:rsidR="00E71430" w:rsidRPr="00141A4D" w:rsidRDefault="00E71430" w:rsidP="00384DB7">
            <w:pPr>
              <w:pStyle w:val="Tablecondensed"/>
              <w:rPr>
                <w:lang w:val="en-AU"/>
              </w:rPr>
            </w:pPr>
            <w:r>
              <w:rPr>
                <w:lang w:val="en-AU"/>
              </w:rPr>
              <w:t>18</w:t>
            </w:r>
          </w:p>
        </w:tc>
        <w:tc>
          <w:tcPr>
            <w:tcW w:w="833" w:type="pct"/>
            <w:vAlign w:val="bottom"/>
          </w:tcPr>
          <w:p w14:paraId="2372B502" w14:textId="2230E64B" w:rsidR="00E71430" w:rsidRPr="00141A4D" w:rsidRDefault="00E71430" w:rsidP="00384DB7">
            <w:pPr>
              <w:pStyle w:val="Tablecondensed"/>
              <w:rPr>
                <w:lang w:val="en-AU"/>
              </w:rPr>
            </w:pPr>
            <w:r>
              <w:rPr>
                <w:lang w:val="en-AU"/>
              </w:rPr>
              <w:t>34</w:t>
            </w:r>
          </w:p>
        </w:tc>
        <w:tc>
          <w:tcPr>
            <w:tcW w:w="834" w:type="pct"/>
          </w:tcPr>
          <w:p w14:paraId="0296C8D9" w14:textId="07EE75AC" w:rsidR="00E71430" w:rsidRPr="00141A4D" w:rsidRDefault="00E71430" w:rsidP="00384DB7">
            <w:pPr>
              <w:pStyle w:val="Tablecondensed"/>
              <w:rPr>
                <w:lang w:val="en-AU"/>
              </w:rPr>
            </w:pPr>
            <w:r>
              <w:rPr>
                <w:lang w:val="en-AU"/>
              </w:rPr>
              <w:t>1.</w:t>
            </w:r>
            <w:r w:rsidR="00AD398C">
              <w:rPr>
                <w:lang w:val="en-AU"/>
              </w:rPr>
              <w:t>6</w:t>
            </w:r>
          </w:p>
        </w:tc>
      </w:tr>
    </w:tbl>
    <w:p w14:paraId="5308A5B1" w14:textId="77777777" w:rsidR="001115E8" w:rsidRDefault="00F16B9C" w:rsidP="00736288">
      <w:pPr>
        <w:pStyle w:val="BodyText"/>
      </w:pPr>
      <w:r w:rsidRPr="00F16B9C">
        <w:t>Students were required to explain the process for a group to become a Registered Aboriginal Party (RAP).</w:t>
      </w:r>
    </w:p>
    <w:p w14:paraId="01E7EB51" w14:textId="332B8C97" w:rsidR="00F16B9C" w:rsidRDefault="00F16B9C" w:rsidP="00736288">
      <w:pPr>
        <w:pStyle w:val="BodyText"/>
      </w:pPr>
      <w:r w:rsidRPr="00F16B9C">
        <w:t xml:space="preserve">High-scoring responses </w:t>
      </w:r>
      <w:r w:rsidR="00001560">
        <w:t>explained</w:t>
      </w:r>
      <w:r w:rsidRPr="00F16B9C">
        <w:t xml:space="preserve"> how groups progress through formal custodianship pathways, demonstrating required criteria rather than simply listing the roles of a RAP.</w:t>
      </w:r>
      <w:r w:rsidR="00544427">
        <w:t xml:space="preserve"> Supporting information regarding the key knowledge point associated with RAPs can be found on the </w:t>
      </w:r>
      <w:hyperlink r:id="rId11" w:anchor="faqs" w:history="1">
        <w:r w:rsidR="00544427" w:rsidRPr="00544427">
          <w:rPr>
            <w:rStyle w:val="Hyperlink"/>
            <w:rFonts w:eastAsia="Times New Roman" w:cstheme="minorHAnsi"/>
          </w:rPr>
          <w:t>VCAA Outdoor and Environmental Studies page</w:t>
        </w:r>
      </w:hyperlink>
      <w:r w:rsidR="00544427">
        <w:t xml:space="preserve">, </w:t>
      </w:r>
      <w:r w:rsidR="00275DD8">
        <w:t>i</w:t>
      </w:r>
      <w:r w:rsidR="00544427">
        <w:t xml:space="preserve">n the Frequently Asked Questions (FAQ) document. </w:t>
      </w:r>
    </w:p>
    <w:p w14:paraId="4DA7B3D1" w14:textId="3BBBA1C4" w:rsidR="00CF2421" w:rsidRPr="00F16B9C" w:rsidRDefault="00CF2421" w:rsidP="00736288">
      <w:pPr>
        <w:pStyle w:val="BodyText"/>
      </w:pPr>
      <w:r>
        <w:t>L</w:t>
      </w:r>
      <w:r w:rsidRPr="00410AA4">
        <w:t>ower</w:t>
      </w:r>
      <w:r>
        <w:t>-</w:t>
      </w:r>
      <w:r w:rsidRPr="00410AA4">
        <w:t xml:space="preserve">scoring responses: </w:t>
      </w:r>
    </w:p>
    <w:p w14:paraId="2684B219" w14:textId="43637AF1" w:rsidR="00F16B9C" w:rsidRPr="00001560" w:rsidRDefault="00CF2421" w:rsidP="00736288">
      <w:pPr>
        <w:pStyle w:val="Bullet"/>
      </w:pPr>
      <w:r>
        <w:t>identified</w:t>
      </w:r>
      <w:r w:rsidR="00F16B9C" w:rsidRPr="00F16B9C">
        <w:t xml:space="preserve"> features only, rather than explaining how the recognition process works</w:t>
      </w:r>
    </w:p>
    <w:p w14:paraId="4BB12E17" w14:textId="20B97322" w:rsidR="00F16B9C" w:rsidRPr="00F16B9C" w:rsidRDefault="00CF2421" w:rsidP="00736288">
      <w:pPr>
        <w:pStyle w:val="Bullet"/>
      </w:pPr>
      <w:r>
        <w:t>gave</w:t>
      </w:r>
      <w:r w:rsidRPr="00F16B9C">
        <w:t xml:space="preserve"> </w:t>
      </w:r>
      <w:r w:rsidR="00F16B9C" w:rsidRPr="00F16B9C">
        <w:t xml:space="preserve">vague statements without </w:t>
      </w:r>
      <w:r w:rsidR="00001560">
        <w:t xml:space="preserve">a detailed explanation on </w:t>
      </w:r>
      <w:r w:rsidR="00F16B9C" w:rsidRPr="00F16B9C">
        <w:t>what groups must demonstrate, such as right people, right country or organisational capability</w:t>
      </w:r>
    </w:p>
    <w:p w14:paraId="67420D5B" w14:textId="5B669DF8" w:rsidR="00F16B9C" w:rsidRPr="00F16B9C" w:rsidRDefault="00CF2421" w:rsidP="00736288">
      <w:pPr>
        <w:pStyle w:val="Bullet"/>
      </w:pPr>
      <w:r>
        <w:t>did not</w:t>
      </w:r>
      <w:r w:rsidRPr="00F16B9C">
        <w:t xml:space="preserve"> </w:t>
      </w:r>
      <w:r w:rsidR="00F16B9C" w:rsidRPr="00F16B9C">
        <w:t>recognis</w:t>
      </w:r>
      <w:r>
        <w:t>e</w:t>
      </w:r>
      <w:r w:rsidR="00F16B9C" w:rsidRPr="00F16B9C">
        <w:t xml:space="preserve"> that RAP status is granted through formal legal pathways, including native title, Recognition and Settlement Agreements (R&amp;S), or assessment under the Act</w:t>
      </w:r>
    </w:p>
    <w:p w14:paraId="6C8E25D3" w14:textId="124AB2DC" w:rsidR="00CF2421" w:rsidRDefault="00CF2421" w:rsidP="00F12442">
      <w:pPr>
        <w:pStyle w:val="Bullet"/>
      </w:pPr>
      <w:r>
        <w:t>confused</w:t>
      </w:r>
      <w:r w:rsidRPr="00F16B9C">
        <w:t xml:space="preserve"> </w:t>
      </w:r>
      <w:r w:rsidR="00F16B9C" w:rsidRPr="00F16B9C">
        <w:t>RAP registration with general cultural heritage protocols or land management activities.</w:t>
      </w:r>
    </w:p>
    <w:p w14:paraId="4B2A2192" w14:textId="77777777" w:rsidR="00CF2421" w:rsidRPr="00736288" w:rsidRDefault="00CF2421" w:rsidP="00CF2421">
      <w:pPr>
        <w:pStyle w:val="BodyText"/>
      </w:pPr>
      <w:r>
        <w:t>The following is an example of a high-scoring student response.</w:t>
      </w:r>
    </w:p>
    <w:p w14:paraId="522E715B" w14:textId="245E9B5C" w:rsidR="00563646" w:rsidRPr="001448D4" w:rsidRDefault="00F16B9C" w:rsidP="00943BB7">
      <w:pPr>
        <w:pStyle w:val="BodyText"/>
        <w:ind w:left="284"/>
        <w:rPr>
          <w:rStyle w:val="Emphasis"/>
        </w:rPr>
      </w:pPr>
      <w:r w:rsidRPr="001448D4">
        <w:rPr>
          <w:rStyle w:val="Emphasis"/>
        </w:rPr>
        <w:t>To become a Registered Aboriginal Party (RAP), a group must follow a formal recognition pathway under the Aboriginal Heritage Act 2006 (Vic)</w:t>
      </w:r>
      <w:r w:rsidR="00001560" w:rsidRPr="001448D4">
        <w:rPr>
          <w:rStyle w:val="Emphasis"/>
        </w:rPr>
        <w:t xml:space="preserve"> or similar</w:t>
      </w:r>
      <w:r w:rsidRPr="001448D4">
        <w:rPr>
          <w:rStyle w:val="Emphasis"/>
        </w:rPr>
        <w:t xml:space="preserve"> and demonstrate key criteria. They must show they are the Right People, meaning they represent all Traditional Owners with rights to that Country, and demonstrate Right Country through a continuous connection and agreed boundaries. They must also have clear decision-making structures, show organisational capability to manage cultural heritage responsibilities, and be incorporated to act legally on behalf of the group. For example, Djarra became the RAP for Dja Dja Wurrung Country by consulting with Traditional Owners, agreeing on boundaries, establishing decision-making processes and registering an incorporated entity.</w:t>
      </w:r>
    </w:p>
    <w:p w14:paraId="00857165" w14:textId="77777777" w:rsidR="001F7C99" w:rsidRDefault="001F7C99">
      <w:pPr>
        <w:spacing w:line="276" w:lineRule="auto"/>
        <w:rPr>
          <w:rFonts w:ascii="Arial" w:hAnsi="Arial" w:cs="Arial"/>
          <w:color w:val="0F7EB4"/>
          <w:sz w:val="32"/>
          <w:szCs w:val="24"/>
          <w:lang w:val="en-AU"/>
        </w:rPr>
      </w:pPr>
      <w:r>
        <w:br w:type="page"/>
      </w:r>
    </w:p>
    <w:p w14:paraId="59882388" w14:textId="07B50B36" w:rsidR="00A63228" w:rsidRDefault="00F16B9C" w:rsidP="00971A7E">
      <w:pPr>
        <w:pStyle w:val="Heading3"/>
      </w:pPr>
      <w:r>
        <w:lastRenderedPageBreak/>
        <w:t>Question 4b</w:t>
      </w:r>
      <w:r w:rsidR="001F7C99">
        <w:t>.</w:t>
      </w:r>
    </w:p>
    <w:tbl>
      <w:tblPr>
        <w:tblStyle w:val="VCAATableClosed"/>
        <w:tblW w:w="4997" w:type="pct"/>
        <w:tblLook w:val="04A0" w:firstRow="1" w:lastRow="0" w:firstColumn="1" w:lastColumn="0" w:noHBand="0" w:noVBand="1"/>
      </w:tblPr>
      <w:tblGrid>
        <w:gridCol w:w="1071"/>
        <w:gridCol w:w="1071"/>
        <w:gridCol w:w="1071"/>
        <w:gridCol w:w="1071"/>
        <w:gridCol w:w="1071"/>
        <w:gridCol w:w="1070"/>
        <w:gridCol w:w="1070"/>
        <w:gridCol w:w="1064"/>
        <w:gridCol w:w="1064"/>
      </w:tblGrid>
      <w:tr w:rsidR="00E71430" w:rsidRPr="00141A4D" w14:paraId="6323E8CC" w14:textId="77777777" w:rsidTr="00384DB7">
        <w:trPr>
          <w:cnfStyle w:val="100000000000" w:firstRow="1" w:lastRow="0" w:firstColumn="0" w:lastColumn="0" w:oddVBand="0" w:evenVBand="0" w:oddHBand="0" w:evenHBand="0" w:firstRowFirstColumn="0" w:firstRowLastColumn="0" w:lastRowFirstColumn="0" w:lastRowLastColumn="0"/>
        </w:trPr>
        <w:tc>
          <w:tcPr>
            <w:tcW w:w="556" w:type="pct"/>
          </w:tcPr>
          <w:p w14:paraId="0D056EA8" w14:textId="77777777" w:rsidR="00E71430" w:rsidRPr="00141A4D" w:rsidRDefault="00E71430" w:rsidP="00384DB7">
            <w:pPr>
              <w:pStyle w:val="Tablecondensedheading"/>
              <w:rPr>
                <w:lang w:val="en-AU"/>
              </w:rPr>
            </w:pPr>
            <w:r w:rsidRPr="00141A4D">
              <w:rPr>
                <w:lang w:val="en-AU"/>
              </w:rPr>
              <w:t>Mark</w:t>
            </w:r>
            <w:r>
              <w:rPr>
                <w:lang w:val="en-AU"/>
              </w:rPr>
              <w:t>s</w:t>
            </w:r>
          </w:p>
        </w:tc>
        <w:tc>
          <w:tcPr>
            <w:tcW w:w="556" w:type="pct"/>
          </w:tcPr>
          <w:p w14:paraId="2472C833" w14:textId="77777777" w:rsidR="00E71430" w:rsidRPr="00141A4D" w:rsidRDefault="00E71430" w:rsidP="00384DB7">
            <w:pPr>
              <w:pStyle w:val="Tablecondensedheading"/>
              <w:rPr>
                <w:lang w:val="en-AU"/>
              </w:rPr>
            </w:pPr>
            <w:r w:rsidRPr="00141A4D">
              <w:rPr>
                <w:lang w:val="en-AU"/>
              </w:rPr>
              <w:t>0</w:t>
            </w:r>
          </w:p>
        </w:tc>
        <w:tc>
          <w:tcPr>
            <w:tcW w:w="556" w:type="pct"/>
          </w:tcPr>
          <w:p w14:paraId="62770399" w14:textId="77777777" w:rsidR="00E71430" w:rsidRPr="00141A4D" w:rsidRDefault="00E71430" w:rsidP="00384DB7">
            <w:pPr>
              <w:pStyle w:val="Tablecondensedheading"/>
              <w:rPr>
                <w:lang w:val="en-AU"/>
              </w:rPr>
            </w:pPr>
            <w:r w:rsidRPr="00141A4D">
              <w:rPr>
                <w:lang w:val="en-AU"/>
              </w:rPr>
              <w:t>1</w:t>
            </w:r>
          </w:p>
        </w:tc>
        <w:tc>
          <w:tcPr>
            <w:tcW w:w="556" w:type="pct"/>
          </w:tcPr>
          <w:p w14:paraId="0AD1F1D5" w14:textId="77777777" w:rsidR="00E71430" w:rsidRPr="00141A4D" w:rsidRDefault="00E71430" w:rsidP="00384DB7">
            <w:pPr>
              <w:pStyle w:val="Tablecondensedheading"/>
              <w:rPr>
                <w:lang w:val="en-AU"/>
              </w:rPr>
            </w:pPr>
            <w:r w:rsidRPr="00141A4D">
              <w:rPr>
                <w:lang w:val="en-AU"/>
              </w:rPr>
              <w:t>2</w:t>
            </w:r>
          </w:p>
        </w:tc>
        <w:tc>
          <w:tcPr>
            <w:tcW w:w="556" w:type="pct"/>
          </w:tcPr>
          <w:p w14:paraId="33372569" w14:textId="77777777" w:rsidR="00E71430" w:rsidRPr="00141A4D" w:rsidRDefault="00E71430" w:rsidP="00384DB7">
            <w:pPr>
              <w:pStyle w:val="Tablecondensedheading"/>
              <w:rPr>
                <w:lang w:val="en-AU"/>
              </w:rPr>
            </w:pPr>
            <w:r w:rsidRPr="00141A4D">
              <w:rPr>
                <w:lang w:val="en-AU"/>
              </w:rPr>
              <w:t>3</w:t>
            </w:r>
          </w:p>
        </w:tc>
        <w:tc>
          <w:tcPr>
            <w:tcW w:w="556" w:type="pct"/>
          </w:tcPr>
          <w:p w14:paraId="65A30D5A" w14:textId="77777777" w:rsidR="00E71430" w:rsidRPr="00141A4D" w:rsidRDefault="00E71430" w:rsidP="00384DB7">
            <w:pPr>
              <w:pStyle w:val="Tablecondensedheading"/>
              <w:rPr>
                <w:lang w:val="en-AU"/>
              </w:rPr>
            </w:pPr>
            <w:r>
              <w:rPr>
                <w:lang w:val="en-AU"/>
              </w:rPr>
              <w:t>4</w:t>
            </w:r>
          </w:p>
        </w:tc>
        <w:tc>
          <w:tcPr>
            <w:tcW w:w="556" w:type="pct"/>
          </w:tcPr>
          <w:p w14:paraId="3B44183A" w14:textId="77777777" w:rsidR="00E71430" w:rsidRPr="00141A4D" w:rsidRDefault="00E71430" w:rsidP="00384DB7">
            <w:pPr>
              <w:pStyle w:val="Tablecondensedheading"/>
              <w:rPr>
                <w:lang w:val="en-AU"/>
              </w:rPr>
            </w:pPr>
            <w:r>
              <w:rPr>
                <w:lang w:val="en-AU"/>
              </w:rPr>
              <w:t>5</w:t>
            </w:r>
          </w:p>
        </w:tc>
        <w:tc>
          <w:tcPr>
            <w:tcW w:w="553" w:type="pct"/>
          </w:tcPr>
          <w:p w14:paraId="3E623D71" w14:textId="77777777" w:rsidR="00E71430" w:rsidRPr="00141A4D" w:rsidRDefault="00E71430" w:rsidP="00384DB7">
            <w:pPr>
              <w:pStyle w:val="Tablecondensedheading"/>
              <w:rPr>
                <w:lang w:val="en-AU"/>
              </w:rPr>
            </w:pPr>
            <w:r>
              <w:rPr>
                <w:lang w:val="en-AU"/>
              </w:rPr>
              <w:t>6</w:t>
            </w:r>
          </w:p>
        </w:tc>
        <w:tc>
          <w:tcPr>
            <w:tcW w:w="553" w:type="pct"/>
          </w:tcPr>
          <w:p w14:paraId="59DBDFC2" w14:textId="77777777" w:rsidR="00E71430" w:rsidRPr="00141A4D" w:rsidRDefault="00E71430" w:rsidP="00384DB7">
            <w:pPr>
              <w:pStyle w:val="Tablecondensedheading"/>
              <w:rPr>
                <w:lang w:val="en-AU"/>
              </w:rPr>
            </w:pPr>
            <w:r w:rsidRPr="00141A4D">
              <w:rPr>
                <w:lang w:val="en-AU"/>
              </w:rPr>
              <w:t>Average</w:t>
            </w:r>
          </w:p>
        </w:tc>
      </w:tr>
      <w:tr w:rsidR="00E71430" w:rsidRPr="00141A4D" w14:paraId="55CFEDE5" w14:textId="77777777" w:rsidTr="00384DB7">
        <w:tc>
          <w:tcPr>
            <w:tcW w:w="556" w:type="pct"/>
          </w:tcPr>
          <w:p w14:paraId="73A6B359" w14:textId="77777777" w:rsidR="00E71430" w:rsidRPr="00141A4D" w:rsidRDefault="00E71430" w:rsidP="00384DB7">
            <w:pPr>
              <w:pStyle w:val="Tablecondensed"/>
              <w:rPr>
                <w:lang w:val="en-AU"/>
              </w:rPr>
            </w:pPr>
            <w:r w:rsidRPr="00141A4D">
              <w:rPr>
                <w:lang w:val="en-AU"/>
              </w:rPr>
              <w:t>%</w:t>
            </w:r>
          </w:p>
        </w:tc>
        <w:tc>
          <w:tcPr>
            <w:tcW w:w="556" w:type="pct"/>
            <w:vAlign w:val="bottom"/>
          </w:tcPr>
          <w:p w14:paraId="5D3B43FB" w14:textId="40E67053" w:rsidR="00E71430" w:rsidRPr="00141A4D" w:rsidRDefault="00E71430" w:rsidP="00384DB7">
            <w:pPr>
              <w:pStyle w:val="Tablecondensed"/>
              <w:rPr>
                <w:lang w:val="en-AU"/>
              </w:rPr>
            </w:pPr>
            <w:r>
              <w:rPr>
                <w:lang w:val="en-AU"/>
              </w:rPr>
              <w:t>23</w:t>
            </w:r>
          </w:p>
        </w:tc>
        <w:tc>
          <w:tcPr>
            <w:tcW w:w="556" w:type="pct"/>
            <w:vAlign w:val="bottom"/>
          </w:tcPr>
          <w:p w14:paraId="45ABEE8B" w14:textId="77777777" w:rsidR="00E71430" w:rsidRPr="00141A4D" w:rsidRDefault="00E71430" w:rsidP="00384DB7">
            <w:pPr>
              <w:pStyle w:val="Tablecondensed"/>
              <w:rPr>
                <w:lang w:val="en-AU"/>
              </w:rPr>
            </w:pPr>
            <w:r>
              <w:rPr>
                <w:lang w:val="en-AU"/>
              </w:rPr>
              <w:t>8</w:t>
            </w:r>
          </w:p>
        </w:tc>
        <w:tc>
          <w:tcPr>
            <w:tcW w:w="556" w:type="pct"/>
            <w:vAlign w:val="bottom"/>
          </w:tcPr>
          <w:p w14:paraId="6FEB15B9" w14:textId="4B5BA289" w:rsidR="00E71430" w:rsidRPr="00141A4D" w:rsidRDefault="00E71430" w:rsidP="00384DB7">
            <w:pPr>
              <w:pStyle w:val="Tablecondensed"/>
              <w:rPr>
                <w:lang w:val="en-AU"/>
              </w:rPr>
            </w:pPr>
            <w:r>
              <w:rPr>
                <w:lang w:val="en-AU"/>
              </w:rPr>
              <w:t>14</w:t>
            </w:r>
          </w:p>
        </w:tc>
        <w:tc>
          <w:tcPr>
            <w:tcW w:w="556" w:type="pct"/>
            <w:vAlign w:val="bottom"/>
          </w:tcPr>
          <w:p w14:paraId="28AD4222" w14:textId="13B67405" w:rsidR="00E71430" w:rsidRPr="00141A4D" w:rsidRDefault="00E71430" w:rsidP="00384DB7">
            <w:pPr>
              <w:pStyle w:val="Tablecondensed"/>
              <w:rPr>
                <w:lang w:val="en-AU"/>
              </w:rPr>
            </w:pPr>
            <w:r>
              <w:rPr>
                <w:lang w:val="en-AU"/>
              </w:rPr>
              <w:t>15</w:t>
            </w:r>
          </w:p>
        </w:tc>
        <w:tc>
          <w:tcPr>
            <w:tcW w:w="556" w:type="pct"/>
          </w:tcPr>
          <w:p w14:paraId="19CEE9CC" w14:textId="66C5E423" w:rsidR="00E71430" w:rsidRDefault="00E71430" w:rsidP="00384DB7">
            <w:pPr>
              <w:pStyle w:val="Tablecondensed"/>
              <w:rPr>
                <w:lang w:val="en-AU"/>
              </w:rPr>
            </w:pPr>
            <w:r>
              <w:rPr>
                <w:lang w:val="en-AU"/>
              </w:rPr>
              <w:t>15</w:t>
            </w:r>
          </w:p>
        </w:tc>
        <w:tc>
          <w:tcPr>
            <w:tcW w:w="556" w:type="pct"/>
          </w:tcPr>
          <w:p w14:paraId="31EBE99D" w14:textId="403AA325" w:rsidR="00E71430" w:rsidRDefault="00E71430" w:rsidP="00384DB7">
            <w:pPr>
              <w:pStyle w:val="Tablecondensed"/>
              <w:rPr>
                <w:lang w:val="en-AU"/>
              </w:rPr>
            </w:pPr>
            <w:r>
              <w:rPr>
                <w:lang w:val="en-AU"/>
              </w:rPr>
              <w:t>12</w:t>
            </w:r>
          </w:p>
        </w:tc>
        <w:tc>
          <w:tcPr>
            <w:tcW w:w="553" w:type="pct"/>
          </w:tcPr>
          <w:p w14:paraId="426DEFD8" w14:textId="32B3D00C" w:rsidR="00E71430" w:rsidRDefault="00E71430" w:rsidP="00384DB7">
            <w:pPr>
              <w:pStyle w:val="Tablecondensed"/>
              <w:rPr>
                <w:lang w:val="en-AU"/>
              </w:rPr>
            </w:pPr>
            <w:r>
              <w:rPr>
                <w:lang w:val="en-AU"/>
              </w:rPr>
              <w:t>14</w:t>
            </w:r>
          </w:p>
        </w:tc>
        <w:tc>
          <w:tcPr>
            <w:tcW w:w="553" w:type="pct"/>
          </w:tcPr>
          <w:p w14:paraId="0E971A12" w14:textId="0A34AA7E" w:rsidR="00E71430" w:rsidRPr="00141A4D" w:rsidRDefault="00E71430" w:rsidP="00384DB7">
            <w:pPr>
              <w:pStyle w:val="Tablecondensed"/>
              <w:rPr>
                <w:lang w:val="en-AU"/>
              </w:rPr>
            </w:pPr>
            <w:r>
              <w:rPr>
                <w:lang w:val="en-AU"/>
              </w:rPr>
              <w:t>2.8</w:t>
            </w:r>
          </w:p>
        </w:tc>
      </w:tr>
    </w:tbl>
    <w:p w14:paraId="0B6DD7BB" w14:textId="77777777" w:rsidR="00371A26" w:rsidRDefault="00A63228" w:rsidP="00736288">
      <w:pPr>
        <w:pStyle w:val="BodyText"/>
      </w:pPr>
      <w:r w:rsidRPr="00A63228">
        <w:t>Students were required to discuss how a Registered Aboriginal Party (RAP) could influence both economic and conservation relationships with an outdoor environment they had visited or studied.</w:t>
      </w:r>
    </w:p>
    <w:p w14:paraId="22BE5993" w14:textId="28BD4324" w:rsidR="00A63228" w:rsidRDefault="00A63228" w:rsidP="00736288">
      <w:pPr>
        <w:pStyle w:val="BodyText"/>
      </w:pPr>
      <w:r w:rsidRPr="00A63228">
        <w:t xml:space="preserve">High-scoring responses addressed </w:t>
      </w:r>
      <w:r w:rsidRPr="008D1564">
        <w:rPr>
          <w:rStyle w:val="Emphasis"/>
        </w:rPr>
        <w:t>both</w:t>
      </w:r>
      <w:r w:rsidRPr="00A63228">
        <w:t xml:space="preserve"> relationship types and clearly linked their discussion to the chosen RAP and environment.</w:t>
      </w:r>
    </w:p>
    <w:p w14:paraId="29E1F7F2" w14:textId="18762D25" w:rsidR="00CF2421" w:rsidRPr="00A63228" w:rsidRDefault="00CF2421" w:rsidP="00736288">
      <w:pPr>
        <w:pStyle w:val="BodyText"/>
      </w:pPr>
      <w:r>
        <w:t>L</w:t>
      </w:r>
      <w:r w:rsidRPr="00410AA4">
        <w:t>ower</w:t>
      </w:r>
      <w:r>
        <w:t>-</w:t>
      </w:r>
      <w:r w:rsidRPr="00410AA4">
        <w:t xml:space="preserve">scoring responses: </w:t>
      </w:r>
    </w:p>
    <w:p w14:paraId="57BE77CF" w14:textId="653C097C" w:rsidR="00A63228" w:rsidRPr="00736288" w:rsidRDefault="008F224F" w:rsidP="00736288">
      <w:pPr>
        <w:pStyle w:val="Bullet"/>
      </w:pPr>
      <w:r>
        <w:t>described</w:t>
      </w:r>
      <w:r w:rsidR="00A63228" w:rsidRPr="00736288">
        <w:t xml:space="preserve"> only one relationship type</w:t>
      </w:r>
    </w:p>
    <w:p w14:paraId="410730AB" w14:textId="28E63869" w:rsidR="00A63228" w:rsidRPr="00736288" w:rsidRDefault="008F224F" w:rsidP="00736288">
      <w:pPr>
        <w:pStyle w:val="Bullet"/>
      </w:pPr>
      <w:r>
        <w:t>explained</w:t>
      </w:r>
      <w:r w:rsidRPr="00736288">
        <w:t xml:space="preserve"> </w:t>
      </w:r>
      <w:r w:rsidR="00A63228" w:rsidRPr="00736288">
        <w:t>RAP roles rather than how their actions influence relationships with the environment</w:t>
      </w:r>
    </w:p>
    <w:p w14:paraId="4BE2DC3F" w14:textId="0BD0109F" w:rsidR="00A63228" w:rsidRPr="00736288" w:rsidRDefault="008F224F" w:rsidP="00736288">
      <w:pPr>
        <w:pStyle w:val="Bullet"/>
      </w:pPr>
      <w:r>
        <w:t>gave</w:t>
      </w:r>
      <w:r w:rsidRPr="00736288">
        <w:t xml:space="preserve"> </w:t>
      </w:r>
      <w:r w:rsidR="00A63228" w:rsidRPr="00736288">
        <w:t>generic statements without naming a specific RAP or specific environment</w:t>
      </w:r>
    </w:p>
    <w:p w14:paraId="59284BB4" w14:textId="2E0E20B6" w:rsidR="00A63228" w:rsidRPr="00736288" w:rsidRDefault="008F224F" w:rsidP="00736288">
      <w:pPr>
        <w:pStyle w:val="Bullet"/>
      </w:pPr>
      <w:r>
        <w:t>discussed</w:t>
      </w:r>
      <w:r w:rsidRPr="00736288">
        <w:t xml:space="preserve"> </w:t>
      </w:r>
      <w:r w:rsidR="00A63228" w:rsidRPr="00736288">
        <w:t>cultural values without linking to economic outcomes (</w:t>
      </w:r>
      <w:r w:rsidR="001B0E08">
        <w:t>for example,</w:t>
      </w:r>
      <w:r w:rsidR="00A63228" w:rsidRPr="00736288">
        <w:t xml:space="preserve"> employment, bush foods</w:t>
      </w:r>
      <w:r w:rsidR="001B0E08">
        <w:t xml:space="preserve"> or</w:t>
      </w:r>
      <w:r w:rsidR="001B0E08" w:rsidRPr="00736288">
        <w:t xml:space="preserve"> </w:t>
      </w:r>
      <w:r w:rsidR="00A63228" w:rsidRPr="00736288">
        <w:t>tourism) or conservation outcomes (</w:t>
      </w:r>
      <w:r w:rsidR="001B0E08">
        <w:t>for example,</w:t>
      </w:r>
      <w:r w:rsidR="00A63228" w:rsidRPr="00736288">
        <w:t xml:space="preserve"> restoration</w:t>
      </w:r>
      <w:r w:rsidR="001B0E08">
        <w:t xml:space="preserve"> or</w:t>
      </w:r>
      <w:r w:rsidR="00A63228" w:rsidRPr="00736288">
        <w:t xml:space="preserve"> species recovery)</w:t>
      </w:r>
    </w:p>
    <w:p w14:paraId="79ED2B07" w14:textId="3A27B244" w:rsidR="00A63228" w:rsidRPr="00736288" w:rsidRDefault="008F224F" w:rsidP="00736288">
      <w:pPr>
        <w:pStyle w:val="Bullet"/>
      </w:pPr>
      <w:r>
        <w:t>did not</w:t>
      </w:r>
      <w:r w:rsidRPr="00736288">
        <w:t xml:space="preserve"> </w:t>
      </w:r>
      <w:r w:rsidR="00A63228" w:rsidRPr="00736288">
        <w:t xml:space="preserve">show actual impact, such as stating a RAP </w:t>
      </w:r>
      <w:r>
        <w:t>‘</w:t>
      </w:r>
      <w:r w:rsidR="00A63228" w:rsidRPr="00736288">
        <w:t>works with Parks Victoria</w:t>
      </w:r>
      <w:r>
        <w:t>’</w:t>
      </w:r>
      <w:r w:rsidR="00A63228" w:rsidRPr="00736288">
        <w:t xml:space="preserve"> without explaining how this changes economic or conservation relationships.</w:t>
      </w:r>
    </w:p>
    <w:p w14:paraId="648C94B4" w14:textId="63133750" w:rsidR="00CF2421" w:rsidRDefault="00CF2421" w:rsidP="00736288">
      <w:pPr>
        <w:pStyle w:val="BodyText"/>
      </w:pPr>
      <w:r>
        <w:t xml:space="preserve">The following </w:t>
      </w:r>
      <w:r w:rsidR="00BD3DE6">
        <w:t>are</w:t>
      </w:r>
      <w:r>
        <w:t xml:space="preserve"> example</w:t>
      </w:r>
      <w:r w:rsidR="00BD3DE6">
        <w:t>s</w:t>
      </w:r>
      <w:r>
        <w:t xml:space="preserve"> of high-scoring student response</w:t>
      </w:r>
      <w:r w:rsidR="00BD3DE6">
        <w:t>s</w:t>
      </w:r>
      <w:r>
        <w:t>.</w:t>
      </w:r>
    </w:p>
    <w:p w14:paraId="4B65BE67" w14:textId="5BB4322B" w:rsidR="00BD3DE6" w:rsidRDefault="008D1564" w:rsidP="00736288">
      <w:pPr>
        <w:pStyle w:val="BodyText"/>
      </w:pPr>
      <w:r>
        <w:t>E</w:t>
      </w:r>
      <w:r w:rsidR="00BD3DE6">
        <w:t>xample 1:</w:t>
      </w:r>
    </w:p>
    <w:p w14:paraId="2475529B" w14:textId="281205BC" w:rsidR="00BD3DE6" w:rsidRPr="001448D4" w:rsidRDefault="00664B64" w:rsidP="00D81D54">
      <w:pPr>
        <w:pStyle w:val="BodyText"/>
        <w:ind w:left="284"/>
        <w:rPr>
          <w:rStyle w:val="Emphasis"/>
        </w:rPr>
      </w:pPr>
      <w:r w:rsidRPr="001448D4">
        <w:rPr>
          <w:rStyle w:val="Emphasis"/>
        </w:rPr>
        <w:t xml:space="preserve">The Yorta Yorta Nation Aboriginal Corporation could influence the economic interactions with the Barmah National Park by using the King Fisher Cruise. Through viewing the Murray as a resource to make </w:t>
      </w:r>
      <w:r w:rsidR="00066B38" w:rsidRPr="001448D4">
        <w:rPr>
          <w:rStyle w:val="Emphasis"/>
        </w:rPr>
        <w:t>monetary</w:t>
      </w:r>
      <w:r w:rsidRPr="001448D4">
        <w:rPr>
          <w:rStyle w:val="Emphasis"/>
        </w:rPr>
        <w:t xml:space="preserve"> gain, the Eco-tourism service can provide </w:t>
      </w:r>
      <w:r w:rsidR="00902B5B">
        <w:rPr>
          <w:rStyle w:val="Emphasis"/>
        </w:rPr>
        <w:t>I</w:t>
      </w:r>
      <w:r w:rsidRPr="001448D4">
        <w:rPr>
          <w:rStyle w:val="Emphasis"/>
        </w:rPr>
        <w:t xml:space="preserve">ndigenous knowledge and understanding, to educate society on matters such as the health of the river through Indicator species. The conservationists will endorse this sentiment furthering their understanding of environmental Indicators such as the Broad Shelled Turtle in the Murray. Where the Indigenous </w:t>
      </w:r>
      <w:r w:rsidR="005C22A6">
        <w:rPr>
          <w:rStyle w:val="Emphasis"/>
        </w:rPr>
        <w:t>E</w:t>
      </w:r>
      <w:r w:rsidRPr="001448D4">
        <w:rPr>
          <w:rStyle w:val="Emphasis"/>
        </w:rPr>
        <w:t>lders guiding these tours can utilise the money to fund further conservation in the National Park, such as conducting data collections on the species population of Broad Shelled Turtle. Using modern scientific evidence and data collection the Yorta Yorta Nation Aboriginal Corporation can prove their legitimacy in being able to manage Barmah, potentially leading to an extension of the National Park, and additional funds to preserve its natural value.</w:t>
      </w:r>
    </w:p>
    <w:p w14:paraId="248638C6" w14:textId="5672D304" w:rsidR="000E476A" w:rsidRPr="00D81D54" w:rsidRDefault="008D1564" w:rsidP="00D81D54">
      <w:pPr>
        <w:pStyle w:val="BodyText"/>
      </w:pPr>
      <w:r>
        <w:t>E</w:t>
      </w:r>
      <w:r w:rsidR="00BD3DE6">
        <w:t>xample 2:</w:t>
      </w:r>
    </w:p>
    <w:p w14:paraId="7838EA74" w14:textId="4B2979A9" w:rsidR="000E476A" w:rsidRPr="001448D4" w:rsidRDefault="000E476A" w:rsidP="000E476A">
      <w:pPr>
        <w:pStyle w:val="BodyText"/>
        <w:ind w:left="284"/>
        <w:rPr>
          <w:rStyle w:val="Emphasis"/>
        </w:rPr>
      </w:pPr>
      <w:r w:rsidRPr="001448D4">
        <w:rPr>
          <w:rStyle w:val="Emphasis"/>
        </w:rPr>
        <w:t>The Gunaikurnai Land and Water Aboriginal Corporation (GLaWAC) has influenced the economic relationship between Wanders Boat Tours at Norman Beach in Wilsons Promontory by promoting an understanding of the environment as something that must be cared for and protected. As a result, Wanders Boat Tours has reduced its carbon emissions by transitioning to solar-powered boats and incorporating Indigenous culture and perspectives into their tours. These changes have led to a reduction in CO</w:t>
      </w:r>
      <w:r w:rsidRPr="008D1564">
        <w:rPr>
          <w:rStyle w:val="Subscriptemphasis"/>
          <w:rFonts w:ascii="Cambria Math" w:hAnsi="Cambria Math"/>
        </w:rPr>
        <w:t>₂</w:t>
      </w:r>
      <w:r w:rsidRPr="001448D4">
        <w:rPr>
          <w:rStyle w:val="Emphasis"/>
        </w:rPr>
        <w:t xml:space="preserve"> emissions, helping to mitigate the impacts of climate change at Norman Beach, while also increasing awareness and understanding of Gunaikurnai culture, values, and beliefs among visitors.</w:t>
      </w:r>
    </w:p>
    <w:p w14:paraId="3A875462" w14:textId="77777777" w:rsidR="000E476A" w:rsidRPr="001448D4" w:rsidRDefault="000E476A" w:rsidP="000E476A">
      <w:pPr>
        <w:pStyle w:val="BodyText"/>
        <w:ind w:left="284"/>
        <w:rPr>
          <w:rStyle w:val="Emphasis"/>
        </w:rPr>
      </w:pPr>
      <w:r w:rsidRPr="001448D4">
        <w:rPr>
          <w:rStyle w:val="Emphasis"/>
        </w:rPr>
        <w:t>Furthermore, GLaWAC has also influenced the conservation relationship of Parks Victoria rangers, who now view the land at Tidal River in Wilsons Promontory as something that must be actively protected and preserved. This has resulted in collaboration between GLaWAC and Parks Victoria rangers, including the use of cultural burning practices (cool burns) at Tidal River to reduce undergrowth and manage invasive species such as bracken fern. The effects of these practices include a reduction in the frequency and intensity of bushfires, as well as an increase in native biodiversity through the removal of bracken fern, which can smother native plant species.</w:t>
      </w:r>
    </w:p>
    <w:p w14:paraId="043CD3EF" w14:textId="77777777" w:rsidR="00BD3DE6" w:rsidRDefault="00BD3DE6">
      <w:pPr>
        <w:spacing w:line="276" w:lineRule="auto"/>
        <w:rPr>
          <w:rFonts w:ascii="Arial" w:hAnsi="Arial" w:cs="Arial"/>
          <w:color w:val="0F7EB4"/>
          <w:sz w:val="32"/>
          <w:szCs w:val="24"/>
          <w:lang w:val="en-AU"/>
        </w:rPr>
      </w:pPr>
      <w:r>
        <w:br w:type="page"/>
      </w:r>
    </w:p>
    <w:p w14:paraId="306D9F12" w14:textId="61869CDE" w:rsidR="009201CA" w:rsidRPr="00736288" w:rsidRDefault="00A63228" w:rsidP="00736288">
      <w:pPr>
        <w:pStyle w:val="Heading3"/>
      </w:pPr>
      <w:r w:rsidRPr="00736288">
        <w:lastRenderedPageBreak/>
        <w:t>Question 5a</w:t>
      </w:r>
      <w:r w:rsidR="001F7C99">
        <w:t>.</w:t>
      </w:r>
    </w:p>
    <w:tbl>
      <w:tblPr>
        <w:tblStyle w:val="VCAATableClosed"/>
        <w:tblW w:w="4444" w:type="pct"/>
        <w:tblLook w:val="04A0" w:firstRow="1" w:lastRow="0" w:firstColumn="1" w:lastColumn="0" w:noHBand="0" w:noVBand="1"/>
      </w:tblPr>
      <w:tblGrid>
        <w:gridCol w:w="1072"/>
        <w:gridCol w:w="1072"/>
        <w:gridCol w:w="1071"/>
        <w:gridCol w:w="1071"/>
        <w:gridCol w:w="1071"/>
        <w:gridCol w:w="1070"/>
        <w:gridCol w:w="1070"/>
        <w:gridCol w:w="1061"/>
      </w:tblGrid>
      <w:tr w:rsidR="00E71430" w:rsidRPr="00141A4D" w14:paraId="4038DDD8" w14:textId="77777777" w:rsidTr="00E71430">
        <w:trPr>
          <w:cnfStyle w:val="100000000000" w:firstRow="1" w:lastRow="0" w:firstColumn="0" w:lastColumn="0" w:oddVBand="0" w:evenVBand="0" w:oddHBand="0" w:evenHBand="0" w:firstRowFirstColumn="0" w:firstRowLastColumn="0" w:lastRowFirstColumn="0" w:lastRowLastColumn="0"/>
        </w:trPr>
        <w:tc>
          <w:tcPr>
            <w:tcW w:w="626" w:type="pct"/>
          </w:tcPr>
          <w:p w14:paraId="41478E0F" w14:textId="77777777" w:rsidR="00E71430" w:rsidRPr="00141A4D" w:rsidRDefault="00E71430" w:rsidP="00384DB7">
            <w:pPr>
              <w:pStyle w:val="Tablecondensedheading"/>
              <w:rPr>
                <w:lang w:val="en-AU"/>
              </w:rPr>
            </w:pPr>
            <w:r w:rsidRPr="00141A4D">
              <w:rPr>
                <w:lang w:val="en-AU"/>
              </w:rPr>
              <w:t>Mark</w:t>
            </w:r>
            <w:r>
              <w:rPr>
                <w:lang w:val="en-AU"/>
              </w:rPr>
              <w:t>s</w:t>
            </w:r>
          </w:p>
        </w:tc>
        <w:tc>
          <w:tcPr>
            <w:tcW w:w="626" w:type="pct"/>
          </w:tcPr>
          <w:p w14:paraId="7121B7D4" w14:textId="77777777" w:rsidR="00E71430" w:rsidRPr="00141A4D" w:rsidRDefault="00E71430" w:rsidP="00384DB7">
            <w:pPr>
              <w:pStyle w:val="Tablecondensedheading"/>
              <w:rPr>
                <w:lang w:val="en-AU"/>
              </w:rPr>
            </w:pPr>
            <w:r w:rsidRPr="00141A4D">
              <w:rPr>
                <w:lang w:val="en-AU"/>
              </w:rPr>
              <w:t>0</w:t>
            </w:r>
          </w:p>
        </w:tc>
        <w:tc>
          <w:tcPr>
            <w:tcW w:w="626" w:type="pct"/>
          </w:tcPr>
          <w:p w14:paraId="35962CD0" w14:textId="77777777" w:rsidR="00E71430" w:rsidRPr="00141A4D" w:rsidRDefault="00E71430" w:rsidP="00384DB7">
            <w:pPr>
              <w:pStyle w:val="Tablecondensedheading"/>
              <w:rPr>
                <w:lang w:val="en-AU"/>
              </w:rPr>
            </w:pPr>
            <w:r w:rsidRPr="00141A4D">
              <w:rPr>
                <w:lang w:val="en-AU"/>
              </w:rPr>
              <w:t>1</w:t>
            </w:r>
          </w:p>
        </w:tc>
        <w:tc>
          <w:tcPr>
            <w:tcW w:w="626" w:type="pct"/>
          </w:tcPr>
          <w:p w14:paraId="5D41F782" w14:textId="77777777" w:rsidR="00E71430" w:rsidRPr="00141A4D" w:rsidRDefault="00E71430" w:rsidP="00384DB7">
            <w:pPr>
              <w:pStyle w:val="Tablecondensedheading"/>
              <w:rPr>
                <w:lang w:val="en-AU"/>
              </w:rPr>
            </w:pPr>
            <w:r w:rsidRPr="00141A4D">
              <w:rPr>
                <w:lang w:val="en-AU"/>
              </w:rPr>
              <w:t>2</w:t>
            </w:r>
          </w:p>
        </w:tc>
        <w:tc>
          <w:tcPr>
            <w:tcW w:w="626" w:type="pct"/>
          </w:tcPr>
          <w:p w14:paraId="46C12F29" w14:textId="77777777" w:rsidR="00E71430" w:rsidRPr="00141A4D" w:rsidRDefault="00E71430" w:rsidP="00384DB7">
            <w:pPr>
              <w:pStyle w:val="Tablecondensedheading"/>
              <w:rPr>
                <w:lang w:val="en-AU"/>
              </w:rPr>
            </w:pPr>
            <w:r w:rsidRPr="00141A4D">
              <w:rPr>
                <w:lang w:val="en-AU"/>
              </w:rPr>
              <w:t>3</w:t>
            </w:r>
          </w:p>
        </w:tc>
        <w:tc>
          <w:tcPr>
            <w:tcW w:w="625" w:type="pct"/>
          </w:tcPr>
          <w:p w14:paraId="7C3B182D" w14:textId="77777777" w:rsidR="00E71430" w:rsidRPr="00141A4D" w:rsidRDefault="00E71430" w:rsidP="00384DB7">
            <w:pPr>
              <w:pStyle w:val="Tablecondensedheading"/>
              <w:rPr>
                <w:lang w:val="en-AU"/>
              </w:rPr>
            </w:pPr>
            <w:r>
              <w:rPr>
                <w:lang w:val="en-AU"/>
              </w:rPr>
              <w:t>4</w:t>
            </w:r>
          </w:p>
        </w:tc>
        <w:tc>
          <w:tcPr>
            <w:tcW w:w="625" w:type="pct"/>
          </w:tcPr>
          <w:p w14:paraId="021B5FDA" w14:textId="77777777" w:rsidR="00E71430" w:rsidRPr="00141A4D" w:rsidRDefault="00E71430" w:rsidP="00384DB7">
            <w:pPr>
              <w:pStyle w:val="Tablecondensedheading"/>
              <w:rPr>
                <w:lang w:val="en-AU"/>
              </w:rPr>
            </w:pPr>
            <w:r>
              <w:rPr>
                <w:lang w:val="en-AU"/>
              </w:rPr>
              <w:t>5</w:t>
            </w:r>
          </w:p>
        </w:tc>
        <w:tc>
          <w:tcPr>
            <w:tcW w:w="622" w:type="pct"/>
          </w:tcPr>
          <w:p w14:paraId="72C665B6" w14:textId="77777777" w:rsidR="00E71430" w:rsidRPr="00141A4D" w:rsidRDefault="00E71430" w:rsidP="00384DB7">
            <w:pPr>
              <w:pStyle w:val="Tablecondensedheading"/>
              <w:rPr>
                <w:lang w:val="en-AU"/>
              </w:rPr>
            </w:pPr>
            <w:r w:rsidRPr="00141A4D">
              <w:rPr>
                <w:lang w:val="en-AU"/>
              </w:rPr>
              <w:t>Average</w:t>
            </w:r>
          </w:p>
        </w:tc>
      </w:tr>
      <w:tr w:rsidR="00E71430" w:rsidRPr="00141A4D" w14:paraId="4F7E3837" w14:textId="77777777" w:rsidTr="00E71430">
        <w:tc>
          <w:tcPr>
            <w:tcW w:w="626" w:type="pct"/>
          </w:tcPr>
          <w:p w14:paraId="60A38281" w14:textId="77777777" w:rsidR="00E71430" w:rsidRPr="00141A4D" w:rsidRDefault="00E71430" w:rsidP="00384DB7">
            <w:pPr>
              <w:pStyle w:val="Tablecondensed"/>
              <w:rPr>
                <w:lang w:val="en-AU"/>
              </w:rPr>
            </w:pPr>
            <w:r w:rsidRPr="00141A4D">
              <w:rPr>
                <w:lang w:val="en-AU"/>
              </w:rPr>
              <w:t>%</w:t>
            </w:r>
          </w:p>
        </w:tc>
        <w:tc>
          <w:tcPr>
            <w:tcW w:w="626" w:type="pct"/>
            <w:vAlign w:val="bottom"/>
          </w:tcPr>
          <w:p w14:paraId="7BD2834C" w14:textId="5F5D67C8" w:rsidR="00E71430" w:rsidRPr="00141A4D" w:rsidRDefault="00E71430" w:rsidP="00384DB7">
            <w:pPr>
              <w:pStyle w:val="Tablecondensed"/>
              <w:rPr>
                <w:lang w:val="en-AU"/>
              </w:rPr>
            </w:pPr>
            <w:r>
              <w:rPr>
                <w:lang w:val="en-AU"/>
              </w:rPr>
              <w:t>13</w:t>
            </w:r>
          </w:p>
        </w:tc>
        <w:tc>
          <w:tcPr>
            <w:tcW w:w="626" w:type="pct"/>
            <w:vAlign w:val="bottom"/>
          </w:tcPr>
          <w:p w14:paraId="56040527" w14:textId="7176F85E" w:rsidR="00E71430" w:rsidRPr="00141A4D" w:rsidRDefault="00E71430" w:rsidP="00384DB7">
            <w:pPr>
              <w:pStyle w:val="Tablecondensed"/>
              <w:rPr>
                <w:lang w:val="en-AU"/>
              </w:rPr>
            </w:pPr>
            <w:r>
              <w:rPr>
                <w:lang w:val="en-AU"/>
              </w:rPr>
              <w:t>6</w:t>
            </w:r>
          </w:p>
        </w:tc>
        <w:tc>
          <w:tcPr>
            <w:tcW w:w="626" w:type="pct"/>
            <w:vAlign w:val="bottom"/>
          </w:tcPr>
          <w:p w14:paraId="73467D76" w14:textId="02BB086A" w:rsidR="00E71430" w:rsidRPr="00141A4D" w:rsidRDefault="00E71430" w:rsidP="00384DB7">
            <w:pPr>
              <w:pStyle w:val="Tablecondensed"/>
              <w:rPr>
                <w:lang w:val="en-AU"/>
              </w:rPr>
            </w:pPr>
            <w:r>
              <w:rPr>
                <w:lang w:val="en-AU"/>
              </w:rPr>
              <w:t>13</w:t>
            </w:r>
          </w:p>
        </w:tc>
        <w:tc>
          <w:tcPr>
            <w:tcW w:w="626" w:type="pct"/>
            <w:vAlign w:val="bottom"/>
          </w:tcPr>
          <w:p w14:paraId="7247FEF7" w14:textId="044928BB" w:rsidR="00E71430" w:rsidRPr="00141A4D" w:rsidRDefault="00E71430" w:rsidP="00384DB7">
            <w:pPr>
              <w:pStyle w:val="Tablecondensed"/>
              <w:rPr>
                <w:lang w:val="en-AU"/>
              </w:rPr>
            </w:pPr>
            <w:r>
              <w:rPr>
                <w:lang w:val="en-AU"/>
              </w:rPr>
              <w:t>20</w:t>
            </w:r>
          </w:p>
        </w:tc>
        <w:tc>
          <w:tcPr>
            <w:tcW w:w="625" w:type="pct"/>
          </w:tcPr>
          <w:p w14:paraId="4F0D4789" w14:textId="101B34C1" w:rsidR="00E71430" w:rsidRDefault="00E71430" w:rsidP="00384DB7">
            <w:pPr>
              <w:pStyle w:val="Tablecondensed"/>
              <w:rPr>
                <w:lang w:val="en-AU"/>
              </w:rPr>
            </w:pPr>
            <w:r>
              <w:rPr>
                <w:lang w:val="en-AU"/>
              </w:rPr>
              <w:t>22</w:t>
            </w:r>
          </w:p>
        </w:tc>
        <w:tc>
          <w:tcPr>
            <w:tcW w:w="625" w:type="pct"/>
          </w:tcPr>
          <w:p w14:paraId="4B7E2BB6" w14:textId="7C7B9FFA" w:rsidR="00E71430" w:rsidRDefault="00E71430" w:rsidP="00384DB7">
            <w:pPr>
              <w:pStyle w:val="Tablecondensed"/>
              <w:rPr>
                <w:lang w:val="en-AU"/>
              </w:rPr>
            </w:pPr>
            <w:r>
              <w:rPr>
                <w:lang w:val="en-AU"/>
              </w:rPr>
              <w:t>27</w:t>
            </w:r>
          </w:p>
        </w:tc>
        <w:tc>
          <w:tcPr>
            <w:tcW w:w="622" w:type="pct"/>
          </w:tcPr>
          <w:p w14:paraId="6BEBC8AB" w14:textId="11AEC48B" w:rsidR="00E71430" w:rsidRPr="00141A4D" w:rsidRDefault="00E71430" w:rsidP="00384DB7">
            <w:pPr>
              <w:pStyle w:val="Tablecondensed"/>
              <w:rPr>
                <w:lang w:val="en-AU"/>
              </w:rPr>
            </w:pPr>
            <w:r>
              <w:rPr>
                <w:lang w:val="en-AU"/>
              </w:rPr>
              <w:t>3.1</w:t>
            </w:r>
          </w:p>
        </w:tc>
      </w:tr>
    </w:tbl>
    <w:p w14:paraId="1E816E80" w14:textId="77777777" w:rsidR="009A09AF" w:rsidRDefault="00A63228" w:rsidP="00736288">
      <w:pPr>
        <w:pStyle w:val="BodyText"/>
      </w:pPr>
      <w:r w:rsidRPr="00A63228">
        <w:t xml:space="preserve">Students were required to describe one method </w:t>
      </w:r>
      <w:r w:rsidR="008A1FB8">
        <w:t xml:space="preserve">that </w:t>
      </w:r>
      <w:r w:rsidRPr="00A63228">
        <w:t>each group could use to influence decision-makers about the proposed ban on private vehicles in the CBD.</w:t>
      </w:r>
    </w:p>
    <w:p w14:paraId="09D1DB4E" w14:textId="0BED113F" w:rsidR="00A63228" w:rsidRDefault="00A63228" w:rsidP="00736288">
      <w:pPr>
        <w:pStyle w:val="BodyText"/>
      </w:pPr>
      <w:r w:rsidRPr="00A63228">
        <w:t xml:space="preserve">High-scoring responses identified a valid method for </w:t>
      </w:r>
      <w:r w:rsidRPr="008D1564">
        <w:rPr>
          <w:rStyle w:val="Emphasis"/>
        </w:rPr>
        <w:t>both</w:t>
      </w:r>
      <w:r w:rsidRPr="00A63228">
        <w:t xml:space="preserve"> Liveable Cities and Keep Us Moving, and explained how each method could influence council decision-making using details from the stimulus.</w:t>
      </w:r>
    </w:p>
    <w:p w14:paraId="040A929C" w14:textId="1F2CE18E" w:rsidR="00CF2421" w:rsidRPr="00A63228" w:rsidRDefault="00CF2421" w:rsidP="00736288">
      <w:pPr>
        <w:pStyle w:val="BodyText"/>
      </w:pPr>
      <w:r>
        <w:t>L</w:t>
      </w:r>
      <w:r w:rsidRPr="00410AA4">
        <w:t>ower</w:t>
      </w:r>
      <w:r>
        <w:t>-</w:t>
      </w:r>
      <w:r w:rsidRPr="00410AA4">
        <w:t xml:space="preserve">scoring responses: </w:t>
      </w:r>
    </w:p>
    <w:p w14:paraId="7A65BB36" w14:textId="5052402F" w:rsidR="00A63228" w:rsidRPr="00A63228" w:rsidRDefault="008F224F" w:rsidP="00736288">
      <w:pPr>
        <w:pStyle w:val="Bullet"/>
      </w:pPr>
      <w:r>
        <w:t>identified</w:t>
      </w:r>
      <w:r w:rsidR="00A63228" w:rsidRPr="00A63228">
        <w:t xml:space="preserve"> a method without explaining how it influences decision-makers</w:t>
      </w:r>
    </w:p>
    <w:p w14:paraId="2BCC1056" w14:textId="6F4114BD" w:rsidR="00A63228" w:rsidRPr="00A63228" w:rsidRDefault="008F224F" w:rsidP="00736288">
      <w:pPr>
        <w:pStyle w:val="Bullet"/>
      </w:pPr>
      <w:r>
        <w:t>failed</w:t>
      </w:r>
      <w:r w:rsidRPr="00A63228">
        <w:t xml:space="preserve"> </w:t>
      </w:r>
      <w:r w:rsidR="00A63228" w:rsidRPr="00A63228">
        <w:t>to use information from the stimulus, such as environmental or business concerns</w:t>
      </w:r>
    </w:p>
    <w:p w14:paraId="4E9B87B0" w14:textId="0E161281" w:rsidR="00A63228" w:rsidRPr="00A63228" w:rsidRDefault="008F224F" w:rsidP="00736288">
      <w:pPr>
        <w:pStyle w:val="Bullet"/>
      </w:pPr>
      <w:r>
        <w:t>suggested</w:t>
      </w:r>
      <w:r w:rsidRPr="00A63228">
        <w:t xml:space="preserve"> </w:t>
      </w:r>
      <w:r w:rsidR="00A63228" w:rsidRPr="00A63228">
        <w:t xml:space="preserve">violent or unlawful actions, which </w:t>
      </w:r>
      <w:r w:rsidR="007F3B17" w:rsidRPr="00A63228">
        <w:t>d</w:t>
      </w:r>
      <w:r w:rsidR="007F3B17">
        <w:t>id</w:t>
      </w:r>
      <w:r w:rsidR="007F3B17" w:rsidRPr="00A63228">
        <w:t xml:space="preserve"> </w:t>
      </w:r>
      <w:r w:rsidR="00A63228" w:rsidRPr="00A63228">
        <w:t>not attract marks</w:t>
      </w:r>
    </w:p>
    <w:p w14:paraId="3FB1399D" w14:textId="20BB4946" w:rsidR="00A63228" w:rsidRPr="00A63228" w:rsidRDefault="008F224F" w:rsidP="00736288">
      <w:pPr>
        <w:pStyle w:val="Bullet"/>
      </w:pPr>
      <w:r>
        <w:t>provided</w:t>
      </w:r>
      <w:r w:rsidRPr="00A63228">
        <w:t xml:space="preserve"> </w:t>
      </w:r>
      <w:r w:rsidR="00A63228" w:rsidRPr="00A63228">
        <w:t>actions that do not meaningfully influence decisions (</w:t>
      </w:r>
      <w:r w:rsidR="009A09AF">
        <w:t>for example,</w:t>
      </w:r>
      <w:r w:rsidR="00A63228" w:rsidRPr="00A63228">
        <w:t xml:space="preserve"> generic online complaining)</w:t>
      </w:r>
    </w:p>
    <w:p w14:paraId="0CFC0B3D" w14:textId="074E53D1" w:rsidR="00A63228" w:rsidRPr="00A63228" w:rsidRDefault="008F224F" w:rsidP="00736288">
      <w:pPr>
        <w:pStyle w:val="Bullet"/>
      </w:pPr>
      <w:r>
        <w:t>confused</w:t>
      </w:r>
      <w:r w:rsidRPr="00A63228">
        <w:t xml:space="preserve"> </w:t>
      </w:r>
      <w:r w:rsidR="00A63228" w:rsidRPr="00A63228">
        <w:t xml:space="preserve">methods used by groups with processes used to resolve conflicts (covered in </w:t>
      </w:r>
      <w:r w:rsidR="007F3B17">
        <w:t xml:space="preserve">Question </w:t>
      </w:r>
      <w:r w:rsidR="00A63228" w:rsidRPr="00A63228">
        <w:t>5b).</w:t>
      </w:r>
    </w:p>
    <w:p w14:paraId="2CE744A6" w14:textId="655B89FB" w:rsidR="00C5284B" w:rsidRPr="00C5284B" w:rsidRDefault="00C5284B" w:rsidP="00736288">
      <w:pPr>
        <w:pStyle w:val="BodyText"/>
      </w:pPr>
      <w:r w:rsidRPr="00C5284B">
        <w:t>Acceptable methods include</w:t>
      </w:r>
      <w:r w:rsidR="008A1FB8">
        <w:t>d</w:t>
      </w:r>
      <w:r w:rsidRPr="00C5284B">
        <w:t>:</w:t>
      </w:r>
    </w:p>
    <w:p w14:paraId="3F415EB5" w14:textId="77777777" w:rsidR="00C5284B" w:rsidRPr="00C5284B" w:rsidRDefault="00C5284B" w:rsidP="00736288">
      <w:pPr>
        <w:pStyle w:val="Bullet"/>
      </w:pPr>
      <w:r w:rsidRPr="00C5284B">
        <w:t>non-violent protest</w:t>
      </w:r>
    </w:p>
    <w:p w14:paraId="49DB2DC1" w14:textId="77777777" w:rsidR="00C5284B" w:rsidRPr="00C5284B" w:rsidRDefault="00C5284B" w:rsidP="00736288">
      <w:pPr>
        <w:pStyle w:val="Bullet"/>
      </w:pPr>
      <w:r w:rsidRPr="00C5284B">
        <w:t>formal petitions</w:t>
      </w:r>
    </w:p>
    <w:p w14:paraId="78772372" w14:textId="1D902833" w:rsidR="00C5284B" w:rsidRPr="00C5284B" w:rsidRDefault="000F6616" w:rsidP="00736288">
      <w:pPr>
        <w:pStyle w:val="Bullet"/>
      </w:pPr>
      <w:r>
        <w:t>scientific research and presenting reports</w:t>
      </w:r>
    </w:p>
    <w:p w14:paraId="11C2D00B" w14:textId="77777777" w:rsidR="00C5284B" w:rsidRPr="00C5284B" w:rsidRDefault="00C5284B" w:rsidP="00736288">
      <w:pPr>
        <w:pStyle w:val="Bullet"/>
      </w:pPr>
      <w:r w:rsidRPr="00C5284B">
        <w:t>media or social media campaigns</w:t>
      </w:r>
    </w:p>
    <w:p w14:paraId="79B40245" w14:textId="77777777" w:rsidR="00C5284B" w:rsidRPr="00C5284B" w:rsidRDefault="00C5284B" w:rsidP="00736288">
      <w:pPr>
        <w:pStyle w:val="Bullet"/>
      </w:pPr>
      <w:r w:rsidRPr="00C5284B">
        <w:t>use of prominent or influential people</w:t>
      </w:r>
    </w:p>
    <w:p w14:paraId="09C80DD3" w14:textId="77777777" w:rsidR="00C5284B" w:rsidRPr="00C5284B" w:rsidRDefault="00C5284B" w:rsidP="00736288">
      <w:pPr>
        <w:pStyle w:val="Bullet"/>
      </w:pPr>
      <w:r w:rsidRPr="00C5284B">
        <w:t>forming partnerships</w:t>
      </w:r>
    </w:p>
    <w:p w14:paraId="5AC71BC3" w14:textId="77777777" w:rsidR="00C5284B" w:rsidRPr="00C5284B" w:rsidRDefault="00C5284B" w:rsidP="00736288">
      <w:pPr>
        <w:pStyle w:val="Bullet"/>
      </w:pPr>
      <w:r w:rsidRPr="00C5284B">
        <w:t>letter writing</w:t>
      </w:r>
    </w:p>
    <w:p w14:paraId="2380E5F4" w14:textId="79A2E71A" w:rsidR="00C5284B" w:rsidRPr="00C5284B" w:rsidRDefault="00C5284B" w:rsidP="00736288">
      <w:pPr>
        <w:pStyle w:val="Bullet"/>
      </w:pPr>
      <w:r w:rsidRPr="00C5284B">
        <w:t>lobbying or meeting with decision-makers</w:t>
      </w:r>
      <w:r w:rsidR="0006388A">
        <w:t>.</w:t>
      </w:r>
    </w:p>
    <w:p w14:paraId="3F29E30A" w14:textId="2922E59E" w:rsidR="00CF2421" w:rsidRPr="00C5284B" w:rsidRDefault="00CF2421" w:rsidP="00736288">
      <w:pPr>
        <w:pStyle w:val="BodyText"/>
      </w:pPr>
      <w:r>
        <w:t>The following is an example of a high-scoring student response.</w:t>
      </w:r>
    </w:p>
    <w:p w14:paraId="1E696F8F" w14:textId="646E644C" w:rsidR="00C5284B" w:rsidRPr="001448D4" w:rsidRDefault="00C5284B" w:rsidP="00943BB7">
      <w:pPr>
        <w:pStyle w:val="BodyText"/>
        <w:ind w:left="284"/>
        <w:rPr>
          <w:rStyle w:val="Emphasis"/>
        </w:rPr>
      </w:pPr>
      <w:r w:rsidRPr="001448D4">
        <w:rPr>
          <w:rStyle w:val="Emphasis"/>
        </w:rPr>
        <w:t xml:space="preserve">Liveable Cities could commission </w:t>
      </w:r>
      <w:r w:rsidR="000F6616" w:rsidRPr="001448D4">
        <w:rPr>
          <w:rStyle w:val="Emphasis"/>
        </w:rPr>
        <w:t xml:space="preserve">could use research and </w:t>
      </w:r>
      <w:r w:rsidRPr="001448D4">
        <w:rPr>
          <w:rStyle w:val="Emphasis"/>
        </w:rPr>
        <w:t>evidence to demonstrate the environmental and social benefits of removing cars from the CBD. These experts could draw on data from international cities that have successfully implemented similar bans, supporting the group’s argument that improved air quality, safer streets and enhanced liveability justify the proposal. This method can influence decision-makers by providing credible, research-based justification for the ban.</w:t>
      </w:r>
    </w:p>
    <w:p w14:paraId="1630E867" w14:textId="700B3BA1" w:rsidR="00A63228" w:rsidRPr="001448D4" w:rsidRDefault="00C5284B" w:rsidP="00943BB7">
      <w:pPr>
        <w:pStyle w:val="BodyText"/>
        <w:ind w:left="284"/>
        <w:rPr>
          <w:rStyle w:val="Emphasis"/>
        </w:rPr>
      </w:pPr>
      <w:r w:rsidRPr="001448D4">
        <w:rPr>
          <w:rStyle w:val="Emphasis"/>
        </w:rPr>
        <w:t>Keep Us Moving could create a formal petition using a platform such as Change.org to gather support from local business owners and residents who are concerned about the economic impacts of the proposed ban. The petition could include personal statements outlining how reduced access for private vehicles may affect deliveries, customer traffic and property values. Presenting this petition to council decision-makers demonstrates community concern and may influence them to reconsider or modify the proposal.</w:t>
      </w:r>
    </w:p>
    <w:p w14:paraId="6FBE6DA2" w14:textId="77777777" w:rsidR="00C06E20" w:rsidRDefault="00C06E20">
      <w:pPr>
        <w:spacing w:line="276" w:lineRule="auto"/>
        <w:rPr>
          <w:rFonts w:ascii="Arial" w:hAnsi="Arial" w:cs="Arial"/>
          <w:color w:val="0F7EB4"/>
          <w:sz w:val="32"/>
          <w:szCs w:val="24"/>
          <w:lang w:val="en-AU"/>
        </w:rPr>
      </w:pPr>
      <w:r>
        <w:br w:type="page"/>
      </w:r>
    </w:p>
    <w:p w14:paraId="4260B682" w14:textId="6D83AE31" w:rsidR="00A63228" w:rsidRDefault="00A63228" w:rsidP="00971A7E">
      <w:pPr>
        <w:pStyle w:val="Heading3"/>
      </w:pPr>
      <w:r>
        <w:lastRenderedPageBreak/>
        <w:t>Question 5b</w:t>
      </w:r>
      <w:r w:rsidR="001F7C99">
        <w:t>.</w:t>
      </w:r>
    </w:p>
    <w:tbl>
      <w:tblPr>
        <w:tblStyle w:val="VCAATableClosed"/>
        <w:tblW w:w="3887" w:type="pct"/>
        <w:tblLook w:val="04A0" w:firstRow="1" w:lastRow="0" w:firstColumn="1" w:lastColumn="0" w:noHBand="0" w:noVBand="1"/>
      </w:tblPr>
      <w:tblGrid>
        <w:gridCol w:w="1071"/>
        <w:gridCol w:w="1071"/>
        <w:gridCol w:w="1071"/>
        <w:gridCol w:w="1071"/>
        <w:gridCol w:w="1071"/>
        <w:gridCol w:w="1071"/>
        <w:gridCol w:w="1060"/>
      </w:tblGrid>
      <w:tr w:rsidR="00E71430" w:rsidRPr="00141A4D" w14:paraId="3031D0A8" w14:textId="77777777" w:rsidTr="00E71430">
        <w:trPr>
          <w:cnfStyle w:val="100000000000" w:firstRow="1" w:lastRow="0" w:firstColumn="0" w:lastColumn="0" w:oddVBand="0" w:evenVBand="0" w:oddHBand="0" w:evenHBand="0" w:firstRowFirstColumn="0" w:firstRowLastColumn="0" w:lastRowFirstColumn="0" w:lastRowLastColumn="0"/>
        </w:trPr>
        <w:tc>
          <w:tcPr>
            <w:tcW w:w="715" w:type="pct"/>
          </w:tcPr>
          <w:p w14:paraId="33DF4D7D" w14:textId="77777777" w:rsidR="00E71430" w:rsidRPr="00141A4D" w:rsidRDefault="00E71430" w:rsidP="00384DB7">
            <w:pPr>
              <w:pStyle w:val="Tablecondensedheading"/>
              <w:rPr>
                <w:lang w:val="en-AU"/>
              </w:rPr>
            </w:pPr>
            <w:r w:rsidRPr="00141A4D">
              <w:rPr>
                <w:lang w:val="en-AU"/>
              </w:rPr>
              <w:t>Mark</w:t>
            </w:r>
            <w:r>
              <w:rPr>
                <w:lang w:val="en-AU"/>
              </w:rPr>
              <w:t>s</w:t>
            </w:r>
          </w:p>
        </w:tc>
        <w:tc>
          <w:tcPr>
            <w:tcW w:w="715" w:type="pct"/>
          </w:tcPr>
          <w:p w14:paraId="18AC8D47" w14:textId="77777777" w:rsidR="00E71430" w:rsidRPr="00141A4D" w:rsidRDefault="00E71430" w:rsidP="00384DB7">
            <w:pPr>
              <w:pStyle w:val="Tablecondensedheading"/>
              <w:rPr>
                <w:lang w:val="en-AU"/>
              </w:rPr>
            </w:pPr>
            <w:r w:rsidRPr="00141A4D">
              <w:rPr>
                <w:lang w:val="en-AU"/>
              </w:rPr>
              <w:t>0</w:t>
            </w:r>
          </w:p>
        </w:tc>
        <w:tc>
          <w:tcPr>
            <w:tcW w:w="715" w:type="pct"/>
          </w:tcPr>
          <w:p w14:paraId="2EB4A09B" w14:textId="77777777" w:rsidR="00E71430" w:rsidRPr="00141A4D" w:rsidRDefault="00E71430" w:rsidP="00384DB7">
            <w:pPr>
              <w:pStyle w:val="Tablecondensedheading"/>
              <w:rPr>
                <w:lang w:val="en-AU"/>
              </w:rPr>
            </w:pPr>
            <w:r w:rsidRPr="00141A4D">
              <w:rPr>
                <w:lang w:val="en-AU"/>
              </w:rPr>
              <w:t>1</w:t>
            </w:r>
          </w:p>
        </w:tc>
        <w:tc>
          <w:tcPr>
            <w:tcW w:w="715" w:type="pct"/>
          </w:tcPr>
          <w:p w14:paraId="62821C8B" w14:textId="77777777" w:rsidR="00E71430" w:rsidRPr="00141A4D" w:rsidRDefault="00E71430" w:rsidP="00384DB7">
            <w:pPr>
              <w:pStyle w:val="Tablecondensedheading"/>
              <w:rPr>
                <w:lang w:val="en-AU"/>
              </w:rPr>
            </w:pPr>
            <w:r w:rsidRPr="00141A4D">
              <w:rPr>
                <w:lang w:val="en-AU"/>
              </w:rPr>
              <w:t>2</w:t>
            </w:r>
          </w:p>
        </w:tc>
        <w:tc>
          <w:tcPr>
            <w:tcW w:w="715" w:type="pct"/>
          </w:tcPr>
          <w:p w14:paraId="348DF037" w14:textId="77777777" w:rsidR="00E71430" w:rsidRPr="00141A4D" w:rsidRDefault="00E71430" w:rsidP="00384DB7">
            <w:pPr>
              <w:pStyle w:val="Tablecondensedheading"/>
              <w:rPr>
                <w:lang w:val="en-AU"/>
              </w:rPr>
            </w:pPr>
            <w:r w:rsidRPr="00141A4D">
              <w:rPr>
                <w:lang w:val="en-AU"/>
              </w:rPr>
              <w:t>3</w:t>
            </w:r>
          </w:p>
        </w:tc>
        <w:tc>
          <w:tcPr>
            <w:tcW w:w="715" w:type="pct"/>
          </w:tcPr>
          <w:p w14:paraId="44454127" w14:textId="77777777" w:rsidR="00E71430" w:rsidRPr="00141A4D" w:rsidRDefault="00E71430" w:rsidP="00384DB7">
            <w:pPr>
              <w:pStyle w:val="Tablecondensedheading"/>
              <w:rPr>
                <w:lang w:val="en-AU"/>
              </w:rPr>
            </w:pPr>
            <w:r>
              <w:rPr>
                <w:lang w:val="en-AU"/>
              </w:rPr>
              <w:t>4</w:t>
            </w:r>
          </w:p>
        </w:tc>
        <w:tc>
          <w:tcPr>
            <w:tcW w:w="707" w:type="pct"/>
          </w:tcPr>
          <w:p w14:paraId="6F732A7C" w14:textId="77777777" w:rsidR="00E71430" w:rsidRPr="00141A4D" w:rsidRDefault="00E71430" w:rsidP="00384DB7">
            <w:pPr>
              <w:pStyle w:val="Tablecondensedheading"/>
              <w:rPr>
                <w:lang w:val="en-AU"/>
              </w:rPr>
            </w:pPr>
            <w:r w:rsidRPr="00141A4D">
              <w:rPr>
                <w:lang w:val="en-AU"/>
              </w:rPr>
              <w:t>Average</w:t>
            </w:r>
          </w:p>
        </w:tc>
      </w:tr>
      <w:tr w:rsidR="00E71430" w:rsidRPr="00141A4D" w14:paraId="5C16FE67" w14:textId="77777777" w:rsidTr="00E71430">
        <w:tc>
          <w:tcPr>
            <w:tcW w:w="715" w:type="pct"/>
          </w:tcPr>
          <w:p w14:paraId="021E8F62" w14:textId="77777777" w:rsidR="00E71430" w:rsidRPr="00141A4D" w:rsidRDefault="00E71430" w:rsidP="00384DB7">
            <w:pPr>
              <w:pStyle w:val="Tablecondensed"/>
              <w:rPr>
                <w:lang w:val="en-AU"/>
              </w:rPr>
            </w:pPr>
            <w:r w:rsidRPr="00141A4D">
              <w:rPr>
                <w:lang w:val="en-AU"/>
              </w:rPr>
              <w:t>%</w:t>
            </w:r>
          </w:p>
        </w:tc>
        <w:tc>
          <w:tcPr>
            <w:tcW w:w="715" w:type="pct"/>
            <w:vAlign w:val="bottom"/>
          </w:tcPr>
          <w:p w14:paraId="696F479D" w14:textId="6344B336" w:rsidR="00E71430" w:rsidRPr="00141A4D" w:rsidRDefault="00E71430" w:rsidP="00384DB7">
            <w:pPr>
              <w:pStyle w:val="Tablecondensed"/>
              <w:rPr>
                <w:lang w:val="en-AU"/>
              </w:rPr>
            </w:pPr>
            <w:r>
              <w:rPr>
                <w:lang w:val="en-AU"/>
              </w:rPr>
              <w:t>34</w:t>
            </w:r>
          </w:p>
        </w:tc>
        <w:tc>
          <w:tcPr>
            <w:tcW w:w="715" w:type="pct"/>
            <w:vAlign w:val="bottom"/>
          </w:tcPr>
          <w:p w14:paraId="6D1B47E6" w14:textId="30419962" w:rsidR="00E71430" w:rsidRPr="00141A4D" w:rsidRDefault="00E71430" w:rsidP="00384DB7">
            <w:pPr>
              <w:pStyle w:val="Tablecondensed"/>
              <w:rPr>
                <w:lang w:val="en-AU"/>
              </w:rPr>
            </w:pPr>
            <w:r>
              <w:rPr>
                <w:lang w:val="en-AU"/>
              </w:rPr>
              <w:t>11</w:t>
            </w:r>
          </w:p>
        </w:tc>
        <w:tc>
          <w:tcPr>
            <w:tcW w:w="715" w:type="pct"/>
            <w:vAlign w:val="bottom"/>
          </w:tcPr>
          <w:p w14:paraId="4AA228AE" w14:textId="15DBB69F" w:rsidR="00E71430" w:rsidRPr="00141A4D" w:rsidRDefault="00E71430" w:rsidP="00384DB7">
            <w:pPr>
              <w:pStyle w:val="Tablecondensed"/>
              <w:rPr>
                <w:lang w:val="en-AU"/>
              </w:rPr>
            </w:pPr>
            <w:r>
              <w:rPr>
                <w:lang w:val="en-AU"/>
              </w:rPr>
              <w:t>16</w:t>
            </w:r>
          </w:p>
        </w:tc>
        <w:tc>
          <w:tcPr>
            <w:tcW w:w="715" w:type="pct"/>
            <w:vAlign w:val="bottom"/>
          </w:tcPr>
          <w:p w14:paraId="49FF8B3A" w14:textId="0B7CA423" w:rsidR="00E71430" w:rsidRPr="00141A4D" w:rsidRDefault="00E71430" w:rsidP="00384DB7">
            <w:pPr>
              <w:pStyle w:val="Tablecondensed"/>
              <w:rPr>
                <w:lang w:val="en-AU"/>
              </w:rPr>
            </w:pPr>
            <w:r>
              <w:rPr>
                <w:lang w:val="en-AU"/>
              </w:rPr>
              <w:t>24</w:t>
            </w:r>
          </w:p>
        </w:tc>
        <w:tc>
          <w:tcPr>
            <w:tcW w:w="715" w:type="pct"/>
          </w:tcPr>
          <w:p w14:paraId="6B8D1F1D" w14:textId="2C7A82A6" w:rsidR="00E71430" w:rsidRDefault="00E71430" w:rsidP="00384DB7">
            <w:pPr>
              <w:pStyle w:val="Tablecondensed"/>
              <w:rPr>
                <w:lang w:val="en-AU"/>
              </w:rPr>
            </w:pPr>
            <w:r>
              <w:rPr>
                <w:lang w:val="en-AU"/>
              </w:rPr>
              <w:t>16</w:t>
            </w:r>
          </w:p>
        </w:tc>
        <w:tc>
          <w:tcPr>
            <w:tcW w:w="707" w:type="pct"/>
          </w:tcPr>
          <w:p w14:paraId="419068F3" w14:textId="3ACFB325" w:rsidR="00E71430" w:rsidRPr="00141A4D" w:rsidRDefault="00E71430" w:rsidP="00384DB7">
            <w:pPr>
              <w:pStyle w:val="Tablecondensed"/>
              <w:rPr>
                <w:lang w:val="en-AU"/>
              </w:rPr>
            </w:pPr>
            <w:r>
              <w:rPr>
                <w:lang w:val="en-AU"/>
              </w:rPr>
              <w:t>1.</w:t>
            </w:r>
            <w:r w:rsidR="00AD398C">
              <w:rPr>
                <w:lang w:val="en-AU"/>
              </w:rPr>
              <w:t>8</w:t>
            </w:r>
          </w:p>
        </w:tc>
      </w:tr>
    </w:tbl>
    <w:p w14:paraId="2133C273" w14:textId="77777777" w:rsidR="003E7143" w:rsidRDefault="00547061" w:rsidP="00736288">
      <w:pPr>
        <w:pStyle w:val="BodyText"/>
      </w:pPr>
      <w:r w:rsidRPr="00547061">
        <w:t>Students were required to evaluate one process that could be used to resolve the conflict between Liveable Cities and Keep Us Moving regarding the proposed CBD vehicle ban.</w:t>
      </w:r>
    </w:p>
    <w:p w14:paraId="3E12FB04" w14:textId="4BF6BC6C" w:rsidR="00ED6613" w:rsidRDefault="00547061" w:rsidP="00736288">
      <w:pPr>
        <w:pStyle w:val="BodyText"/>
      </w:pPr>
      <w:r w:rsidRPr="00547061">
        <w:t>High-scoring responses identified a formal decision-making process, explained how it works and provided a clear evaluative judgement about its effectiveness for resolving this specific conflict.</w:t>
      </w:r>
    </w:p>
    <w:p w14:paraId="6C37E76D" w14:textId="4790AAC1" w:rsidR="00CF2421" w:rsidRPr="001A6484" w:rsidRDefault="00CF2421" w:rsidP="00CF2421">
      <w:pPr>
        <w:pStyle w:val="BodyText"/>
      </w:pPr>
      <w:r>
        <w:t>L</w:t>
      </w:r>
      <w:r w:rsidRPr="00410AA4">
        <w:t>ower</w:t>
      </w:r>
      <w:r>
        <w:t>-</w:t>
      </w:r>
      <w:r w:rsidRPr="00410AA4">
        <w:t xml:space="preserve">scoring responses: </w:t>
      </w:r>
    </w:p>
    <w:p w14:paraId="2CAA7A90" w14:textId="1A2D2F02" w:rsidR="00547061" w:rsidRPr="00547061" w:rsidRDefault="0006388A" w:rsidP="00736288">
      <w:pPr>
        <w:pStyle w:val="Bullet"/>
      </w:pPr>
      <w:r>
        <w:t>described</w:t>
      </w:r>
      <w:r w:rsidR="00547061" w:rsidRPr="00547061">
        <w:t xml:space="preserve"> the process without offering an evaluation of its effectiveness</w:t>
      </w:r>
    </w:p>
    <w:p w14:paraId="232CBF41" w14:textId="56428BD7" w:rsidR="00547061" w:rsidRPr="00547061" w:rsidRDefault="0006388A" w:rsidP="00736288">
      <w:pPr>
        <w:pStyle w:val="Bullet"/>
      </w:pPr>
      <w:r>
        <w:t>selected</w:t>
      </w:r>
      <w:r w:rsidRPr="00547061">
        <w:t xml:space="preserve"> </w:t>
      </w:r>
      <w:r w:rsidR="00547061" w:rsidRPr="00547061">
        <w:t>processes</w:t>
      </w:r>
      <w:r w:rsidR="008A1FB8">
        <w:t xml:space="preserve"> that were</w:t>
      </w:r>
      <w:r w:rsidR="00547061" w:rsidRPr="00547061">
        <w:t xml:space="preserve"> not formally recognised in environmental decision-making</w:t>
      </w:r>
    </w:p>
    <w:p w14:paraId="06B1F908" w14:textId="25A9108A" w:rsidR="00547061" w:rsidRPr="00547061" w:rsidRDefault="0006388A" w:rsidP="00736288">
      <w:pPr>
        <w:pStyle w:val="Bullet"/>
      </w:pPr>
      <w:r>
        <w:t>gave</w:t>
      </w:r>
      <w:r w:rsidRPr="00547061">
        <w:t xml:space="preserve"> </w:t>
      </w:r>
      <w:r w:rsidR="00547061" w:rsidRPr="00547061">
        <w:t xml:space="preserve">generic strengths or weaknesses </w:t>
      </w:r>
      <w:r w:rsidR="008A1FB8">
        <w:t xml:space="preserve">that were </w:t>
      </w:r>
      <w:r w:rsidR="00547061" w:rsidRPr="00547061">
        <w:t xml:space="preserve">not </w:t>
      </w:r>
      <w:r w:rsidR="008A1FB8">
        <w:t>applicable</w:t>
      </w:r>
      <w:r w:rsidR="008A1FB8" w:rsidRPr="00547061">
        <w:t xml:space="preserve"> </w:t>
      </w:r>
      <w:r w:rsidR="00547061" w:rsidRPr="00547061">
        <w:t>to the CBD vehicle ban context</w:t>
      </w:r>
    </w:p>
    <w:p w14:paraId="74AB6844" w14:textId="61EC3222" w:rsidR="00547061" w:rsidRPr="00547061" w:rsidRDefault="0006388A" w:rsidP="00736288">
      <w:pPr>
        <w:pStyle w:val="Bullet"/>
      </w:pPr>
      <w:r>
        <w:t>failed</w:t>
      </w:r>
      <w:r w:rsidRPr="00547061">
        <w:t xml:space="preserve"> </w:t>
      </w:r>
      <w:r w:rsidR="00547061" w:rsidRPr="00547061">
        <w:t>to link the process to how it could help reach a resolution for both groups or for council decision-makers.</w:t>
      </w:r>
    </w:p>
    <w:p w14:paraId="661510F6" w14:textId="74E20487" w:rsidR="00C5284B" w:rsidRPr="00C5284B" w:rsidRDefault="00C5284B" w:rsidP="00736288">
      <w:pPr>
        <w:pStyle w:val="BodyText"/>
      </w:pPr>
      <w:r w:rsidRPr="00C5284B">
        <w:t xml:space="preserve">Acceptable </w:t>
      </w:r>
      <w:r w:rsidR="00ED6613">
        <w:t>decision-making</w:t>
      </w:r>
      <w:r w:rsidRPr="00C5284B">
        <w:t xml:space="preserve"> processes include</w:t>
      </w:r>
      <w:r w:rsidR="008A1FB8">
        <w:t>d</w:t>
      </w:r>
      <w:r w:rsidRPr="00C5284B">
        <w:t>:</w:t>
      </w:r>
    </w:p>
    <w:p w14:paraId="51388EFF" w14:textId="77777777" w:rsidR="00C5284B" w:rsidRPr="00736288" w:rsidRDefault="00C5284B" w:rsidP="00736288">
      <w:pPr>
        <w:pStyle w:val="Bullet"/>
      </w:pPr>
      <w:r w:rsidRPr="00736288">
        <w:t>community consultation</w:t>
      </w:r>
    </w:p>
    <w:p w14:paraId="01D2C07B" w14:textId="2958F676" w:rsidR="00C5284B" w:rsidRPr="00736288" w:rsidRDefault="008A1FB8" w:rsidP="00736288">
      <w:pPr>
        <w:pStyle w:val="Bullet"/>
      </w:pPr>
      <w:r>
        <w:t xml:space="preserve">an </w:t>
      </w:r>
      <w:r w:rsidR="00C5284B" w:rsidRPr="00736288">
        <w:t>environmental effects statement</w:t>
      </w:r>
    </w:p>
    <w:p w14:paraId="0D2EDB1F" w14:textId="68615043" w:rsidR="00C5284B" w:rsidRPr="00736288" w:rsidRDefault="008A1FB8" w:rsidP="00736288">
      <w:pPr>
        <w:pStyle w:val="Bullet"/>
      </w:pPr>
      <w:r>
        <w:t xml:space="preserve">a </w:t>
      </w:r>
      <w:r w:rsidR="00C5284B" w:rsidRPr="00736288">
        <w:t>referendum</w:t>
      </w:r>
    </w:p>
    <w:p w14:paraId="5998DCB9" w14:textId="47B351FA" w:rsidR="00C5284B" w:rsidRPr="00736288" w:rsidRDefault="008A1FB8" w:rsidP="00736288">
      <w:pPr>
        <w:pStyle w:val="Bullet"/>
      </w:pPr>
      <w:r>
        <w:t xml:space="preserve">the </w:t>
      </w:r>
      <w:r w:rsidR="00C5284B" w:rsidRPr="00736288">
        <w:t>court system / litigation</w:t>
      </w:r>
    </w:p>
    <w:p w14:paraId="58589956" w14:textId="77777777" w:rsidR="00C5284B" w:rsidRPr="00736288" w:rsidRDefault="00C5284B" w:rsidP="00736288">
      <w:pPr>
        <w:pStyle w:val="Bullet"/>
      </w:pPr>
      <w:r w:rsidRPr="00736288">
        <w:t>legislation</w:t>
      </w:r>
    </w:p>
    <w:p w14:paraId="59FF57A0" w14:textId="110D1167" w:rsidR="00C5284B" w:rsidRPr="00736288" w:rsidRDefault="008A1FB8" w:rsidP="00736288">
      <w:pPr>
        <w:pStyle w:val="Bullet"/>
      </w:pPr>
      <w:r>
        <w:t xml:space="preserve">a </w:t>
      </w:r>
      <w:r w:rsidR="00C5284B" w:rsidRPr="00736288">
        <w:t>management plan</w:t>
      </w:r>
      <w:r w:rsidR="0006388A">
        <w:t>.</w:t>
      </w:r>
    </w:p>
    <w:p w14:paraId="5C7E2E57" w14:textId="3D4C1E70" w:rsidR="00CF2421" w:rsidRPr="00C5284B" w:rsidRDefault="00CF2421" w:rsidP="00736288">
      <w:pPr>
        <w:pStyle w:val="BodyText"/>
      </w:pPr>
      <w:r>
        <w:t>The following is an example of a high-scoring student response.</w:t>
      </w:r>
    </w:p>
    <w:p w14:paraId="27A86D04" w14:textId="77777777" w:rsidR="00C5284B" w:rsidRPr="001448D4" w:rsidRDefault="00C5284B" w:rsidP="00943BB7">
      <w:pPr>
        <w:pStyle w:val="BodyText"/>
        <w:ind w:left="284"/>
        <w:rPr>
          <w:rStyle w:val="Emphasis"/>
        </w:rPr>
      </w:pPr>
      <w:r w:rsidRPr="001448D4">
        <w:rPr>
          <w:rStyle w:val="Emphasis"/>
        </w:rPr>
        <w:t>Community consultation could be used to resolve the conflict. A strength of this process is that it is a non-biased, government-funded investigation that considers the social, economic and environmental impacts of the proposal. It invites submissions from a wide range of stakeholders, including business owners, residents, scientists and interest groups, ensuring that multiple perspectives are considered. A committee of five members compiles these submissions into a report with recommendations that can guide parliamentary discussion and decision-making.</w:t>
      </w:r>
    </w:p>
    <w:p w14:paraId="036B0627" w14:textId="77777777" w:rsidR="00C5284B" w:rsidRPr="001448D4" w:rsidRDefault="00C5284B" w:rsidP="00943BB7">
      <w:pPr>
        <w:pStyle w:val="BodyText"/>
        <w:ind w:left="284"/>
        <w:rPr>
          <w:rStyle w:val="Emphasis"/>
        </w:rPr>
      </w:pPr>
      <w:r w:rsidRPr="001448D4">
        <w:rPr>
          <w:rStyle w:val="Emphasis"/>
        </w:rPr>
        <w:t>However, community consultation can be time-consuming and costly, and not all stakeholders may feel equally represented in the final recommendations.</w:t>
      </w:r>
      <w:r w:rsidRPr="001448D4">
        <w:rPr>
          <w:rStyle w:val="Emphasis"/>
        </w:rPr>
        <w:br/>
        <w:t>Overall, community consultation is effective as it promotes transparency, encourages compromise and can provide a basis for a balanced outcome that considers the needs of both groups involved in the conflict.</w:t>
      </w:r>
    </w:p>
    <w:p w14:paraId="4F9FE0B1" w14:textId="53449159" w:rsidR="00547061" w:rsidRDefault="00547061" w:rsidP="00736288">
      <w:pPr>
        <w:pStyle w:val="Heading3"/>
      </w:pPr>
      <w:r>
        <w:t>Question 5c</w:t>
      </w:r>
      <w:r w:rsidR="001F7C99">
        <w:t>.</w:t>
      </w:r>
    </w:p>
    <w:tbl>
      <w:tblPr>
        <w:tblStyle w:val="VCAATableClosed"/>
        <w:tblW w:w="3887" w:type="pct"/>
        <w:tblLook w:val="04A0" w:firstRow="1" w:lastRow="0" w:firstColumn="1" w:lastColumn="0" w:noHBand="0" w:noVBand="1"/>
      </w:tblPr>
      <w:tblGrid>
        <w:gridCol w:w="1071"/>
        <w:gridCol w:w="1071"/>
        <w:gridCol w:w="1071"/>
        <w:gridCol w:w="1071"/>
        <w:gridCol w:w="1071"/>
        <w:gridCol w:w="1071"/>
        <w:gridCol w:w="1060"/>
      </w:tblGrid>
      <w:tr w:rsidR="00E71430" w:rsidRPr="00141A4D" w14:paraId="1D1C36A3" w14:textId="77777777" w:rsidTr="00384DB7">
        <w:trPr>
          <w:cnfStyle w:val="100000000000" w:firstRow="1" w:lastRow="0" w:firstColumn="0" w:lastColumn="0" w:oddVBand="0" w:evenVBand="0" w:oddHBand="0" w:evenHBand="0" w:firstRowFirstColumn="0" w:firstRowLastColumn="0" w:lastRowFirstColumn="0" w:lastRowLastColumn="0"/>
        </w:trPr>
        <w:tc>
          <w:tcPr>
            <w:tcW w:w="715" w:type="pct"/>
          </w:tcPr>
          <w:p w14:paraId="21FD80BC" w14:textId="77777777" w:rsidR="00E71430" w:rsidRPr="00141A4D" w:rsidRDefault="00E71430" w:rsidP="00384DB7">
            <w:pPr>
              <w:pStyle w:val="Tablecondensedheading"/>
              <w:rPr>
                <w:lang w:val="en-AU"/>
              </w:rPr>
            </w:pPr>
            <w:r w:rsidRPr="00141A4D">
              <w:rPr>
                <w:lang w:val="en-AU"/>
              </w:rPr>
              <w:t>Mark</w:t>
            </w:r>
            <w:r>
              <w:rPr>
                <w:lang w:val="en-AU"/>
              </w:rPr>
              <w:t>s</w:t>
            </w:r>
          </w:p>
        </w:tc>
        <w:tc>
          <w:tcPr>
            <w:tcW w:w="715" w:type="pct"/>
          </w:tcPr>
          <w:p w14:paraId="15407907" w14:textId="77777777" w:rsidR="00E71430" w:rsidRPr="00141A4D" w:rsidRDefault="00E71430" w:rsidP="00384DB7">
            <w:pPr>
              <w:pStyle w:val="Tablecondensedheading"/>
              <w:rPr>
                <w:lang w:val="en-AU"/>
              </w:rPr>
            </w:pPr>
            <w:r w:rsidRPr="00141A4D">
              <w:rPr>
                <w:lang w:val="en-AU"/>
              </w:rPr>
              <w:t>0</w:t>
            </w:r>
          </w:p>
        </w:tc>
        <w:tc>
          <w:tcPr>
            <w:tcW w:w="715" w:type="pct"/>
          </w:tcPr>
          <w:p w14:paraId="656FB504" w14:textId="77777777" w:rsidR="00E71430" w:rsidRPr="00141A4D" w:rsidRDefault="00E71430" w:rsidP="00384DB7">
            <w:pPr>
              <w:pStyle w:val="Tablecondensedheading"/>
              <w:rPr>
                <w:lang w:val="en-AU"/>
              </w:rPr>
            </w:pPr>
            <w:r w:rsidRPr="00141A4D">
              <w:rPr>
                <w:lang w:val="en-AU"/>
              </w:rPr>
              <w:t>1</w:t>
            </w:r>
          </w:p>
        </w:tc>
        <w:tc>
          <w:tcPr>
            <w:tcW w:w="715" w:type="pct"/>
          </w:tcPr>
          <w:p w14:paraId="0980527E" w14:textId="77777777" w:rsidR="00E71430" w:rsidRPr="00141A4D" w:rsidRDefault="00E71430" w:rsidP="00384DB7">
            <w:pPr>
              <w:pStyle w:val="Tablecondensedheading"/>
              <w:rPr>
                <w:lang w:val="en-AU"/>
              </w:rPr>
            </w:pPr>
            <w:r w:rsidRPr="00141A4D">
              <w:rPr>
                <w:lang w:val="en-AU"/>
              </w:rPr>
              <w:t>2</w:t>
            </w:r>
          </w:p>
        </w:tc>
        <w:tc>
          <w:tcPr>
            <w:tcW w:w="715" w:type="pct"/>
          </w:tcPr>
          <w:p w14:paraId="1AE95ECD" w14:textId="77777777" w:rsidR="00E71430" w:rsidRPr="00141A4D" w:rsidRDefault="00E71430" w:rsidP="00384DB7">
            <w:pPr>
              <w:pStyle w:val="Tablecondensedheading"/>
              <w:rPr>
                <w:lang w:val="en-AU"/>
              </w:rPr>
            </w:pPr>
            <w:r w:rsidRPr="00141A4D">
              <w:rPr>
                <w:lang w:val="en-AU"/>
              </w:rPr>
              <w:t>3</w:t>
            </w:r>
          </w:p>
        </w:tc>
        <w:tc>
          <w:tcPr>
            <w:tcW w:w="715" w:type="pct"/>
          </w:tcPr>
          <w:p w14:paraId="05E6ACB4" w14:textId="77777777" w:rsidR="00E71430" w:rsidRPr="00141A4D" w:rsidRDefault="00E71430" w:rsidP="00384DB7">
            <w:pPr>
              <w:pStyle w:val="Tablecondensedheading"/>
              <w:rPr>
                <w:lang w:val="en-AU"/>
              </w:rPr>
            </w:pPr>
            <w:r>
              <w:rPr>
                <w:lang w:val="en-AU"/>
              </w:rPr>
              <w:t>4</w:t>
            </w:r>
          </w:p>
        </w:tc>
        <w:tc>
          <w:tcPr>
            <w:tcW w:w="707" w:type="pct"/>
          </w:tcPr>
          <w:p w14:paraId="7D7C1AC7" w14:textId="77777777" w:rsidR="00E71430" w:rsidRPr="00141A4D" w:rsidRDefault="00E71430" w:rsidP="00384DB7">
            <w:pPr>
              <w:pStyle w:val="Tablecondensedheading"/>
              <w:rPr>
                <w:lang w:val="en-AU"/>
              </w:rPr>
            </w:pPr>
            <w:r w:rsidRPr="00141A4D">
              <w:rPr>
                <w:lang w:val="en-AU"/>
              </w:rPr>
              <w:t>Average</w:t>
            </w:r>
          </w:p>
        </w:tc>
      </w:tr>
      <w:tr w:rsidR="00E71430" w:rsidRPr="00141A4D" w14:paraId="3342C711" w14:textId="77777777" w:rsidTr="00384DB7">
        <w:tc>
          <w:tcPr>
            <w:tcW w:w="715" w:type="pct"/>
          </w:tcPr>
          <w:p w14:paraId="5E68C5BB" w14:textId="77777777" w:rsidR="00E71430" w:rsidRPr="00141A4D" w:rsidRDefault="00E71430" w:rsidP="00384DB7">
            <w:pPr>
              <w:pStyle w:val="Tablecondensed"/>
              <w:rPr>
                <w:lang w:val="en-AU"/>
              </w:rPr>
            </w:pPr>
            <w:r w:rsidRPr="00141A4D">
              <w:rPr>
                <w:lang w:val="en-AU"/>
              </w:rPr>
              <w:t>%</w:t>
            </w:r>
          </w:p>
        </w:tc>
        <w:tc>
          <w:tcPr>
            <w:tcW w:w="715" w:type="pct"/>
            <w:vAlign w:val="bottom"/>
          </w:tcPr>
          <w:p w14:paraId="747691D0" w14:textId="2C389198" w:rsidR="00E71430" w:rsidRPr="00141A4D" w:rsidRDefault="00AD398C" w:rsidP="00384DB7">
            <w:pPr>
              <w:pStyle w:val="Tablecondensed"/>
              <w:rPr>
                <w:lang w:val="en-AU"/>
              </w:rPr>
            </w:pPr>
            <w:r>
              <w:rPr>
                <w:lang w:val="en-AU"/>
              </w:rPr>
              <w:t>30</w:t>
            </w:r>
          </w:p>
        </w:tc>
        <w:tc>
          <w:tcPr>
            <w:tcW w:w="715" w:type="pct"/>
            <w:vAlign w:val="bottom"/>
          </w:tcPr>
          <w:p w14:paraId="03C4D493" w14:textId="19D950DE" w:rsidR="00E71430" w:rsidRPr="00141A4D" w:rsidRDefault="00E71430" w:rsidP="00384DB7">
            <w:pPr>
              <w:pStyle w:val="Tablecondensed"/>
              <w:rPr>
                <w:lang w:val="en-AU"/>
              </w:rPr>
            </w:pPr>
            <w:r>
              <w:rPr>
                <w:lang w:val="en-AU"/>
              </w:rPr>
              <w:t>4</w:t>
            </w:r>
          </w:p>
        </w:tc>
        <w:tc>
          <w:tcPr>
            <w:tcW w:w="715" w:type="pct"/>
            <w:vAlign w:val="bottom"/>
          </w:tcPr>
          <w:p w14:paraId="311BB032" w14:textId="4B7EFABE" w:rsidR="00E71430" w:rsidRPr="00141A4D" w:rsidRDefault="00E71430" w:rsidP="00384DB7">
            <w:pPr>
              <w:pStyle w:val="Tablecondensed"/>
              <w:rPr>
                <w:lang w:val="en-AU"/>
              </w:rPr>
            </w:pPr>
            <w:r>
              <w:rPr>
                <w:lang w:val="en-AU"/>
              </w:rPr>
              <w:t>17</w:t>
            </w:r>
          </w:p>
        </w:tc>
        <w:tc>
          <w:tcPr>
            <w:tcW w:w="715" w:type="pct"/>
            <w:vAlign w:val="bottom"/>
          </w:tcPr>
          <w:p w14:paraId="0E4328C3" w14:textId="0EFA007B" w:rsidR="00E71430" w:rsidRPr="00141A4D" w:rsidRDefault="00E71430" w:rsidP="00384DB7">
            <w:pPr>
              <w:pStyle w:val="Tablecondensed"/>
              <w:rPr>
                <w:lang w:val="en-AU"/>
              </w:rPr>
            </w:pPr>
            <w:r>
              <w:rPr>
                <w:lang w:val="en-AU"/>
              </w:rPr>
              <w:t>16</w:t>
            </w:r>
          </w:p>
        </w:tc>
        <w:tc>
          <w:tcPr>
            <w:tcW w:w="715" w:type="pct"/>
          </w:tcPr>
          <w:p w14:paraId="417F75F7" w14:textId="1B9D00CD" w:rsidR="00E71430" w:rsidRDefault="00E71430" w:rsidP="00384DB7">
            <w:pPr>
              <w:pStyle w:val="Tablecondensed"/>
              <w:rPr>
                <w:lang w:val="en-AU"/>
              </w:rPr>
            </w:pPr>
            <w:r>
              <w:rPr>
                <w:lang w:val="en-AU"/>
              </w:rPr>
              <w:t>33</w:t>
            </w:r>
          </w:p>
        </w:tc>
        <w:tc>
          <w:tcPr>
            <w:tcW w:w="707" w:type="pct"/>
          </w:tcPr>
          <w:p w14:paraId="51DD5640" w14:textId="11364512" w:rsidR="00E71430" w:rsidRPr="00141A4D" w:rsidRDefault="00E71430" w:rsidP="00384DB7">
            <w:pPr>
              <w:pStyle w:val="Tablecondensed"/>
              <w:rPr>
                <w:lang w:val="en-AU"/>
              </w:rPr>
            </w:pPr>
            <w:r>
              <w:rPr>
                <w:lang w:val="en-AU"/>
              </w:rPr>
              <w:t>2.</w:t>
            </w:r>
            <w:r w:rsidR="00AD398C">
              <w:rPr>
                <w:lang w:val="en-AU"/>
              </w:rPr>
              <w:t>2</w:t>
            </w:r>
          </w:p>
        </w:tc>
      </w:tr>
    </w:tbl>
    <w:p w14:paraId="5EECE79F" w14:textId="77777777" w:rsidR="003E7143" w:rsidRDefault="00547061" w:rsidP="00736288">
      <w:pPr>
        <w:pStyle w:val="BodyText"/>
      </w:pPr>
      <w:r w:rsidRPr="00547061">
        <w:t>Students were required to propose how two federal political parties or representatives might respond to the proposed CBD vehicle ban.</w:t>
      </w:r>
    </w:p>
    <w:p w14:paraId="5D540729" w14:textId="53A76BB3" w:rsidR="00547061" w:rsidRPr="00547061" w:rsidRDefault="00547061" w:rsidP="00736288">
      <w:pPr>
        <w:pStyle w:val="BodyText"/>
      </w:pPr>
      <w:r w:rsidRPr="00547061">
        <w:t>High-scoring responses referenced two correct, current Australian political parties or federal representatives and provided plausible, policy-aligned responses that reflected their recent priorities and positions.</w:t>
      </w:r>
    </w:p>
    <w:p w14:paraId="0A0E788B" w14:textId="77777777" w:rsidR="003E7143" w:rsidRDefault="003E7143">
      <w:pPr>
        <w:spacing w:line="276" w:lineRule="auto"/>
        <w:rPr>
          <w:rFonts w:ascii="Arial" w:hAnsi="Arial" w:cs="Arial"/>
          <w:color w:val="000000" w:themeColor="text1"/>
          <w:sz w:val="20"/>
          <w:lang w:val="en-AU" w:eastAsia="en-AU"/>
        </w:rPr>
      </w:pPr>
      <w:r>
        <w:br w:type="page"/>
      </w:r>
    </w:p>
    <w:p w14:paraId="2288D143" w14:textId="04CB65D6" w:rsidR="00CF2421" w:rsidRPr="001A6484" w:rsidRDefault="00CF2421" w:rsidP="00CF2421">
      <w:pPr>
        <w:pStyle w:val="BodyText"/>
      </w:pPr>
      <w:r>
        <w:lastRenderedPageBreak/>
        <w:t>L</w:t>
      </w:r>
      <w:r w:rsidRPr="00410AA4">
        <w:t>ower</w:t>
      </w:r>
      <w:r>
        <w:t>-</w:t>
      </w:r>
      <w:r w:rsidRPr="00410AA4">
        <w:t xml:space="preserve">scoring responses: </w:t>
      </w:r>
    </w:p>
    <w:p w14:paraId="4BF90231" w14:textId="17CFE190" w:rsidR="00547061" w:rsidRPr="00547061" w:rsidRDefault="0006388A" w:rsidP="00736288">
      <w:pPr>
        <w:pStyle w:val="Bullet"/>
      </w:pPr>
      <w:r>
        <w:t>referred</w:t>
      </w:r>
      <w:r w:rsidR="00547061" w:rsidRPr="00547061">
        <w:t xml:space="preserve"> to incorrect, outdated or non-existent political parties or representatives</w:t>
      </w:r>
    </w:p>
    <w:p w14:paraId="2AD5F8D4" w14:textId="499DC52D" w:rsidR="00547061" w:rsidRPr="00547061" w:rsidRDefault="0006388A" w:rsidP="00736288">
      <w:pPr>
        <w:pStyle w:val="Bullet"/>
      </w:pPr>
      <w:r>
        <w:t>misrepresented</w:t>
      </w:r>
      <w:r w:rsidRPr="00547061">
        <w:t xml:space="preserve"> </w:t>
      </w:r>
      <w:r w:rsidR="00547061" w:rsidRPr="00547061">
        <w:t xml:space="preserve">party positions or </w:t>
      </w:r>
      <w:r w:rsidR="008A1FB8" w:rsidRPr="00547061">
        <w:t>attribut</w:t>
      </w:r>
      <w:r w:rsidR="008A1FB8">
        <w:t>ed</w:t>
      </w:r>
      <w:r w:rsidR="008A1FB8" w:rsidRPr="00547061">
        <w:t xml:space="preserve"> </w:t>
      </w:r>
      <w:r w:rsidR="00547061" w:rsidRPr="00547061">
        <w:t>policies to the wrong party</w:t>
      </w:r>
    </w:p>
    <w:p w14:paraId="6DB7AD7C" w14:textId="1BB9CC1F" w:rsidR="00547061" w:rsidRPr="00547061" w:rsidRDefault="0006388A" w:rsidP="00736288">
      <w:pPr>
        <w:pStyle w:val="Bullet"/>
      </w:pPr>
      <w:r>
        <w:t>gave</w:t>
      </w:r>
      <w:r w:rsidRPr="00547061">
        <w:t xml:space="preserve"> </w:t>
      </w:r>
      <w:r w:rsidR="00547061" w:rsidRPr="00547061">
        <w:t xml:space="preserve">responses </w:t>
      </w:r>
      <w:r w:rsidR="008A1FB8">
        <w:t xml:space="preserve">that were </w:t>
      </w:r>
      <w:r w:rsidR="00547061" w:rsidRPr="00547061">
        <w:t>not grounded in current federal political discourse</w:t>
      </w:r>
    </w:p>
    <w:p w14:paraId="3A877166" w14:textId="29D7D341" w:rsidR="00547061" w:rsidRPr="00547061" w:rsidRDefault="0006388A" w:rsidP="00736288">
      <w:pPr>
        <w:pStyle w:val="Bullet"/>
      </w:pPr>
      <w:r>
        <w:t>provided</w:t>
      </w:r>
      <w:r w:rsidRPr="00547061">
        <w:t xml:space="preserve"> </w:t>
      </w:r>
      <w:r w:rsidR="00547061" w:rsidRPr="00547061">
        <w:t>vague statements without proposing a clear stance, action or policy direction</w:t>
      </w:r>
    </w:p>
    <w:p w14:paraId="5FDF9C67" w14:textId="57D02A72" w:rsidR="00547061" w:rsidRDefault="0006388A" w:rsidP="00736288">
      <w:pPr>
        <w:pStyle w:val="Bullet"/>
      </w:pPr>
      <w:r>
        <w:t>discussed</w:t>
      </w:r>
      <w:r w:rsidRPr="00547061">
        <w:t xml:space="preserve"> </w:t>
      </w:r>
      <w:r w:rsidR="00547061" w:rsidRPr="00547061">
        <w:t>only one party or representative.</w:t>
      </w:r>
    </w:p>
    <w:p w14:paraId="29B95263" w14:textId="4A97D4E8" w:rsidR="00CF2421" w:rsidRPr="00547061" w:rsidRDefault="00CF2421" w:rsidP="00F12442">
      <w:pPr>
        <w:pStyle w:val="BodyText"/>
      </w:pPr>
      <w:r>
        <w:t>The following is an example of a high-scoring student response.</w:t>
      </w:r>
    </w:p>
    <w:p w14:paraId="327D9EE2" w14:textId="77777777" w:rsidR="00C5284B" w:rsidRPr="001448D4" w:rsidRDefault="00C5284B" w:rsidP="00943BB7">
      <w:pPr>
        <w:pStyle w:val="BodyText"/>
        <w:ind w:left="284"/>
        <w:rPr>
          <w:rStyle w:val="Emphasis"/>
        </w:rPr>
      </w:pPr>
      <w:r w:rsidRPr="001448D4">
        <w:rPr>
          <w:rStyle w:val="Emphasis"/>
        </w:rPr>
        <w:t>The Greens would be likely to support the proposal to ban cars from the CBD. This aligns with their broader emissions reduction agenda, including their Net Zero by 2035 target. They would emphasise the environmental benefits of reduced carbon emissions and improved air quality, and may propose expanded bike lane infrastructure and enhanced public transport options as practical solutions to support the transition.</w:t>
      </w:r>
    </w:p>
    <w:p w14:paraId="184503CB" w14:textId="77777777" w:rsidR="00C5284B" w:rsidRPr="001448D4" w:rsidRDefault="00C5284B" w:rsidP="00943BB7">
      <w:pPr>
        <w:pStyle w:val="BodyText"/>
        <w:ind w:left="284"/>
        <w:rPr>
          <w:rStyle w:val="Emphasis"/>
        </w:rPr>
      </w:pPr>
      <w:r w:rsidRPr="001448D4">
        <w:rPr>
          <w:rStyle w:val="Emphasis"/>
        </w:rPr>
        <w:t>The Liberal Party may adopt a more economically driven position, emphasising the importance of private vehicle access for business activity within the CBD. They might highlight concerns raised by local businesses in the stimulus regarding deliveries, customer access and property values. Given the absence of a fixed Net Zero policy timeframe, they may focus on maintaining or improving parking availability and consulting directly with CBD business owners in order to support economic growth and gain voter support.</w:t>
      </w:r>
    </w:p>
    <w:p w14:paraId="33A86502" w14:textId="0D80A156" w:rsidR="00547061" w:rsidRDefault="00547061" w:rsidP="00971A7E">
      <w:pPr>
        <w:pStyle w:val="Heading3"/>
      </w:pPr>
      <w:r>
        <w:t>Question 6</w:t>
      </w:r>
    </w:p>
    <w:tbl>
      <w:tblPr>
        <w:tblStyle w:val="VCAATableClosed"/>
        <w:tblW w:w="3331" w:type="pct"/>
        <w:tblLook w:val="04A0" w:firstRow="1" w:lastRow="0" w:firstColumn="1" w:lastColumn="0" w:noHBand="0" w:noVBand="1"/>
      </w:tblPr>
      <w:tblGrid>
        <w:gridCol w:w="1072"/>
        <w:gridCol w:w="1072"/>
        <w:gridCol w:w="1071"/>
        <w:gridCol w:w="1071"/>
        <w:gridCol w:w="1071"/>
        <w:gridCol w:w="1058"/>
      </w:tblGrid>
      <w:tr w:rsidR="00E71430" w:rsidRPr="00141A4D" w14:paraId="6F8C11DD" w14:textId="77777777" w:rsidTr="00E71430">
        <w:trPr>
          <w:cnfStyle w:val="100000000000" w:firstRow="1" w:lastRow="0" w:firstColumn="0" w:lastColumn="0" w:oddVBand="0" w:evenVBand="0" w:oddHBand="0" w:evenHBand="0" w:firstRowFirstColumn="0" w:firstRowLastColumn="0" w:lastRowFirstColumn="0" w:lastRowLastColumn="0"/>
        </w:trPr>
        <w:tc>
          <w:tcPr>
            <w:tcW w:w="835" w:type="pct"/>
          </w:tcPr>
          <w:p w14:paraId="57598C62" w14:textId="77777777" w:rsidR="00E71430" w:rsidRPr="00141A4D" w:rsidRDefault="00E71430" w:rsidP="00384DB7">
            <w:pPr>
              <w:pStyle w:val="Tablecondensedheading"/>
              <w:rPr>
                <w:lang w:val="en-AU"/>
              </w:rPr>
            </w:pPr>
            <w:r w:rsidRPr="00141A4D">
              <w:rPr>
                <w:lang w:val="en-AU"/>
              </w:rPr>
              <w:t>Mark</w:t>
            </w:r>
            <w:r>
              <w:rPr>
                <w:lang w:val="en-AU"/>
              </w:rPr>
              <w:t>s</w:t>
            </w:r>
          </w:p>
        </w:tc>
        <w:tc>
          <w:tcPr>
            <w:tcW w:w="835" w:type="pct"/>
          </w:tcPr>
          <w:p w14:paraId="216B78B3" w14:textId="77777777" w:rsidR="00E71430" w:rsidRPr="00141A4D" w:rsidRDefault="00E71430" w:rsidP="00384DB7">
            <w:pPr>
              <w:pStyle w:val="Tablecondensedheading"/>
              <w:rPr>
                <w:lang w:val="en-AU"/>
              </w:rPr>
            </w:pPr>
            <w:r w:rsidRPr="00141A4D">
              <w:rPr>
                <w:lang w:val="en-AU"/>
              </w:rPr>
              <w:t>0</w:t>
            </w:r>
          </w:p>
        </w:tc>
        <w:tc>
          <w:tcPr>
            <w:tcW w:w="835" w:type="pct"/>
          </w:tcPr>
          <w:p w14:paraId="3302307D" w14:textId="77777777" w:rsidR="00E71430" w:rsidRPr="00141A4D" w:rsidRDefault="00E71430" w:rsidP="00384DB7">
            <w:pPr>
              <w:pStyle w:val="Tablecondensedheading"/>
              <w:rPr>
                <w:lang w:val="en-AU"/>
              </w:rPr>
            </w:pPr>
            <w:r w:rsidRPr="00141A4D">
              <w:rPr>
                <w:lang w:val="en-AU"/>
              </w:rPr>
              <w:t>1</w:t>
            </w:r>
          </w:p>
        </w:tc>
        <w:tc>
          <w:tcPr>
            <w:tcW w:w="835" w:type="pct"/>
          </w:tcPr>
          <w:p w14:paraId="760AED7E" w14:textId="77777777" w:rsidR="00E71430" w:rsidRPr="00141A4D" w:rsidRDefault="00E71430" w:rsidP="00384DB7">
            <w:pPr>
              <w:pStyle w:val="Tablecondensedheading"/>
              <w:rPr>
                <w:lang w:val="en-AU"/>
              </w:rPr>
            </w:pPr>
            <w:r w:rsidRPr="00141A4D">
              <w:rPr>
                <w:lang w:val="en-AU"/>
              </w:rPr>
              <w:t>2</w:t>
            </w:r>
          </w:p>
        </w:tc>
        <w:tc>
          <w:tcPr>
            <w:tcW w:w="835" w:type="pct"/>
          </w:tcPr>
          <w:p w14:paraId="1C4602EC" w14:textId="77777777" w:rsidR="00E71430" w:rsidRPr="00141A4D" w:rsidRDefault="00E71430" w:rsidP="00384DB7">
            <w:pPr>
              <w:pStyle w:val="Tablecondensedheading"/>
              <w:rPr>
                <w:lang w:val="en-AU"/>
              </w:rPr>
            </w:pPr>
            <w:r w:rsidRPr="00141A4D">
              <w:rPr>
                <w:lang w:val="en-AU"/>
              </w:rPr>
              <w:t>3</w:t>
            </w:r>
          </w:p>
        </w:tc>
        <w:tc>
          <w:tcPr>
            <w:tcW w:w="826" w:type="pct"/>
          </w:tcPr>
          <w:p w14:paraId="7EC1E571" w14:textId="77777777" w:rsidR="00E71430" w:rsidRPr="00141A4D" w:rsidRDefault="00E71430" w:rsidP="00384DB7">
            <w:pPr>
              <w:pStyle w:val="Tablecondensedheading"/>
              <w:rPr>
                <w:lang w:val="en-AU"/>
              </w:rPr>
            </w:pPr>
            <w:r w:rsidRPr="00141A4D">
              <w:rPr>
                <w:lang w:val="en-AU"/>
              </w:rPr>
              <w:t>Average</w:t>
            </w:r>
          </w:p>
        </w:tc>
      </w:tr>
      <w:tr w:rsidR="00E71430" w:rsidRPr="00141A4D" w14:paraId="357A1379" w14:textId="77777777" w:rsidTr="00E71430">
        <w:tc>
          <w:tcPr>
            <w:tcW w:w="835" w:type="pct"/>
          </w:tcPr>
          <w:p w14:paraId="6B964830" w14:textId="77777777" w:rsidR="00E71430" w:rsidRPr="00141A4D" w:rsidRDefault="00E71430" w:rsidP="00384DB7">
            <w:pPr>
              <w:pStyle w:val="Tablecondensed"/>
              <w:rPr>
                <w:lang w:val="en-AU"/>
              </w:rPr>
            </w:pPr>
            <w:r w:rsidRPr="00141A4D">
              <w:rPr>
                <w:lang w:val="en-AU"/>
              </w:rPr>
              <w:t>%</w:t>
            </w:r>
          </w:p>
        </w:tc>
        <w:tc>
          <w:tcPr>
            <w:tcW w:w="835" w:type="pct"/>
            <w:vAlign w:val="bottom"/>
          </w:tcPr>
          <w:p w14:paraId="7F5C51D8" w14:textId="5E38C526" w:rsidR="00E71430" w:rsidRPr="00141A4D" w:rsidRDefault="00E71430" w:rsidP="00384DB7">
            <w:pPr>
              <w:pStyle w:val="Tablecondensed"/>
              <w:rPr>
                <w:lang w:val="en-AU"/>
              </w:rPr>
            </w:pPr>
            <w:r>
              <w:rPr>
                <w:lang w:val="en-AU"/>
              </w:rPr>
              <w:t>15</w:t>
            </w:r>
          </w:p>
        </w:tc>
        <w:tc>
          <w:tcPr>
            <w:tcW w:w="835" w:type="pct"/>
            <w:vAlign w:val="bottom"/>
          </w:tcPr>
          <w:p w14:paraId="13BCC7C7" w14:textId="32685F52" w:rsidR="00E71430" w:rsidRPr="00141A4D" w:rsidRDefault="00E71430" w:rsidP="00384DB7">
            <w:pPr>
              <w:pStyle w:val="Tablecondensed"/>
              <w:rPr>
                <w:lang w:val="en-AU"/>
              </w:rPr>
            </w:pPr>
            <w:r>
              <w:rPr>
                <w:lang w:val="en-AU"/>
              </w:rPr>
              <w:t>15</w:t>
            </w:r>
          </w:p>
        </w:tc>
        <w:tc>
          <w:tcPr>
            <w:tcW w:w="835" w:type="pct"/>
            <w:vAlign w:val="bottom"/>
          </w:tcPr>
          <w:p w14:paraId="4C48DDF5" w14:textId="5B88AC4C" w:rsidR="00E71430" w:rsidRPr="00141A4D" w:rsidRDefault="00E71430" w:rsidP="00384DB7">
            <w:pPr>
              <w:pStyle w:val="Tablecondensed"/>
              <w:rPr>
                <w:lang w:val="en-AU"/>
              </w:rPr>
            </w:pPr>
            <w:r>
              <w:rPr>
                <w:lang w:val="en-AU"/>
              </w:rPr>
              <w:t>39</w:t>
            </w:r>
          </w:p>
        </w:tc>
        <w:tc>
          <w:tcPr>
            <w:tcW w:w="835" w:type="pct"/>
            <w:vAlign w:val="bottom"/>
          </w:tcPr>
          <w:p w14:paraId="2277D07B" w14:textId="53A7FE11" w:rsidR="00E71430" w:rsidRPr="00141A4D" w:rsidRDefault="00E71430" w:rsidP="00384DB7">
            <w:pPr>
              <w:pStyle w:val="Tablecondensed"/>
              <w:rPr>
                <w:lang w:val="en-AU"/>
              </w:rPr>
            </w:pPr>
            <w:r>
              <w:rPr>
                <w:lang w:val="en-AU"/>
              </w:rPr>
              <w:t>31</w:t>
            </w:r>
          </w:p>
        </w:tc>
        <w:tc>
          <w:tcPr>
            <w:tcW w:w="826" w:type="pct"/>
          </w:tcPr>
          <w:p w14:paraId="49895B22" w14:textId="370D6DBA" w:rsidR="00E71430" w:rsidRPr="00141A4D" w:rsidRDefault="00E71430" w:rsidP="00384DB7">
            <w:pPr>
              <w:pStyle w:val="Tablecondensed"/>
              <w:rPr>
                <w:lang w:val="en-AU"/>
              </w:rPr>
            </w:pPr>
            <w:r>
              <w:rPr>
                <w:lang w:val="en-AU"/>
              </w:rPr>
              <w:t>1.</w:t>
            </w:r>
            <w:r w:rsidR="00AD398C">
              <w:rPr>
                <w:lang w:val="en-AU"/>
              </w:rPr>
              <w:t>9</w:t>
            </w:r>
          </w:p>
        </w:tc>
      </w:tr>
    </w:tbl>
    <w:p w14:paraId="296BC0E7" w14:textId="39F6C20E" w:rsidR="00431567" w:rsidRDefault="00E11524" w:rsidP="00736288">
      <w:pPr>
        <w:pStyle w:val="BodyText"/>
      </w:pPr>
      <w:r w:rsidRPr="00E11524">
        <w:t>Students were required to describe one national strategy that could address rising ocean heat</w:t>
      </w:r>
      <w:r w:rsidR="00F221A2">
        <w:t>,</w:t>
      </w:r>
      <w:r w:rsidRPr="00E11524">
        <w:t xml:space="preserve"> us</w:t>
      </w:r>
      <w:r w:rsidR="00F221A2">
        <w:t>ing</w:t>
      </w:r>
      <w:r w:rsidRPr="00E11524">
        <w:t xml:space="preserve"> the graph to support their response.</w:t>
      </w:r>
    </w:p>
    <w:p w14:paraId="629F0250" w14:textId="4A7F547F" w:rsidR="00E11524" w:rsidRPr="00E11524" w:rsidRDefault="00E11524" w:rsidP="00736288">
      <w:pPr>
        <w:pStyle w:val="BodyText"/>
      </w:pPr>
      <w:r w:rsidRPr="00E11524">
        <w:t xml:space="preserve">High-scoring responses </w:t>
      </w:r>
      <w:r w:rsidR="00414698">
        <w:t>described</w:t>
      </w:r>
      <w:r w:rsidRPr="00E11524">
        <w:t xml:space="preserve"> a valid national-level strategy, explained how it </w:t>
      </w:r>
      <w:r w:rsidR="00F221A2">
        <w:t xml:space="preserve">could </w:t>
      </w:r>
      <w:r w:rsidRPr="00E11524">
        <w:t>reduce greenhouse gas emissions and explicitly linked it to the upward trend shown in the graph</w:t>
      </w:r>
      <w:r w:rsidR="00414698">
        <w:t>.</w:t>
      </w:r>
    </w:p>
    <w:p w14:paraId="10E550C6" w14:textId="193757E2" w:rsidR="00CF2421" w:rsidRPr="00E11524" w:rsidRDefault="00CF2421" w:rsidP="00736288">
      <w:pPr>
        <w:pStyle w:val="BodyText"/>
      </w:pPr>
      <w:r>
        <w:t>L</w:t>
      </w:r>
      <w:r w:rsidRPr="00410AA4">
        <w:t>ower</w:t>
      </w:r>
      <w:r>
        <w:t>-</w:t>
      </w:r>
      <w:r w:rsidRPr="00410AA4">
        <w:t xml:space="preserve">scoring responses: </w:t>
      </w:r>
    </w:p>
    <w:p w14:paraId="75CA0E63" w14:textId="55F1BE74" w:rsidR="00E11524" w:rsidRPr="00E11524" w:rsidRDefault="0006388A" w:rsidP="00736288">
      <w:pPr>
        <w:pStyle w:val="Bullet"/>
      </w:pPr>
      <w:r>
        <w:t>did not</w:t>
      </w:r>
      <w:r w:rsidRPr="00E11524">
        <w:t xml:space="preserve"> </w:t>
      </w:r>
      <w:r>
        <w:t>make</w:t>
      </w:r>
      <w:r w:rsidRPr="00E11524">
        <w:t xml:space="preserve"> </w:t>
      </w:r>
      <w:r w:rsidR="00E11524" w:rsidRPr="00E11524">
        <w:t>a clear</w:t>
      </w:r>
      <w:r w:rsidR="00414698">
        <w:t xml:space="preserve"> and detailed</w:t>
      </w:r>
      <w:r w:rsidR="00E11524" w:rsidRPr="00E11524">
        <w:t xml:space="preserve"> reference to the graph, which was essential for full marks</w:t>
      </w:r>
    </w:p>
    <w:p w14:paraId="6396E0B4" w14:textId="27A25041" w:rsidR="00E11524" w:rsidRPr="00E11524" w:rsidRDefault="0006388A" w:rsidP="00736288">
      <w:pPr>
        <w:pStyle w:val="Bullet"/>
      </w:pPr>
      <w:r>
        <w:t>chose</w:t>
      </w:r>
      <w:r w:rsidRPr="00E11524">
        <w:t xml:space="preserve"> </w:t>
      </w:r>
      <w:r w:rsidR="00E11524" w:rsidRPr="00E11524">
        <w:t xml:space="preserve">strategies that were not national in scale, such as state or local </w:t>
      </w:r>
      <w:r w:rsidR="00414698">
        <w:t>strategies</w:t>
      </w:r>
    </w:p>
    <w:p w14:paraId="2E37333B" w14:textId="6E2CF69B" w:rsidR="00E11524" w:rsidRPr="00E11524" w:rsidRDefault="0006388A" w:rsidP="00736288">
      <w:pPr>
        <w:pStyle w:val="Bullet"/>
      </w:pPr>
      <w:r>
        <w:t>suggested</w:t>
      </w:r>
      <w:r w:rsidRPr="00E11524">
        <w:t xml:space="preserve"> </w:t>
      </w:r>
      <w:r w:rsidR="00E11524" w:rsidRPr="00E11524">
        <w:t>actions unrelated to climate change or ocean heat</w:t>
      </w:r>
    </w:p>
    <w:p w14:paraId="16B5301C" w14:textId="4DFD8F12" w:rsidR="00E11524" w:rsidRPr="00E11524" w:rsidRDefault="0006388A" w:rsidP="00736288">
      <w:pPr>
        <w:pStyle w:val="Bullet"/>
      </w:pPr>
      <w:r>
        <w:t>failed</w:t>
      </w:r>
      <w:r w:rsidRPr="00E11524">
        <w:t xml:space="preserve"> </w:t>
      </w:r>
      <w:r w:rsidR="00E11524" w:rsidRPr="00E11524">
        <w:t>to link the strategy to reduced emissions, the driver of global warming and ocean heating.</w:t>
      </w:r>
    </w:p>
    <w:p w14:paraId="17F0C090" w14:textId="13667BA2" w:rsidR="00CF2421" w:rsidRPr="00C5284B" w:rsidRDefault="00CF2421" w:rsidP="00736288">
      <w:pPr>
        <w:pStyle w:val="BodyText"/>
      </w:pPr>
      <w:r>
        <w:t>The following is an example of a high-scoring student response.</w:t>
      </w:r>
    </w:p>
    <w:p w14:paraId="0DFC6FA6" w14:textId="77777777" w:rsidR="00C5284B" w:rsidRPr="001448D4" w:rsidRDefault="00C5284B" w:rsidP="00943BB7">
      <w:pPr>
        <w:pStyle w:val="BodyText"/>
        <w:ind w:left="284"/>
        <w:rPr>
          <w:rStyle w:val="Emphasis"/>
        </w:rPr>
      </w:pPr>
      <w:r w:rsidRPr="001448D4">
        <w:rPr>
          <w:rStyle w:val="Emphasis"/>
        </w:rPr>
        <w:t>A national strategy that could address rising ocean heat is the federal government’s Climate Change Act 2022, which includes significant investment in upgrading Australia’s electrical grid to support greater storage and distribution of renewable energy such as wind and solar. Increasing renewable energy capacity reduces reliance on coal-fired electricity, which is a major source of carbon emissions. Lowering carbon emissions slows global warming and reduces the rate at which oceans absorb excess heat.</w:t>
      </w:r>
    </w:p>
    <w:p w14:paraId="2853E80E" w14:textId="77777777" w:rsidR="00C5284B" w:rsidRPr="00943BB7" w:rsidRDefault="00C5284B" w:rsidP="00943BB7">
      <w:pPr>
        <w:pStyle w:val="BodyText"/>
        <w:ind w:left="284"/>
        <w:rPr>
          <w:i/>
          <w:iCs/>
        </w:rPr>
      </w:pPr>
      <w:r w:rsidRPr="001448D4">
        <w:rPr>
          <w:rStyle w:val="Emphasis"/>
        </w:rPr>
        <w:t>The graph shows a steady increase in global ocean heat content from 1960 to 2023, with the rise becoming much more pronounced after 1970. If this trend continues, coral ecosystems such as the Great Barrier Reef may face further bleaching and potential collapse. Transitioning to renewable energy at a national scale directly targets the cause of this trend by reducing atmospheric greenhouse gases</w:t>
      </w:r>
      <w:r w:rsidRPr="00943BB7">
        <w:rPr>
          <w:i/>
          <w:iCs/>
        </w:rPr>
        <w:t>.</w:t>
      </w:r>
    </w:p>
    <w:p w14:paraId="696ED2C0" w14:textId="77777777" w:rsidR="00186BE2" w:rsidRDefault="00186BE2">
      <w:pPr>
        <w:spacing w:line="276" w:lineRule="auto"/>
        <w:rPr>
          <w:rFonts w:ascii="Arial" w:hAnsi="Arial" w:cs="Arial"/>
          <w:color w:val="0F7EB4"/>
          <w:sz w:val="32"/>
          <w:szCs w:val="24"/>
          <w:lang w:val="en-AU"/>
        </w:rPr>
      </w:pPr>
      <w:r>
        <w:br w:type="page"/>
      </w:r>
    </w:p>
    <w:p w14:paraId="73E6B302" w14:textId="0FA5DF29" w:rsidR="00563646" w:rsidRDefault="00563646" w:rsidP="00971A7E">
      <w:pPr>
        <w:pStyle w:val="Heading3"/>
      </w:pPr>
      <w:r>
        <w:lastRenderedPageBreak/>
        <w:t>Question 7</w:t>
      </w:r>
    </w:p>
    <w:tbl>
      <w:tblPr>
        <w:tblStyle w:val="VCAATableClosed"/>
        <w:tblW w:w="3331" w:type="pct"/>
        <w:tblLook w:val="04A0" w:firstRow="1" w:lastRow="0" w:firstColumn="1" w:lastColumn="0" w:noHBand="0" w:noVBand="1"/>
      </w:tblPr>
      <w:tblGrid>
        <w:gridCol w:w="1072"/>
        <w:gridCol w:w="1072"/>
        <w:gridCol w:w="1071"/>
        <w:gridCol w:w="1071"/>
        <w:gridCol w:w="1071"/>
        <w:gridCol w:w="1058"/>
      </w:tblGrid>
      <w:tr w:rsidR="00E71430" w:rsidRPr="00141A4D" w14:paraId="20E1A381" w14:textId="77777777" w:rsidTr="00384DB7">
        <w:trPr>
          <w:cnfStyle w:val="100000000000" w:firstRow="1" w:lastRow="0" w:firstColumn="0" w:lastColumn="0" w:oddVBand="0" w:evenVBand="0" w:oddHBand="0" w:evenHBand="0" w:firstRowFirstColumn="0" w:firstRowLastColumn="0" w:lastRowFirstColumn="0" w:lastRowLastColumn="0"/>
        </w:trPr>
        <w:tc>
          <w:tcPr>
            <w:tcW w:w="835" w:type="pct"/>
          </w:tcPr>
          <w:p w14:paraId="60D71D4C" w14:textId="77777777" w:rsidR="00E71430" w:rsidRPr="00141A4D" w:rsidRDefault="00E71430" w:rsidP="00384DB7">
            <w:pPr>
              <w:pStyle w:val="Tablecondensedheading"/>
              <w:rPr>
                <w:lang w:val="en-AU"/>
              </w:rPr>
            </w:pPr>
            <w:r w:rsidRPr="00141A4D">
              <w:rPr>
                <w:lang w:val="en-AU"/>
              </w:rPr>
              <w:t>Mark</w:t>
            </w:r>
            <w:r>
              <w:rPr>
                <w:lang w:val="en-AU"/>
              </w:rPr>
              <w:t>s</w:t>
            </w:r>
          </w:p>
        </w:tc>
        <w:tc>
          <w:tcPr>
            <w:tcW w:w="835" w:type="pct"/>
          </w:tcPr>
          <w:p w14:paraId="378BDF40" w14:textId="77777777" w:rsidR="00E71430" w:rsidRPr="00141A4D" w:rsidRDefault="00E71430" w:rsidP="00384DB7">
            <w:pPr>
              <w:pStyle w:val="Tablecondensedheading"/>
              <w:rPr>
                <w:lang w:val="en-AU"/>
              </w:rPr>
            </w:pPr>
            <w:r w:rsidRPr="00141A4D">
              <w:rPr>
                <w:lang w:val="en-AU"/>
              </w:rPr>
              <w:t>0</w:t>
            </w:r>
          </w:p>
        </w:tc>
        <w:tc>
          <w:tcPr>
            <w:tcW w:w="835" w:type="pct"/>
          </w:tcPr>
          <w:p w14:paraId="0C0070A5" w14:textId="77777777" w:rsidR="00E71430" w:rsidRPr="00141A4D" w:rsidRDefault="00E71430" w:rsidP="00384DB7">
            <w:pPr>
              <w:pStyle w:val="Tablecondensedheading"/>
              <w:rPr>
                <w:lang w:val="en-AU"/>
              </w:rPr>
            </w:pPr>
            <w:r w:rsidRPr="00141A4D">
              <w:rPr>
                <w:lang w:val="en-AU"/>
              </w:rPr>
              <w:t>1</w:t>
            </w:r>
          </w:p>
        </w:tc>
        <w:tc>
          <w:tcPr>
            <w:tcW w:w="835" w:type="pct"/>
          </w:tcPr>
          <w:p w14:paraId="07EE2DFB" w14:textId="77777777" w:rsidR="00E71430" w:rsidRPr="00141A4D" w:rsidRDefault="00E71430" w:rsidP="00384DB7">
            <w:pPr>
              <w:pStyle w:val="Tablecondensedheading"/>
              <w:rPr>
                <w:lang w:val="en-AU"/>
              </w:rPr>
            </w:pPr>
            <w:r w:rsidRPr="00141A4D">
              <w:rPr>
                <w:lang w:val="en-AU"/>
              </w:rPr>
              <w:t>2</w:t>
            </w:r>
          </w:p>
        </w:tc>
        <w:tc>
          <w:tcPr>
            <w:tcW w:w="835" w:type="pct"/>
          </w:tcPr>
          <w:p w14:paraId="5766A6F6" w14:textId="77777777" w:rsidR="00E71430" w:rsidRPr="00141A4D" w:rsidRDefault="00E71430" w:rsidP="00384DB7">
            <w:pPr>
              <w:pStyle w:val="Tablecondensedheading"/>
              <w:rPr>
                <w:lang w:val="en-AU"/>
              </w:rPr>
            </w:pPr>
            <w:r w:rsidRPr="00141A4D">
              <w:rPr>
                <w:lang w:val="en-AU"/>
              </w:rPr>
              <w:t>3</w:t>
            </w:r>
          </w:p>
        </w:tc>
        <w:tc>
          <w:tcPr>
            <w:tcW w:w="826" w:type="pct"/>
          </w:tcPr>
          <w:p w14:paraId="18200EBA" w14:textId="77777777" w:rsidR="00E71430" w:rsidRPr="00141A4D" w:rsidRDefault="00E71430" w:rsidP="00384DB7">
            <w:pPr>
              <w:pStyle w:val="Tablecondensedheading"/>
              <w:rPr>
                <w:lang w:val="en-AU"/>
              </w:rPr>
            </w:pPr>
            <w:r w:rsidRPr="00141A4D">
              <w:rPr>
                <w:lang w:val="en-AU"/>
              </w:rPr>
              <w:t>Average</w:t>
            </w:r>
          </w:p>
        </w:tc>
      </w:tr>
      <w:tr w:rsidR="00E71430" w:rsidRPr="00141A4D" w14:paraId="6F15C314" w14:textId="77777777" w:rsidTr="00384DB7">
        <w:tc>
          <w:tcPr>
            <w:tcW w:w="835" w:type="pct"/>
          </w:tcPr>
          <w:p w14:paraId="0B4A4C9B" w14:textId="77777777" w:rsidR="00E71430" w:rsidRPr="00141A4D" w:rsidRDefault="00E71430" w:rsidP="00384DB7">
            <w:pPr>
              <w:pStyle w:val="Tablecondensed"/>
              <w:rPr>
                <w:lang w:val="en-AU"/>
              </w:rPr>
            </w:pPr>
            <w:r w:rsidRPr="00141A4D">
              <w:rPr>
                <w:lang w:val="en-AU"/>
              </w:rPr>
              <w:t>%</w:t>
            </w:r>
          </w:p>
        </w:tc>
        <w:tc>
          <w:tcPr>
            <w:tcW w:w="835" w:type="pct"/>
            <w:vAlign w:val="bottom"/>
          </w:tcPr>
          <w:p w14:paraId="3C698763" w14:textId="069FC44E" w:rsidR="00E71430" w:rsidRPr="00141A4D" w:rsidRDefault="00E71430" w:rsidP="00384DB7">
            <w:pPr>
              <w:pStyle w:val="Tablecondensed"/>
              <w:rPr>
                <w:lang w:val="en-AU"/>
              </w:rPr>
            </w:pPr>
            <w:r>
              <w:rPr>
                <w:lang w:val="en-AU"/>
              </w:rPr>
              <w:t>21</w:t>
            </w:r>
          </w:p>
        </w:tc>
        <w:tc>
          <w:tcPr>
            <w:tcW w:w="835" w:type="pct"/>
            <w:vAlign w:val="bottom"/>
          </w:tcPr>
          <w:p w14:paraId="377BB9D5" w14:textId="33BBA68F" w:rsidR="00E71430" w:rsidRPr="00141A4D" w:rsidRDefault="00E71430" w:rsidP="00384DB7">
            <w:pPr>
              <w:pStyle w:val="Tablecondensed"/>
              <w:rPr>
                <w:lang w:val="en-AU"/>
              </w:rPr>
            </w:pPr>
            <w:r>
              <w:rPr>
                <w:lang w:val="en-AU"/>
              </w:rPr>
              <w:t>21</w:t>
            </w:r>
          </w:p>
        </w:tc>
        <w:tc>
          <w:tcPr>
            <w:tcW w:w="835" w:type="pct"/>
            <w:vAlign w:val="bottom"/>
          </w:tcPr>
          <w:p w14:paraId="2094E431" w14:textId="21F77E81" w:rsidR="00E71430" w:rsidRPr="00141A4D" w:rsidRDefault="00E71430" w:rsidP="00384DB7">
            <w:pPr>
              <w:pStyle w:val="Tablecondensed"/>
              <w:rPr>
                <w:lang w:val="en-AU"/>
              </w:rPr>
            </w:pPr>
            <w:r>
              <w:rPr>
                <w:lang w:val="en-AU"/>
              </w:rPr>
              <w:t>3</w:t>
            </w:r>
            <w:r w:rsidR="00AD398C">
              <w:rPr>
                <w:lang w:val="en-AU"/>
              </w:rPr>
              <w:t>5</w:t>
            </w:r>
          </w:p>
        </w:tc>
        <w:tc>
          <w:tcPr>
            <w:tcW w:w="835" w:type="pct"/>
            <w:vAlign w:val="bottom"/>
          </w:tcPr>
          <w:p w14:paraId="0B02EE0A" w14:textId="4783792E" w:rsidR="00E71430" w:rsidRPr="00141A4D" w:rsidRDefault="00E71430" w:rsidP="00384DB7">
            <w:pPr>
              <w:pStyle w:val="Tablecondensed"/>
              <w:rPr>
                <w:lang w:val="en-AU"/>
              </w:rPr>
            </w:pPr>
            <w:r>
              <w:rPr>
                <w:lang w:val="en-AU"/>
              </w:rPr>
              <w:t>23</w:t>
            </w:r>
          </w:p>
        </w:tc>
        <w:tc>
          <w:tcPr>
            <w:tcW w:w="826" w:type="pct"/>
          </w:tcPr>
          <w:p w14:paraId="0A72BEFE" w14:textId="2EBCD65C" w:rsidR="00E71430" w:rsidRPr="00141A4D" w:rsidRDefault="00E71430" w:rsidP="00384DB7">
            <w:pPr>
              <w:pStyle w:val="Tablecondensed"/>
              <w:rPr>
                <w:lang w:val="en-AU"/>
              </w:rPr>
            </w:pPr>
            <w:r>
              <w:rPr>
                <w:lang w:val="en-AU"/>
              </w:rPr>
              <w:t>1.</w:t>
            </w:r>
            <w:r w:rsidR="00AD398C">
              <w:rPr>
                <w:lang w:val="en-AU"/>
              </w:rPr>
              <w:t>6</w:t>
            </w:r>
          </w:p>
        </w:tc>
      </w:tr>
    </w:tbl>
    <w:p w14:paraId="4990121D" w14:textId="7BDDB17E" w:rsidR="000513DD" w:rsidRPr="00736288" w:rsidRDefault="000513DD" w:rsidP="00736288">
      <w:pPr>
        <w:pStyle w:val="BodyText"/>
      </w:pPr>
      <w:r w:rsidRPr="00736288">
        <w:t>Students were required to use a specific outdoor environment to explain how social and environmental sustainability are interdependent. High-scoring responses showed how improvements in one pillar support</w:t>
      </w:r>
      <w:r w:rsidR="002244B5">
        <w:t>ed</w:t>
      </w:r>
      <w:r w:rsidRPr="00736288">
        <w:t xml:space="preserve"> or depend</w:t>
      </w:r>
      <w:r w:rsidR="002244B5">
        <w:t>ed</w:t>
      </w:r>
      <w:r w:rsidRPr="00736288">
        <w:t xml:space="preserve"> on the other within the chosen environment.</w:t>
      </w:r>
    </w:p>
    <w:p w14:paraId="6C8E8C5C" w14:textId="1D784371" w:rsidR="00CF2421" w:rsidRPr="00736288" w:rsidRDefault="00CF2421" w:rsidP="00736288">
      <w:pPr>
        <w:pStyle w:val="BodyText"/>
      </w:pPr>
      <w:r>
        <w:t>L</w:t>
      </w:r>
      <w:r w:rsidRPr="00410AA4">
        <w:t>ower</w:t>
      </w:r>
      <w:r>
        <w:t>-</w:t>
      </w:r>
      <w:r w:rsidRPr="00410AA4">
        <w:t xml:space="preserve">scoring responses: </w:t>
      </w:r>
    </w:p>
    <w:p w14:paraId="0CEC0C81" w14:textId="47ABC0FF" w:rsidR="000513DD" w:rsidRPr="000513DD" w:rsidRDefault="0006388A" w:rsidP="00736288">
      <w:pPr>
        <w:pStyle w:val="Bullet"/>
      </w:pPr>
      <w:r>
        <w:t>described</w:t>
      </w:r>
      <w:r w:rsidRPr="000513DD">
        <w:t xml:space="preserve"> </w:t>
      </w:r>
      <w:r w:rsidR="000513DD" w:rsidRPr="000513DD">
        <w:t>the pillars separately rather than explaining their interdependence</w:t>
      </w:r>
    </w:p>
    <w:p w14:paraId="56A8714D" w14:textId="628ED689" w:rsidR="000513DD" w:rsidRPr="000513DD" w:rsidRDefault="0006388A" w:rsidP="00736288">
      <w:pPr>
        <w:pStyle w:val="Bullet"/>
      </w:pPr>
      <w:r>
        <w:t>gave</w:t>
      </w:r>
      <w:r w:rsidRPr="000513DD">
        <w:t xml:space="preserve"> </w:t>
      </w:r>
      <w:r w:rsidR="000513DD" w:rsidRPr="000513DD">
        <w:t>definitions only, without applying them to a specific environment</w:t>
      </w:r>
    </w:p>
    <w:p w14:paraId="170F78E8" w14:textId="14F4FD82" w:rsidR="000513DD" w:rsidRPr="000513DD" w:rsidRDefault="0006388A" w:rsidP="00736288">
      <w:pPr>
        <w:pStyle w:val="Bullet"/>
      </w:pPr>
      <w:r>
        <w:t>focused</w:t>
      </w:r>
      <w:r w:rsidRPr="000513DD">
        <w:t xml:space="preserve"> </w:t>
      </w:r>
      <w:r w:rsidR="000513DD" w:rsidRPr="000513DD">
        <w:t>solely on social or environmental sustainability</w:t>
      </w:r>
    </w:p>
    <w:p w14:paraId="479E1F44" w14:textId="15AE3407" w:rsidR="000513DD" w:rsidRPr="000513DD" w:rsidRDefault="0006388A" w:rsidP="00736288">
      <w:pPr>
        <w:pStyle w:val="Bullet"/>
      </w:pPr>
      <w:r>
        <w:t>provided</w:t>
      </w:r>
      <w:r w:rsidRPr="000513DD">
        <w:t xml:space="preserve"> </w:t>
      </w:r>
      <w:r w:rsidR="000513DD" w:rsidRPr="000513DD">
        <w:t>generic statements without real examples of ecological, community or wellbeing benefits.</w:t>
      </w:r>
    </w:p>
    <w:p w14:paraId="75B6ADD3" w14:textId="570EB52D" w:rsidR="00CF2421" w:rsidRPr="00C5284B" w:rsidRDefault="00CF2421" w:rsidP="00736288">
      <w:pPr>
        <w:pStyle w:val="BodyText"/>
      </w:pPr>
      <w:r>
        <w:t>The following is an example of a high-scoring student response.</w:t>
      </w:r>
    </w:p>
    <w:p w14:paraId="2843E283" w14:textId="7D434AC5" w:rsidR="00E71430" w:rsidRPr="001448D4" w:rsidRDefault="00F1293F" w:rsidP="00A974B2">
      <w:pPr>
        <w:pStyle w:val="BodyText"/>
        <w:ind w:left="284"/>
        <w:rPr>
          <w:rStyle w:val="Emphasis"/>
        </w:rPr>
      </w:pPr>
      <w:r w:rsidRPr="001448D4">
        <w:rPr>
          <w:rStyle w:val="Emphasis"/>
        </w:rPr>
        <w:t>‘</w:t>
      </w:r>
      <w:r w:rsidR="00C5284B" w:rsidRPr="001448D4">
        <w:rPr>
          <w:rStyle w:val="Emphasis"/>
        </w:rPr>
        <w:t>The Cape</w:t>
      </w:r>
      <w:r w:rsidRPr="001448D4">
        <w:rPr>
          <w:rStyle w:val="Emphasis"/>
        </w:rPr>
        <w:t xml:space="preserve">’ </w:t>
      </w:r>
      <w:r w:rsidR="00C5284B" w:rsidRPr="001448D4">
        <w:rPr>
          <w:rStyle w:val="Emphasis"/>
        </w:rPr>
        <w:t>eco-village at Cape Paterson reserves 50% of its land for native habitats, including heathlands, wetlands and coastal sand dunes. These areas support biodiversity by providing habitat for species such as wallabies, parrots and wombats, demonstrating strong environmental sustainability.</w:t>
      </w:r>
      <w:r w:rsidR="00664B64" w:rsidRPr="001448D4">
        <w:rPr>
          <w:rStyle w:val="Emphasis"/>
        </w:rPr>
        <w:t xml:space="preserve"> </w:t>
      </w:r>
      <w:r w:rsidR="00C5284B" w:rsidRPr="001448D4">
        <w:rPr>
          <w:rStyle w:val="Emphasis"/>
        </w:rPr>
        <w:t>These restored environments also enhance social sustainability, as residents can spend time in natural surroundings that support mental health, relaxation and community wellbeing. In addition, plants such as tea-tree, which grows naturally in the area, have medicinal properties that can help relieve symptoms of colds and flu.</w:t>
      </w:r>
      <w:r w:rsidR="00C5284B" w:rsidRPr="001448D4">
        <w:rPr>
          <w:rStyle w:val="Emphasis"/>
        </w:rPr>
        <w:br/>
        <w:t>Together, these examples show how protecting the environment also improves human health and wellbeing, making social and environmental sustainability interdependent.</w:t>
      </w:r>
    </w:p>
    <w:p w14:paraId="78A558A7" w14:textId="789651F5" w:rsidR="00E25E49" w:rsidRDefault="00563646" w:rsidP="00971A7E">
      <w:pPr>
        <w:pStyle w:val="Heading3"/>
      </w:pPr>
      <w:r>
        <w:t>Question 8</w:t>
      </w:r>
    </w:p>
    <w:tbl>
      <w:tblPr>
        <w:tblStyle w:val="VCAATableClosed"/>
        <w:tblW w:w="3887" w:type="pct"/>
        <w:tblLook w:val="04A0" w:firstRow="1" w:lastRow="0" w:firstColumn="1" w:lastColumn="0" w:noHBand="0" w:noVBand="1"/>
      </w:tblPr>
      <w:tblGrid>
        <w:gridCol w:w="1071"/>
        <w:gridCol w:w="1071"/>
        <w:gridCol w:w="1071"/>
        <w:gridCol w:w="1071"/>
        <w:gridCol w:w="1071"/>
        <w:gridCol w:w="1071"/>
        <w:gridCol w:w="1060"/>
      </w:tblGrid>
      <w:tr w:rsidR="00E71430" w:rsidRPr="00141A4D" w14:paraId="4E9EBF95" w14:textId="77777777" w:rsidTr="00384DB7">
        <w:trPr>
          <w:cnfStyle w:val="100000000000" w:firstRow="1" w:lastRow="0" w:firstColumn="0" w:lastColumn="0" w:oddVBand="0" w:evenVBand="0" w:oddHBand="0" w:evenHBand="0" w:firstRowFirstColumn="0" w:firstRowLastColumn="0" w:lastRowFirstColumn="0" w:lastRowLastColumn="0"/>
        </w:trPr>
        <w:tc>
          <w:tcPr>
            <w:tcW w:w="715" w:type="pct"/>
          </w:tcPr>
          <w:p w14:paraId="265DEA67" w14:textId="77777777" w:rsidR="00E71430" w:rsidRPr="00141A4D" w:rsidRDefault="00E71430" w:rsidP="00384DB7">
            <w:pPr>
              <w:pStyle w:val="Tablecondensedheading"/>
              <w:rPr>
                <w:lang w:val="en-AU"/>
              </w:rPr>
            </w:pPr>
            <w:r w:rsidRPr="00141A4D">
              <w:rPr>
                <w:lang w:val="en-AU"/>
              </w:rPr>
              <w:t>Mark</w:t>
            </w:r>
            <w:r>
              <w:rPr>
                <w:lang w:val="en-AU"/>
              </w:rPr>
              <w:t>s</w:t>
            </w:r>
          </w:p>
        </w:tc>
        <w:tc>
          <w:tcPr>
            <w:tcW w:w="715" w:type="pct"/>
          </w:tcPr>
          <w:p w14:paraId="7BF62B2F" w14:textId="77777777" w:rsidR="00E71430" w:rsidRPr="00141A4D" w:rsidRDefault="00E71430" w:rsidP="00384DB7">
            <w:pPr>
              <w:pStyle w:val="Tablecondensedheading"/>
              <w:rPr>
                <w:lang w:val="en-AU"/>
              </w:rPr>
            </w:pPr>
            <w:r w:rsidRPr="00141A4D">
              <w:rPr>
                <w:lang w:val="en-AU"/>
              </w:rPr>
              <w:t>0</w:t>
            </w:r>
          </w:p>
        </w:tc>
        <w:tc>
          <w:tcPr>
            <w:tcW w:w="715" w:type="pct"/>
          </w:tcPr>
          <w:p w14:paraId="2DE3AC00" w14:textId="77777777" w:rsidR="00E71430" w:rsidRPr="00141A4D" w:rsidRDefault="00E71430" w:rsidP="00384DB7">
            <w:pPr>
              <w:pStyle w:val="Tablecondensedheading"/>
              <w:rPr>
                <w:lang w:val="en-AU"/>
              </w:rPr>
            </w:pPr>
            <w:r w:rsidRPr="00141A4D">
              <w:rPr>
                <w:lang w:val="en-AU"/>
              </w:rPr>
              <w:t>1</w:t>
            </w:r>
          </w:p>
        </w:tc>
        <w:tc>
          <w:tcPr>
            <w:tcW w:w="715" w:type="pct"/>
          </w:tcPr>
          <w:p w14:paraId="124A547E" w14:textId="77777777" w:rsidR="00E71430" w:rsidRPr="00141A4D" w:rsidRDefault="00E71430" w:rsidP="00384DB7">
            <w:pPr>
              <w:pStyle w:val="Tablecondensedheading"/>
              <w:rPr>
                <w:lang w:val="en-AU"/>
              </w:rPr>
            </w:pPr>
            <w:r w:rsidRPr="00141A4D">
              <w:rPr>
                <w:lang w:val="en-AU"/>
              </w:rPr>
              <w:t>2</w:t>
            </w:r>
          </w:p>
        </w:tc>
        <w:tc>
          <w:tcPr>
            <w:tcW w:w="715" w:type="pct"/>
          </w:tcPr>
          <w:p w14:paraId="48982D1B" w14:textId="77777777" w:rsidR="00E71430" w:rsidRPr="00141A4D" w:rsidRDefault="00E71430" w:rsidP="00384DB7">
            <w:pPr>
              <w:pStyle w:val="Tablecondensedheading"/>
              <w:rPr>
                <w:lang w:val="en-AU"/>
              </w:rPr>
            </w:pPr>
            <w:r w:rsidRPr="00141A4D">
              <w:rPr>
                <w:lang w:val="en-AU"/>
              </w:rPr>
              <w:t>3</w:t>
            </w:r>
          </w:p>
        </w:tc>
        <w:tc>
          <w:tcPr>
            <w:tcW w:w="715" w:type="pct"/>
          </w:tcPr>
          <w:p w14:paraId="11073BA7" w14:textId="77777777" w:rsidR="00E71430" w:rsidRPr="00141A4D" w:rsidRDefault="00E71430" w:rsidP="00384DB7">
            <w:pPr>
              <w:pStyle w:val="Tablecondensedheading"/>
              <w:rPr>
                <w:lang w:val="en-AU"/>
              </w:rPr>
            </w:pPr>
            <w:r>
              <w:rPr>
                <w:lang w:val="en-AU"/>
              </w:rPr>
              <w:t>4</w:t>
            </w:r>
          </w:p>
        </w:tc>
        <w:tc>
          <w:tcPr>
            <w:tcW w:w="707" w:type="pct"/>
          </w:tcPr>
          <w:p w14:paraId="5D883D26" w14:textId="77777777" w:rsidR="00E71430" w:rsidRPr="00141A4D" w:rsidRDefault="00E71430" w:rsidP="00384DB7">
            <w:pPr>
              <w:pStyle w:val="Tablecondensedheading"/>
              <w:rPr>
                <w:lang w:val="en-AU"/>
              </w:rPr>
            </w:pPr>
            <w:r w:rsidRPr="00141A4D">
              <w:rPr>
                <w:lang w:val="en-AU"/>
              </w:rPr>
              <w:t>Average</w:t>
            </w:r>
          </w:p>
        </w:tc>
      </w:tr>
      <w:tr w:rsidR="00E71430" w:rsidRPr="00141A4D" w14:paraId="759DA6AD" w14:textId="77777777" w:rsidTr="00384DB7">
        <w:tc>
          <w:tcPr>
            <w:tcW w:w="715" w:type="pct"/>
          </w:tcPr>
          <w:p w14:paraId="3B289CBB" w14:textId="77777777" w:rsidR="00E71430" w:rsidRPr="00141A4D" w:rsidRDefault="00E71430" w:rsidP="00384DB7">
            <w:pPr>
              <w:pStyle w:val="Tablecondensed"/>
              <w:rPr>
                <w:lang w:val="en-AU"/>
              </w:rPr>
            </w:pPr>
            <w:r w:rsidRPr="00141A4D">
              <w:rPr>
                <w:lang w:val="en-AU"/>
              </w:rPr>
              <w:t>%</w:t>
            </w:r>
          </w:p>
        </w:tc>
        <w:tc>
          <w:tcPr>
            <w:tcW w:w="715" w:type="pct"/>
            <w:vAlign w:val="bottom"/>
          </w:tcPr>
          <w:p w14:paraId="20119777" w14:textId="61A82C89" w:rsidR="00E71430" w:rsidRPr="00141A4D" w:rsidRDefault="00E71430" w:rsidP="00384DB7">
            <w:pPr>
              <w:pStyle w:val="Tablecondensed"/>
              <w:rPr>
                <w:lang w:val="en-AU"/>
              </w:rPr>
            </w:pPr>
            <w:r>
              <w:rPr>
                <w:lang w:val="en-AU"/>
              </w:rPr>
              <w:t>14</w:t>
            </w:r>
          </w:p>
        </w:tc>
        <w:tc>
          <w:tcPr>
            <w:tcW w:w="715" w:type="pct"/>
            <w:vAlign w:val="bottom"/>
          </w:tcPr>
          <w:p w14:paraId="5DEC686D" w14:textId="58FD1621" w:rsidR="00E71430" w:rsidRPr="00141A4D" w:rsidRDefault="00AD398C" w:rsidP="00384DB7">
            <w:pPr>
              <w:pStyle w:val="Tablecondensed"/>
              <w:rPr>
                <w:lang w:val="en-AU"/>
              </w:rPr>
            </w:pPr>
            <w:r>
              <w:rPr>
                <w:lang w:val="en-AU"/>
              </w:rPr>
              <w:t>9</w:t>
            </w:r>
          </w:p>
        </w:tc>
        <w:tc>
          <w:tcPr>
            <w:tcW w:w="715" w:type="pct"/>
            <w:vAlign w:val="bottom"/>
          </w:tcPr>
          <w:p w14:paraId="516F0047" w14:textId="58482A90" w:rsidR="00E71430" w:rsidRPr="00141A4D" w:rsidRDefault="00E71430" w:rsidP="00384DB7">
            <w:pPr>
              <w:pStyle w:val="Tablecondensed"/>
              <w:rPr>
                <w:lang w:val="en-AU"/>
              </w:rPr>
            </w:pPr>
            <w:r>
              <w:rPr>
                <w:lang w:val="en-AU"/>
              </w:rPr>
              <w:t>27</w:t>
            </w:r>
          </w:p>
        </w:tc>
        <w:tc>
          <w:tcPr>
            <w:tcW w:w="715" w:type="pct"/>
            <w:vAlign w:val="bottom"/>
          </w:tcPr>
          <w:p w14:paraId="2A6A861A" w14:textId="672EA1C0" w:rsidR="00E71430" w:rsidRPr="00141A4D" w:rsidRDefault="00E71430" w:rsidP="00384DB7">
            <w:pPr>
              <w:pStyle w:val="Tablecondensed"/>
              <w:rPr>
                <w:lang w:val="en-AU"/>
              </w:rPr>
            </w:pPr>
            <w:r>
              <w:rPr>
                <w:lang w:val="en-AU"/>
              </w:rPr>
              <w:t>26</w:t>
            </w:r>
          </w:p>
        </w:tc>
        <w:tc>
          <w:tcPr>
            <w:tcW w:w="715" w:type="pct"/>
          </w:tcPr>
          <w:p w14:paraId="53A752E9" w14:textId="717A90D6" w:rsidR="00E71430" w:rsidRDefault="00E71430" w:rsidP="00384DB7">
            <w:pPr>
              <w:pStyle w:val="Tablecondensed"/>
              <w:rPr>
                <w:lang w:val="en-AU"/>
              </w:rPr>
            </w:pPr>
            <w:r>
              <w:rPr>
                <w:lang w:val="en-AU"/>
              </w:rPr>
              <w:t>24</w:t>
            </w:r>
          </w:p>
        </w:tc>
        <w:tc>
          <w:tcPr>
            <w:tcW w:w="707" w:type="pct"/>
          </w:tcPr>
          <w:p w14:paraId="552488B7" w14:textId="0046E149" w:rsidR="00E71430" w:rsidRPr="00141A4D" w:rsidRDefault="00E71430" w:rsidP="00384DB7">
            <w:pPr>
              <w:pStyle w:val="Tablecondensed"/>
              <w:rPr>
                <w:lang w:val="en-AU"/>
              </w:rPr>
            </w:pPr>
            <w:r>
              <w:rPr>
                <w:lang w:val="en-AU"/>
              </w:rPr>
              <w:t>2.</w:t>
            </w:r>
            <w:r w:rsidR="00AD398C">
              <w:rPr>
                <w:lang w:val="en-AU"/>
              </w:rPr>
              <w:t>4</w:t>
            </w:r>
          </w:p>
        </w:tc>
      </w:tr>
    </w:tbl>
    <w:p w14:paraId="425F5FF3" w14:textId="77777777" w:rsidR="00A974B2" w:rsidRDefault="004B416E" w:rsidP="00736288">
      <w:pPr>
        <w:pStyle w:val="BodyText"/>
      </w:pPr>
      <w:r w:rsidRPr="004B416E">
        <w:t>Students were required to analyse the impact of one environmental threat (other than climate change) on both society and outdoor environments.</w:t>
      </w:r>
    </w:p>
    <w:p w14:paraId="380CC9E2" w14:textId="5F743399" w:rsidR="004B416E" w:rsidRPr="004B416E" w:rsidRDefault="004B416E" w:rsidP="00736288">
      <w:pPr>
        <w:pStyle w:val="BodyText"/>
      </w:pPr>
      <w:r w:rsidRPr="004B416E">
        <w:t>High-scoring responses demonstrated clear cause</w:t>
      </w:r>
      <w:r w:rsidR="00414698">
        <w:t xml:space="preserve"> </w:t>
      </w:r>
      <w:r w:rsidRPr="004B416E">
        <w:t>and</w:t>
      </w:r>
      <w:r w:rsidR="00414698">
        <w:t xml:space="preserve"> </w:t>
      </w:r>
      <w:r w:rsidRPr="004B416E">
        <w:t>effect links, showing how the threat</w:t>
      </w:r>
      <w:r w:rsidR="009B5636">
        <w:t xml:space="preserve"> has</w:t>
      </w:r>
      <w:r w:rsidRPr="004B416E">
        <w:t xml:space="preserve"> led to specific environmental impacts and how those impacts </w:t>
      </w:r>
      <w:r w:rsidR="009B5636">
        <w:t xml:space="preserve">have </w:t>
      </w:r>
      <w:r w:rsidRPr="004B416E">
        <w:t>affect</w:t>
      </w:r>
      <w:r w:rsidR="00EC7E98">
        <w:t>ed</w:t>
      </w:r>
      <w:r w:rsidRPr="004B416E">
        <w:t xml:space="preserve"> communities</w:t>
      </w:r>
      <w:r w:rsidR="00414698">
        <w:t xml:space="preserve"> (society)</w:t>
      </w:r>
      <w:r w:rsidRPr="004B416E">
        <w:t>.</w:t>
      </w:r>
    </w:p>
    <w:p w14:paraId="2024D698" w14:textId="3A3D5336" w:rsidR="00CF2421" w:rsidRPr="004B416E" w:rsidRDefault="00CF2421" w:rsidP="00736288">
      <w:pPr>
        <w:pStyle w:val="BodyText"/>
      </w:pPr>
      <w:r>
        <w:t>L</w:t>
      </w:r>
      <w:r w:rsidRPr="00410AA4">
        <w:t>ower</w:t>
      </w:r>
      <w:r>
        <w:t>-</w:t>
      </w:r>
      <w:r w:rsidRPr="00410AA4">
        <w:t xml:space="preserve">scoring responses: </w:t>
      </w:r>
    </w:p>
    <w:p w14:paraId="5565E857" w14:textId="07EC6222" w:rsidR="004B416E" w:rsidRPr="004B416E" w:rsidRDefault="0006388A" w:rsidP="00736288">
      <w:pPr>
        <w:pStyle w:val="Bullet"/>
      </w:pPr>
      <w:r>
        <w:t>described</w:t>
      </w:r>
      <w:r w:rsidRPr="004B416E">
        <w:t xml:space="preserve"> </w:t>
      </w:r>
      <w:r w:rsidR="004B416E" w:rsidRPr="004B416E">
        <w:t xml:space="preserve">the </w:t>
      </w:r>
      <w:r w:rsidR="009B5636" w:rsidRPr="004B416E">
        <w:t xml:space="preserve">environmental </w:t>
      </w:r>
      <w:r w:rsidR="004B416E" w:rsidRPr="004B416E">
        <w:t xml:space="preserve">threat rather than analysing how it </w:t>
      </w:r>
      <w:r w:rsidR="009B5636">
        <w:t xml:space="preserve">has </w:t>
      </w:r>
      <w:r w:rsidR="004B416E" w:rsidRPr="004B416E">
        <w:t>cause</w:t>
      </w:r>
      <w:r w:rsidR="00EC7E98">
        <w:t>d</w:t>
      </w:r>
      <w:r w:rsidR="004B416E" w:rsidRPr="004B416E">
        <w:t xml:space="preserve"> </w:t>
      </w:r>
      <w:r w:rsidR="009B5636" w:rsidRPr="004B416E">
        <w:t xml:space="preserve">specific environmental </w:t>
      </w:r>
      <w:r w:rsidR="004B416E" w:rsidRPr="004B416E">
        <w:t>impacts</w:t>
      </w:r>
    </w:p>
    <w:p w14:paraId="418F3722" w14:textId="570BB6FE" w:rsidR="004B416E" w:rsidRPr="004B416E" w:rsidRDefault="0006388A" w:rsidP="00736288">
      <w:pPr>
        <w:pStyle w:val="Bullet"/>
      </w:pPr>
      <w:r>
        <w:t>failed</w:t>
      </w:r>
      <w:r w:rsidRPr="004B416E">
        <w:t xml:space="preserve"> </w:t>
      </w:r>
      <w:r w:rsidR="004B416E" w:rsidRPr="004B416E">
        <w:t>to address both society and the outdoor environment</w:t>
      </w:r>
    </w:p>
    <w:p w14:paraId="59475A53" w14:textId="463B1E48" w:rsidR="004B416E" w:rsidRDefault="0006388A" w:rsidP="00736288">
      <w:pPr>
        <w:pStyle w:val="Bullet"/>
      </w:pPr>
      <w:r>
        <w:t>selected</w:t>
      </w:r>
      <w:r w:rsidRPr="004B416E">
        <w:t xml:space="preserve"> </w:t>
      </w:r>
      <w:r w:rsidR="004B416E" w:rsidRPr="004B416E">
        <w:t>climate change</w:t>
      </w:r>
      <w:r w:rsidR="009B5636">
        <w:t xml:space="preserve"> as an </w:t>
      </w:r>
      <w:r w:rsidR="009B5636" w:rsidRPr="004B416E">
        <w:t>environmental threat</w:t>
      </w:r>
      <w:r w:rsidR="004B416E" w:rsidRPr="004B416E">
        <w:t>, despite</w:t>
      </w:r>
      <w:r w:rsidR="009B5636">
        <w:t xml:space="preserve"> it</w:t>
      </w:r>
      <w:r w:rsidR="004B416E" w:rsidRPr="004B416E">
        <w:t xml:space="preserve"> being excluded.</w:t>
      </w:r>
    </w:p>
    <w:p w14:paraId="564535D8" w14:textId="6D2EA4EA" w:rsidR="00F62D78" w:rsidRPr="00C5284B" w:rsidRDefault="00E11B80" w:rsidP="00736288">
      <w:pPr>
        <w:pStyle w:val="BodyText"/>
      </w:pPr>
      <w:r>
        <w:t>E</w:t>
      </w:r>
      <w:r w:rsidRPr="004B416E">
        <w:t xml:space="preserve">nvironmental </w:t>
      </w:r>
      <w:r>
        <w:t xml:space="preserve">threats </w:t>
      </w:r>
      <w:r w:rsidR="000E476A">
        <w:t>specified in the</w:t>
      </w:r>
      <w:r w:rsidR="00F62D78">
        <w:t xml:space="preserve"> study design</w:t>
      </w:r>
      <w:r w:rsidR="00C10A5F">
        <w:t xml:space="preserve"> </w:t>
      </w:r>
      <w:r w:rsidR="008215F0">
        <w:t>include</w:t>
      </w:r>
      <w:r w:rsidR="00D1007B">
        <w:t>d</w:t>
      </w:r>
      <w:r w:rsidR="00F62D78" w:rsidRPr="00C5284B">
        <w:t>:</w:t>
      </w:r>
    </w:p>
    <w:p w14:paraId="7A75E81A" w14:textId="77777777" w:rsidR="00F62D78" w:rsidRPr="00F62D78" w:rsidRDefault="00F62D78" w:rsidP="00736288">
      <w:pPr>
        <w:pStyle w:val="Bullet"/>
      </w:pPr>
      <w:r w:rsidRPr="00F62D78">
        <w:t>land degradation</w:t>
      </w:r>
    </w:p>
    <w:p w14:paraId="18562BDA" w14:textId="77777777" w:rsidR="00F62D78" w:rsidRPr="00F62D78" w:rsidRDefault="00F62D78" w:rsidP="00736288">
      <w:pPr>
        <w:pStyle w:val="Bullet"/>
      </w:pPr>
      <w:r w:rsidRPr="00F62D78">
        <w:t>introduced species</w:t>
      </w:r>
    </w:p>
    <w:p w14:paraId="3CDD0E28" w14:textId="77777777" w:rsidR="00F62D78" w:rsidRPr="00F62D78" w:rsidRDefault="00F62D78" w:rsidP="00736288">
      <w:pPr>
        <w:pStyle w:val="Bullet"/>
      </w:pPr>
      <w:r w:rsidRPr="00F62D78">
        <w:t>urbanisation</w:t>
      </w:r>
    </w:p>
    <w:p w14:paraId="0774E4B5" w14:textId="77777777" w:rsidR="00F62D78" w:rsidRPr="00F62D78" w:rsidRDefault="00F62D78" w:rsidP="00736288">
      <w:pPr>
        <w:pStyle w:val="Bullet"/>
      </w:pPr>
      <w:r w:rsidRPr="00F62D78">
        <w:t>climate change</w:t>
      </w:r>
    </w:p>
    <w:p w14:paraId="2A76B4DE" w14:textId="77777777" w:rsidR="00F62D78" w:rsidRPr="00F62D78" w:rsidRDefault="00F62D78" w:rsidP="00736288">
      <w:pPr>
        <w:pStyle w:val="Bullet"/>
      </w:pPr>
      <w:r w:rsidRPr="00F62D78">
        <w:t>flood</w:t>
      </w:r>
    </w:p>
    <w:p w14:paraId="7A1D6F56" w14:textId="15AC44E2" w:rsidR="00F62D78" w:rsidRPr="00F62D78" w:rsidRDefault="00F62D78" w:rsidP="00736288">
      <w:pPr>
        <w:pStyle w:val="Bullet"/>
        <w:rPr>
          <w:lang w:val="en-AU"/>
        </w:rPr>
      </w:pPr>
      <w:r w:rsidRPr="00F62D78">
        <w:t>fire</w:t>
      </w:r>
      <w:r w:rsidR="0006388A">
        <w:t>.</w:t>
      </w:r>
    </w:p>
    <w:p w14:paraId="5608428D" w14:textId="77777777" w:rsidR="00186BE2" w:rsidRDefault="00186BE2">
      <w:pPr>
        <w:spacing w:line="276" w:lineRule="auto"/>
        <w:rPr>
          <w:rFonts w:ascii="Arial" w:hAnsi="Arial" w:cs="Arial"/>
          <w:color w:val="000000" w:themeColor="text1"/>
          <w:sz w:val="20"/>
          <w:lang w:val="en-AU" w:eastAsia="en-AU"/>
        </w:rPr>
      </w:pPr>
      <w:r>
        <w:br w:type="page"/>
      </w:r>
    </w:p>
    <w:p w14:paraId="4D73DC67" w14:textId="5FB25E9A" w:rsidR="00CF2421" w:rsidRDefault="00CF2421" w:rsidP="00736288">
      <w:pPr>
        <w:pStyle w:val="BodyText"/>
      </w:pPr>
      <w:r>
        <w:lastRenderedPageBreak/>
        <w:t xml:space="preserve">The following </w:t>
      </w:r>
      <w:r w:rsidR="00A974B2">
        <w:t>are</w:t>
      </w:r>
      <w:r>
        <w:t xml:space="preserve"> example</w:t>
      </w:r>
      <w:r w:rsidR="00A974B2">
        <w:t>s</w:t>
      </w:r>
      <w:r>
        <w:t xml:space="preserve"> of high-scoring student response</w:t>
      </w:r>
      <w:r w:rsidR="00A974B2">
        <w:t>s</w:t>
      </w:r>
      <w:r>
        <w:t>.</w:t>
      </w:r>
    </w:p>
    <w:p w14:paraId="41310B96" w14:textId="3179890A" w:rsidR="00A974B2" w:rsidRPr="00736288" w:rsidRDefault="00292922" w:rsidP="00736288">
      <w:pPr>
        <w:pStyle w:val="BodyText"/>
      </w:pPr>
      <w:r>
        <w:t>E</w:t>
      </w:r>
      <w:r w:rsidR="00A974B2">
        <w:t>xample 1:</w:t>
      </w:r>
    </w:p>
    <w:p w14:paraId="23491323" w14:textId="33DC425A" w:rsidR="00EA0B9E" w:rsidRPr="001448D4" w:rsidRDefault="00EA0B9E" w:rsidP="00943BB7">
      <w:pPr>
        <w:pStyle w:val="BodyText"/>
        <w:ind w:left="284"/>
        <w:rPr>
          <w:rStyle w:val="Emphasis"/>
        </w:rPr>
      </w:pPr>
      <w:r w:rsidRPr="00943BB7">
        <w:rPr>
          <w:i/>
          <w:iCs/>
        </w:rPr>
        <w:t xml:space="preserve">Fire as an environmental threat </w:t>
      </w:r>
      <w:r w:rsidR="007943F9" w:rsidRPr="00943BB7">
        <w:rPr>
          <w:i/>
          <w:iCs/>
        </w:rPr>
        <w:t xml:space="preserve">that </w:t>
      </w:r>
      <w:r w:rsidRPr="00943BB7">
        <w:rPr>
          <w:i/>
          <w:iCs/>
        </w:rPr>
        <w:t xml:space="preserve">has had significant impact in Bunyip State Park, particularly during </w:t>
      </w:r>
      <w:r w:rsidRPr="001448D4">
        <w:rPr>
          <w:rStyle w:val="Emphasis"/>
        </w:rPr>
        <w:t xml:space="preserve">the 2019–20 fire season, when lightning strikes ignited a fire that burned more than 60% of the park. The ignition led to extensive vegetation loss, which reduced habitat availability for native species and disrupted ecological food webs. At the same time, the heat from the fire triggered the germination of certain native species, such as eucalypts and banksias. </w:t>
      </w:r>
    </w:p>
    <w:p w14:paraId="430D3745" w14:textId="423A2FDB" w:rsidR="007943F9" w:rsidRPr="001448D4" w:rsidRDefault="00EA0B9E" w:rsidP="00943BB7">
      <w:pPr>
        <w:pStyle w:val="BodyText"/>
        <w:ind w:left="284"/>
        <w:rPr>
          <w:rStyle w:val="Emphasis"/>
        </w:rPr>
      </w:pPr>
      <w:r w:rsidRPr="001448D4">
        <w:rPr>
          <w:rStyle w:val="Emphasis"/>
        </w:rPr>
        <w:t>The same fire generated substantial societal impacts. The destruction of environmental assets, such as forests, exposed nearby communities to greater risk, leading to the loss of homes, fencing and farmland. Smoke generated by the fire affected human health, contributing to respiratory problems. The large-scale damage to both environment and personal property also generated long-term stress, anxiety and trauma for residents.</w:t>
      </w:r>
    </w:p>
    <w:p w14:paraId="6119C424" w14:textId="1E8B0AFE" w:rsidR="00A974B2" w:rsidRDefault="00292922" w:rsidP="00A974B2">
      <w:pPr>
        <w:pStyle w:val="BodyText"/>
      </w:pPr>
      <w:r>
        <w:t>E</w:t>
      </w:r>
      <w:r w:rsidR="00A974B2">
        <w:t>xample 2:</w:t>
      </w:r>
    </w:p>
    <w:p w14:paraId="717CD5D9" w14:textId="77777777" w:rsidR="00A54DF9" w:rsidRPr="001448D4" w:rsidRDefault="00A54DF9" w:rsidP="00A54DF9">
      <w:pPr>
        <w:pStyle w:val="BodyText"/>
        <w:ind w:left="284"/>
        <w:rPr>
          <w:rStyle w:val="Emphasis"/>
        </w:rPr>
      </w:pPr>
      <w:r w:rsidRPr="001448D4">
        <w:rPr>
          <w:rStyle w:val="Emphasis"/>
        </w:rPr>
        <w:t>The introduction of invasive species such as hog deer at Tidal River has had a negative impact on the environment. The effects of this include increased soil erosion and soil compaction caused by the hog deer’s hard hooves, which damage fragile soils and vegetation. In addition, hog deer reduce habitat availability for native bird species, such as the grey galah, as antler rubbing on trees damages branches and strips bark that would normally be used for shelter and nesting.</w:t>
      </w:r>
    </w:p>
    <w:p w14:paraId="5D24DB65" w14:textId="77777777" w:rsidR="00A54DF9" w:rsidRPr="001448D4" w:rsidRDefault="00A54DF9" w:rsidP="00A54DF9">
      <w:pPr>
        <w:pStyle w:val="BodyText"/>
        <w:ind w:left="284"/>
        <w:rPr>
          <w:rStyle w:val="Emphasis"/>
        </w:rPr>
      </w:pPr>
      <w:r w:rsidRPr="001448D4">
        <w:rPr>
          <w:rStyle w:val="Emphasis"/>
        </w:rPr>
        <w:t>Hog deer have also had negative impacts on society at Tidal River. The effects on society include a decrease in the conservation and aesthetic value of the area due to environmental degradation. Furthermore, the presence and behaviour of hog deer can disturb visitors, reducing the overall visitor experience at Tidal River.</w:t>
      </w:r>
    </w:p>
    <w:p w14:paraId="72E89964" w14:textId="6CA2FD39" w:rsidR="00563646" w:rsidRDefault="00563646" w:rsidP="00971A7E">
      <w:pPr>
        <w:pStyle w:val="Heading3"/>
      </w:pPr>
      <w:r>
        <w:t>Question 9</w:t>
      </w:r>
    </w:p>
    <w:tbl>
      <w:tblPr>
        <w:tblStyle w:val="VCAATableClosed"/>
        <w:tblW w:w="4997" w:type="pct"/>
        <w:tblLook w:val="04A0" w:firstRow="1" w:lastRow="0" w:firstColumn="1" w:lastColumn="0" w:noHBand="0" w:noVBand="1"/>
      </w:tblPr>
      <w:tblGrid>
        <w:gridCol w:w="1071"/>
        <w:gridCol w:w="1071"/>
        <w:gridCol w:w="1071"/>
        <w:gridCol w:w="1071"/>
        <w:gridCol w:w="1071"/>
        <w:gridCol w:w="1070"/>
        <w:gridCol w:w="1070"/>
        <w:gridCol w:w="1064"/>
        <w:gridCol w:w="1064"/>
      </w:tblGrid>
      <w:tr w:rsidR="00E71430" w:rsidRPr="00141A4D" w14:paraId="06EA51E4" w14:textId="77777777" w:rsidTr="00384DB7">
        <w:trPr>
          <w:cnfStyle w:val="100000000000" w:firstRow="1" w:lastRow="0" w:firstColumn="0" w:lastColumn="0" w:oddVBand="0" w:evenVBand="0" w:oddHBand="0" w:evenHBand="0" w:firstRowFirstColumn="0" w:firstRowLastColumn="0" w:lastRowFirstColumn="0" w:lastRowLastColumn="0"/>
        </w:trPr>
        <w:tc>
          <w:tcPr>
            <w:tcW w:w="556" w:type="pct"/>
          </w:tcPr>
          <w:p w14:paraId="0E23132E" w14:textId="77777777" w:rsidR="00E71430" w:rsidRPr="00141A4D" w:rsidRDefault="00E71430" w:rsidP="00384DB7">
            <w:pPr>
              <w:pStyle w:val="Tablecondensedheading"/>
              <w:rPr>
                <w:lang w:val="en-AU"/>
              </w:rPr>
            </w:pPr>
            <w:r w:rsidRPr="00141A4D">
              <w:rPr>
                <w:lang w:val="en-AU"/>
              </w:rPr>
              <w:t>Mark</w:t>
            </w:r>
            <w:r>
              <w:rPr>
                <w:lang w:val="en-AU"/>
              </w:rPr>
              <w:t>s</w:t>
            </w:r>
          </w:p>
        </w:tc>
        <w:tc>
          <w:tcPr>
            <w:tcW w:w="556" w:type="pct"/>
          </w:tcPr>
          <w:p w14:paraId="72A38388" w14:textId="77777777" w:rsidR="00E71430" w:rsidRPr="00141A4D" w:rsidRDefault="00E71430" w:rsidP="00384DB7">
            <w:pPr>
              <w:pStyle w:val="Tablecondensedheading"/>
              <w:rPr>
                <w:lang w:val="en-AU"/>
              </w:rPr>
            </w:pPr>
            <w:r w:rsidRPr="00141A4D">
              <w:rPr>
                <w:lang w:val="en-AU"/>
              </w:rPr>
              <w:t>0</w:t>
            </w:r>
          </w:p>
        </w:tc>
        <w:tc>
          <w:tcPr>
            <w:tcW w:w="556" w:type="pct"/>
          </w:tcPr>
          <w:p w14:paraId="05F9DE9D" w14:textId="77777777" w:rsidR="00E71430" w:rsidRPr="00141A4D" w:rsidRDefault="00E71430" w:rsidP="00384DB7">
            <w:pPr>
              <w:pStyle w:val="Tablecondensedheading"/>
              <w:rPr>
                <w:lang w:val="en-AU"/>
              </w:rPr>
            </w:pPr>
            <w:r w:rsidRPr="00141A4D">
              <w:rPr>
                <w:lang w:val="en-AU"/>
              </w:rPr>
              <w:t>1</w:t>
            </w:r>
          </w:p>
        </w:tc>
        <w:tc>
          <w:tcPr>
            <w:tcW w:w="556" w:type="pct"/>
          </w:tcPr>
          <w:p w14:paraId="5DDDD738" w14:textId="77777777" w:rsidR="00E71430" w:rsidRPr="00141A4D" w:rsidRDefault="00E71430" w:rsidP="00384DB7">
            <w:pPr>
              <w:pStyle w:val="Tablecondensedheading"/>
              <w:rPr>
                <w:lang w:val="en-AU"/>
              </w:rPr>
            </w:pPr>
            <w:r w:rsidRPr="00141A4D">
              <w:rPr>
                <w:lang w:val="en-AU"/>
              </w:rPr>
              <w:t>2</w:t>
            </w:r>
          </w:p>
        </w:tc>
        <w:tc>
          <w:tcPr>
            <w:tcW w:w="556" w:type="pct"/>
          </w:tcPr>
          <w:p w14:paraId="2296634D" w14:textId="77777777" w:rsidR="00E71430" w:rsidRPr="00141A4D" w:rsidRDefault="00E71430" w:rsidP="00384DB7">
            <w:pPr>
              <w:pStyle w:val="Tablecondensedheading"/>
              <w:rPr>
                <w:lang w:val="en-AU"/>
              </w:rPr>
            </w:pPr>
            <w:r w:rsidRPr="00141A4D">
              <w:rPr>
                <w:lang w:val="en-AU"/>
              </w:rPr>
              <w:t>3</w:t>
            </w:r>
          </w:p>
        </w:tc>
        <w:tc>
          <w:tcPr>
            <w:tcW w:w="556" w:type="pct"/>
          </w:tcPr>
          <w:p w14:paraId="7E6C4049" w14:textId="77777777" w:rsidR="00E71430" w:rsidRPr="00141A4D" w:rsidRDefault="00E71430" w:rsidP="00384DB7">
            <w:pPr>
              <w:pStyle w:val="Tablecondensedheading"/>
              <w:rPr>
                <w:lang w:val="en-AU"/>
              </w:rPr>
            </w:pPr>
            <w:r>
              <w:rPr>
                <w:lang w:val="en-AU"/>
              </w:rPr>
              <w:t>4</w:t>
            </w:r>
          </w:p>
        </w:tc>
        <w:tc>
          <w:tcPr>
            <w:tcW w:w="556" w:type="pct"/>
          </w:tcPr>
          <w:p w14:paraId="19EB1D05" w14:textId="77777777" w:rsidR="00E71430" w:rsidRPr="00141A4D" w:rsidRDefault="00E71430" w:rsidP="00384DB7">
            <w:pPr>
              <w:pStyle w:val="Tablecondensedheading"/>
              <w:rPr>
                <w:lang w:val="en-AU"/>
              </w:rPr>
            </w:pPr>
            <w:r>
              <w:rPr>
                <w:lang w:val="en-AU"/>
              </w:rPr>
              <w:t>5</w:t>
            </w:r>
          </w:p>
        </w:tc>
        <w:tc>
          <w:tcPr>
            <w:tcW w:w="553" w:type="pct"/>
          </w:tcPr>
          <w:p w14:paraId="6BC4FCE4" w14:textId="77777777" w:rsidR="00E71430" w:rsidRPr="00141A4D" w:rsidRDefault="00E71430" w:rsidP="00384DB7">
            <w:pPr>
              <w:pStyle w:val="Tablecondensedheading"/>
              <w:rPr>
                <w:lang w:val="en-AU"/>
              </w:rPr>
            </w:pPr>
            <w:r>
              <w:rPr>
                <w:lang w:val="en-AU"/>
              </w:rPr>
              <w:t>6</w:t>
            </w:r>
          </w:p>
        </w:tc>
        <w:tc>
          <w:tcPr>
            <w:tcW w:w="553" w:type="pct"/>
          </w:tcPr>
          <w:p w14:paraId="7F2699E1" w14:textId="77777777" w:rsidR="00E71430" w:rsidRPr="00141A4D" w:rsidRDefault="00E71430" w:rsidP="00384DB7">
            <w:pPr>
              <w:pStyle w:val="Tablecondensedheading"/>
              <w:rPr>
                <w:lang w:val="en-AU"/>
              </w:rPr>
            </w:pPr>
            <w:r w:rsidRPr="00141A4D">
              <w:rPr>
                <w:lang w:val="en-AU"/>
              </w:rPr>
              <w:t>Average</w:t>
            </w:r>
          </w:p>
        </w:tc>
      </w:tr>
      <w:tr w:rsidR="00E71430" w:rsidRPr="00141A4D" w14:paraId="14082F5F" w14:textId="77777777" w:rsidTr="00384DB7">
        <w:tc>
          <w:tcPr>
            <w:tcW w:w="556" w:type="pct"/>
          </w:tcPr>
          <w:p w14:paraId="665442C3" w14:textId="77777777" w:rsidR="00E71430" w:rsidRPr="00141A4D" w:rsidRDefault="00E71430" w:rsidP="00384DB7">
            <w:pPr>
              <w:pStyle w:val="Tablecondensed"/>
              <w:rPr>
                <w:lang w:val="en-AU"/>
              </w:rPr>
            </w:pPr>
            <w:r w:rsidRPr="00141A4D">
              <w:rPr>
                <w:lang w:val="en-AU"/>
              </w:rPr>
              <w:t>%</w:t>
            </w:r>
          </w:p>
        </w:tc>
        <w:tc>
          <w:tcPr>
            <w:tcW w:w="556" w:type="pct"/>
            <w:vAlign w:val="bottom"/>
          </w:tcPr>
          <w:p w14:paraId="49920FC0" w14:textId="4FD470EC" w:rsidR="00E71430" w:rsidRPr="00141A4D" w:rsidRDefault="00E71430" w:rsidP="00384DB7">
            <w:pPr>
              <w:pStyle w:val="Tablecondensed"/>
              <w:rPr>
                <w:lang w:val="en-AU"/>
              </w:rPr>
            </w:pPr>
            <w:r>
              <w:rPr>
                <w:lang w:val="en-AU"/>
              </w:rPr>
              <w:t>5</w:t>
            </w:r>
          </w:p>
        </w:tc>
        <w:tc>
          <w:tcPr>
            <w:tcW w:w="556" w:type="pct"/>
            <w:vAlign w:val="bottom"/>
          </w:tcPr>
          <w:p w14:paraId="03731B96" w14:textId="28444389" w:rsidR="00E71430" w:rsidRPr="00141A4D" w:rsidRDefault="00E71430" w:rsidP="00384DB7">
            <w:pPr>
              <w:pStyle w:val="Tablecondensed"/>
              <w:rPr>
                <w:lang w:val="en-AU"/>
              </w:rPr>
            </w:pPr>
            <w:r>
              <w:rPr>
                <w:lang w:val="en-AU"/>
              </w:rPr>
              <w:t>3</w:t>
            </w:r>
          </w:p>
        </w:tc>
        <w:tc>
          <w:tcPr>
            <w:tcW w:w="556" w:type="pct"/>
            <w:vAlign w:val="bottom"/>
          </w:tcPr>
          <w:p w14:paraId="71F5ED01" w14:textId="6FC026E0" w:rsidR="00E71430" w:rsidRPr="00141A4D" w:rsidRDefault="00E71430" w:rsidP="00384DB7">
            <w:pPr>
              <w:pStyle w:val="Tablecondensed"/>
              <w:rPr>
                <w:lang w:val="en-AU"/>
              </w:rPr>
            </w:pPr>
            <w:r>
              <w:rPr>
                <w:lang w:val="en-AU"/>
              </w:rPr>
              <w:t>8</w:t>
            </w:r>
          </w:p>
        </w:tc>
        <w:tc>
          <w:tcPr>
            <w:tcW w:w="556" w:type="pct"/>
            <w:vAlign w:val="bottom"/>
          </w:tcPr>
          <w:p w14:paraId="02924351" w14:textId="3A5F57A1" w:rsidR="00E71430" w:rsidRPr="00141A4D" w:rsidRDefault="00E71430" w:rsidP="00384DB7">
            <w:pPr>
              <w:pStyle w:val="Tablecondensed"/>
              <w:rPr>
                <w:lang w:val="en-AU"/>
              </w:rPr>
            </w:pPr>
            <w:r>
              <w:rPr>
                <w:lang w:val="en-AU"/>
              </w:rPr>
              <w:t>14</w:t>
            </w:r>
          </w:p>
        </w:tc>
        <w:tc>
          <w:tcPr>
            <w:tcW w:w="556" w:type="pct"/>
          </w:tcPr>
          <w:p w14:paraId="402D28F5" w14:textId="0F601648" w:rsidR="00E71430" w:rsidRDefault="00E71430" w:rsidP="00384DB7">
            <w:pPr>
              <w:pStyle w:val="Tablecondensed"/>
              <w:rPr>
                <w:lang w:val="en-AU"/>
              </w:rPr>
            </w:pPr>
            <w:r>
              <w:rPr>
                <w:lang w:val="en-AU"/>
              </w:rPr>
              <w:t>23</w:t>
            </w:r>
          </w:p>
        </w:tc>
        <w:tc>
          <w:tcPr>
            <w:tcW w:w="556" w:type="pct"/>
          </w:tcPr>
          <w:p w14:paraId="1F891121" w14:textId="4D4AAA51" w:rsidR="00E71430" w:rsidRDefault="00E71430" w:rsidP="00384DB7">
            <w:pPr>
              <w:pStyle w:val="Tablecondensed"/>
              <w:rPr>
                <w:lang w:val="en-AU"/>
              </w:rPr>
            </w:pPr>
            <w:r>
              <w:rPr>
                <w:lang w:val="en-AU"/>
              </w:rPr>
              <w:t>2</w:t>
            </w:r>
            <w:r w:rsidR="00AD398C">
              <w:rPr>
                <w:lang w:val="en-AU"/>
              </w:rPr>
              <w:t>5</w:t>
            </w:r>
          </w:p>
        </w:tc>
        <w:tc>
          <w:tcPr>
            <w:tcW w:w="553" w:type="pct"/>
          </w:tcPr>
          <w:p w14:paraId="6862EC76" w14:textId="4C144093" w:rsidR="00E71430" w:rsidRDefault="00E71430" w:rsidP="00384DB7">
            <w:pPr>
              <w:pStyle w:val="Tablecondensed"/>
              <w:rPr>
                <w:lang w:val="en-AU"/>
              </w:rPr>
            </w:pPr>
            <w:r>
              <w:rPr>
                <w:lang w:val="en-AU"/>
              </w:rPr>
              <w:t>21</w:t>
            </w:r>
          </w:p>
        </w:tc>
        <w:tc>
          <w:tcPr>
            <w:tcW w:w="553" w:type="pct"/>
          </w:tcPr>
          <w:p w14:paraId="36166407" w14:textId="2ABD6B75" w:rsidR="00E71430" w:rsidRPr="00141A4D" w:rsidRDefault="00E71430" w:rsidP="00384DB7">
            <w:pPr>
              <w:pStyle w:val="Tablecondensed"/>
              <w:rPr>
                <w:lang w:val="en-AU"/>
              </w:rPr>
            </w:pPr>
            <w:r>
              <w:rPr>
                <w:lang w:val="en-AU"/>
              </w:rPr>
              <w:t>4</w:t>
            </w:r>
            <w:r w:rsidR="00AD398C">
              <w:rPr>
                <w:lang w:val="en-AU"/>
              </w:rPr>
              <w:t>.0</w:t>
            </w:r>
          </w:p>
        </w:tc>
      </w:tr>
    </w:tbl>
    <w:p w14:paraId="3194A1EA" w14:textId="77777777" w:rsidR="00831666" w:rsidRDefault="004B416E" w:rsidP="00736288">
      <w:pPr>
        <w:pStyle w:val="BodyText"/>
      </w:pPr>
      <w:r w:rsidRPr="00736288">
        <w:t>Students were required to use two different observable characteristics to describe the health of a specific outdoor environment, and to recommend one solution to improve its health.</w:t>
      </w:r>
    </w:p>
    <w:p w14:paraId="38B1DB2B" w14:textId="2052434F" w:rsidR="004B416E" w:rsidRPr="00736288" w:rsidRDefault="004B416E" w:rsidP="00736288">
      <w:pPr>
        <w:pStyle w:val="BodyText"/>
      </w:pPr>
      <w:r w:rsidRPr="00736288">
        <w:t xml:space="preserve">High-scoring responses used correct </w:t>
      </w:r>
      <w:r w:rsidR="002244B5">
        <w:t>s</w:t>
      </w:r>
      <w:r w:rsidRPr="00736288">
        <w:t xml:space="preserve">tudy </w:t>
      </w:r>
      <w:r w:rsidR="002244B5">
        <w:t>d</w:t>
      </w:r>
      <w:r w:rsidRPr="00736288">
        <w:t>esign terminology (</w:t>
      </w:r>
      <w:r w:rsidR="00831666">
        <w:t>for example,</w:t>
      </w:r>
      <w:r w:rsidRPr="00736288">
        <w:t xml:space="preserve"> </w:t>
      </w:r>
      <w:r w:rsidR="00831666">
        <w:t>‘</w:t>
      </w:r>
      <w:r w:rsidRPr="00736288">
        <w:t>water quality</w:t>
      </w:r>
      <w:r w:rsidR="00831666">
        <w:t>’ and</w:t>
      </w:r>
      <w:r w:rsidRPr="00736288">
        <w:t xml:space="preserve"> </w:t>
      </w:r>
      <w:r w:rsidR="00831666">
        <w:t>‘</w:t>
      </w:r>
      <w:r w:rsidRPr="00736288">
        <w:t>species biodiversity</w:t>
      </w:r>
      <w:r w:rsidR="00831666">
        <w:t>’</w:t>
      </w:r>
      <w:r w:rsidRPr="00736288">
        <w:t>) and linked the recommended solution directly to the issues identified.</w:t>
      </w:r>
    </w:p>
    <w:p w14:paraId="5F7419D3" w14:textId="4E787E43" w:rsidR="00CF2421" w:rsidRPr="00736288" w:rsidRDefault="00CF2421" w:rsidP="00736288">
      <w:pPr>
        <w:pStyle w:val="BodyText"/>
      </w:pPr>
      <w:r>
        <w:t>L</w:t>
      </w:r>
      <w:r w:rsidRPr="00410AA4">
        <w:t>ower</w:t>
      </w:r>
      <w:r>
        <w:t>-</w:t>
      </w:r>
      <w:r w:rsidRPr="00410AA4">
        <w:t xml:space="preserve">scoring responses: </w:t>
      </w:r>
    </w:p>
    <w:p w14:paraId="0A93CD30" w14:textId="0EECE73F" w:rsidR="00D51A81" w:rsidRPr="00D51A81" w:rsidRDefault="0006388A" w:rsidP="00D51A81">
      <w:pPr>
        <w:pStyle w:val="Bullet"/>
        <w:rPr>
          <w:lang w:val="en-AU"/>
        </w:rPr>
      </w:pPr>
      <w:r>
        <w:t>did not</w:t>
      </w:r>
      <w:r w:rsidRPr="004B416E">
        <w:t xml:space="preserve"> </w:t>
      </w:r>
      <w:r w:rsidR="007943F9">
        <w:t>includ</w:t>
      </w:r>
      <w:r>
        <w:t>e</w:t>
      </w:r>
      <w:r w:rsidR="007943F9">
        <w:t xml:space="preserve"> a strong reference to</w:t>
      </w:r>
      <w:r w:rsidR="004B416E" w:rsidRPr="004B416E">
        <w:t xml:space="preserve"> a specific outdoor environment, which </w:t>
      </w:r>
      <w:r w:rsidR="002244B5">
        <w:t>wa</w:t>
      </w:r>
      <w:r w:rsidR="004B416E" w:rsidRPr="004B416E">
        <w:t>s required for full marks</w:t>
      </w:r>
      <w:r w:rsidR="007943F9">
        <w:t xml:space="preserve"> </w:t>
      </w:r>
    </w:p>
    <w:p w14:paraId="4530B473" w14:textId="2A11416F" w:rsidR="00D51A81" w:rsidRPr="00831666" w:rsidRDefault="00D51A81" w:rsidP="00831666">
      <w:pPr>
        <w:pStyle w:val="Bullet"/>
        <w:rPr>
          <w:lang w:val="en-AU"/>
        </w:rPr>
      </w:pPr>
      <w:r w:rsidRPr="00D51A81">
        <w:rPr>
          <w:lang w:val="en-AU"/>
        </w:rPr>
        <w:t>only name</w:t>
      </w:r>
      <w:r w:rsidR="00831666">
        <w:rPr>
          <w:lang w:val="en-AU"/>
        </w:rPr>
        <w:t>d</w:t>
      </w:r>
      <w:r w:rsidRPr="00D51A81">
        <w:rPr>
          <w:lang w:val="en-AU"/>
        </w:rPr>
        <w:t xml:space="preserve"> an area (</w:t>
      </w:r>
      <w:r w:rsidR="00831666">
        <w:rPr>
          <w:lang w:val="en-AU"/>
        </w:rPr>
        <w:t>for example,</w:t>
      </w:r>
      <w:r w:rsidRPr="00D51A81">
        <w:rPr>
          <w:lang w:val="en-AU"/>
        </w:rPr>
        <w:t xml:space="preserve"> Wilsons Promontory)</w:t>
      </w:r>
      <w:r w:rsidR="00831666">
        <w:rPr>
          <w:lang w:val="en-AU"/>
        </w:rPr>
        <w:t xml:space="preserve">; </w:t>
      </w:r>
      <w:r w:rsidR="00831666" w:rsidRPr="00D51A81">
        <w:rPr>
          <w:lang w:val="en-AU"/>
        </w:rPr>
        <w:t>to achieve full marks</w:t>
      </w:r>
      <w:r w:rsidR="00831666">
        <w:rPr>
          <w:lang w:val="en-AU"/>
        </w:rPr>
        <w:t xml:space="preserve">, students </w:t>
      </w:r>
      <w:r w:rsidRPr="00831666">
        <w:rPr>
          <w:lang w:val="en-AU"/>
        </w:rPr>
        <w:t>also</w:t>
      </w:r>
      <w:r w:rsidR="00831666">
        <w:rPr>
          <w:lang w:val="en-AU"/>
        </w:rPr>
        <w:t xml:space="preserve"> need</w:t>
      </w:r>
      <w:r w:rsidR="002244B5">
        <w:rPr>
          <w:lang w:val="en-AU"/>
        </w:rPr>
        <w:t>ed</w:t>
      </w:r>
      <w:r w:rsidR="00831666">
        <w:rPr>
          <w:lang w:val="en-AU"/>
        </w:rPr>
        <w:t xml:space="preserve"> to</w:t>
      </w:r>
      <w:r w:rsidRPr="00831666">
        <w:rPr>
          <w:lang w:val="en-AU"/>
        </w:rPr>
        <w:t xml:space="preserve"> use details of a place that is part of this area </w:t>
      </w:r>
    </w:p>
    <w:p w14:paraId="079C6F41" w14:textId="35EA135A" w:rsidR="004B416E" w:rsidRPr="004B416E" w:rsidRDefault="0006388A" w:rsidP="00971A7E">
      <w:pPr>
        <w:pStyle w:val="Bullet"/>
      </w:pPr>
      <w:r>
        <w:t>used</w:t>
      </w:r>
      <w:r w:rsidRPr="004B416E">
        <w:t xml:space="preserve"> </w:t>
      </w:r>
      <w:r w:rsidR="004B416E" w:rsidRPr="004B416E">
        <w:t xml:space="preserve">characteristics that were too general or not aligned with the </w:t>
      </w:r>
      <w:r w:rsidR="002244B5">
        <w:t>s</w:t>
      </w:r>
      <w:r w:rsidR="004B416E" w:rsidRPr="004B416E">
        <w:t xml:space="preserve">tudy </w:t>
      </w:r>
      <w:r w:rsidR="002244B5">
        <w:t>d</w:t>
      </w:r>
      <w:r w:rsidR="004B416E" w:rsidRPr="004B416E">
        <w:t>esign (e.g.</w:t>
      </w:r>
      <w:r w:rsidR="00F1293F">
        <w:t xml:space="preserve"> ‘</w:t>
      </w:r>
      <w:r w:rsidR="004B416E" w:rsidRPr="004B416E">
        <w:t>water</w:t>
      </w:r>
      <w:r w:rsidR="00F1293F">
        <w:t>’</w:t>
      </w:r>
      <w:r w:rsidR="004B416E" w:rsidRPr="004B416E">
        <w:t xml:space="preserve"> instead of </w:t>
      </w:r>
      <w:r w:rsidR="00F1293F">
        <w:t>‘</w:t>
      </w:r>
      <w:r w:rsidR="004B416E" w:rsidRPr="004B416E">
        <w:t>water quality</w:t>
      </w:r>
      <w:r w:rsidR="00F1293F">
        <w:t>’</w:t>
      </w:r>
      <w:r w:rsidR="004B416E" w:rsidRPr="004B416E">
        <w:t>)</w:t>
      </w:r>
    </w:p>
    <w:p w14:paraId="50E941DF" w14:textId="23A40F59" w:rsidR="004B416E" w:rsidRPr="004B416E" w:rsidRDefault="0006388A" w:rsidP="00971A7E">
      <w:pPr>
        <w:pStyle w:val="Bullet"/>
      </w:pPr>
      <w:r>
        <w:t>provided</w:t>
      </w:r>
      <w:r w:rsidRPr="004B416E">
        <w:t xml:space="preserve"> </w:t>
      </w:r>
      <w:r w:rsidR="004B416E" w:rsidRPr="004B416E">
        <w:t>a</w:t>
      </w:r>
      <w:r w:rsidR="007943F9">
        <w:t xml:space="preserve"> vague</w:t>
      </w:r>
      <w:r w:rsidR="004B416E" w:rsidRPr="004B416E">
        <w:t xml:space="preserve"> solution that </w:t>
      </w:r>
      <w:r w:rsidR="00D1007B">
        <w:t>did</w:t>
      </w:r>
      <w:r w:rsidR="00D1007B" w:rsidRPr="004B416E">
        <w:t xml:space="preserve"> </w:t>
      </w:r>
      <w:r w:rsidR="004B416E" w:rsidRPr="004B416E">
        <w:t xml:space="preserve">not </w:t>
      </w:r>
      <w:r w:rsidR="007943F9">
        <w:t xml:space="preserve">apply to the environment </w:t>
      </w:r>
      <w:r w:rsidR="00D1007B">
        <w:t>t</w:t>
      </w:r>
      <w:r w:rsidR="007943F9">
        <w:t xml:space="preserve">he student </w:t>
      </w:r>
      <w:r w:rsidR="00D1007B">
        <w:t xml:space="preserve">had </w:t>
      </w:r>
      <w:r w:rsidR="007943F9">
        <w:t xml:space="preserve">referenced. </w:t>
      </w:r>
    </w:p>
    <w:p w14:paraId="6FA34B47" w14:textId="694AD592" w:rsidR="00EA0B9E" w:rsidRPr="00EA0B9E" w:rsidRDefault="008215F0" w:rsidP="00971A7E">
      <w:pPr>
        <w:pStyle w:val="BodyText"/>
      </w:pPr>
      <w:r>
        <w:t>O</w:t>
      </w:r>
      <w:r w:rsidR="00EA0B9E" w:rsidRPr="00EA0B9E">
        <w:t>bservable characteristics</w:t>
      </w:r>
      <w:r>
        <w:t xml:space="preserve"> </w:t>
      </w:r>
      <w:r w:rsidR="00580921">
        <w:t xml:space="preserve">from </w:t>
      </w:r>
      <w:r>
        <w:t>the study design</w:t>
      </w:r>
      <w:r w:rsidR="00EA0B9E" w:rsidRPr="00EA0B9E">
        <w:t xml:space="preserve"> include</w:t>
      </w:r>
      <w:r w:rsidR="00EE780A">
        <w:t>d</w:t>
      </w:r>
      <w:r w:rsidR="00EA0B9E" w:rsidRPr="00EA0B9E">
        <w:t>:</w:t>
      </w:r>
    </w:p>
    <w:p w14:paraId="668BC818" w14:textId="2CF04DA7" w:rsidR="00EA0B9E" w:rsidRPr="00EA0B9E" w:rsidRDefault="0006388A" w:rsidP="00971A7E">
      <w:pPr>
        <w:pStyle w:val="Bullet"/>
      </w:pPr>
      <w:r w:rsidRPr="00EA0B9E">
        <w:t xml:space="preserve">water quality </w:t>
      </w:r>
    </w:p>
    <w:p w14:paraId="1B8830BD" w14:textId="3A776F9C" w:rsidR="00EA0B9E" w:rsidRPr="00EA0B9E" w:rsidRDefault="0006388A" w:rsidP="00971A7E">
      <w:pPr>
        <w:pStyle w:val="Bullet"/>
      </w:pPr>
      <w:r w:rsidRPr="00EA0B9E">
        <w:t>air quality</w:t>
      </w:r>
    </w:p>
    <w:p w14:paraId="52C28B57" w14:textId="3A06D5A6" w:rsidR="00EA0B9E" w:rsidRPr="00EA0B9E" w:rsidRDefault="0006388A" w:rsidP="00971A7E">
      <w:pPr>
        <w:pStyle w:val="Bullet"/>
      </w:pPr>
      <w:r w:rsidRPr="00EA0B9E">
        <w:t>soil quality</w:t>
      </w:r>
    </w:p>
    <w:p w14:paraId="0C6869CA" w14:textId="13581647" w:rsidR="00EA0B9E" w:rsidRPr="00EA0B9E" w:rsidRDefault="0006388A" w:rsidP="00971A7E">
      <w:pPr>
        <w:pStyle w:val="Bullet"/>
      </w:pPr>
      <w:r w:rsidRPr="00EA0B9E">
        <w:t>species biodiversity</w:t>
      </w:r>
    </w:p>
    <w:p w14:paraId="1CAF346A" w14:textId="2BEA6A3E" w:rsidR="00EA0B9E" w:rsidRPr="00EA0B9E" w:rsidRDefault="0006388A" w:rsidP="00971A7E">
      <w:pPr>
        <w:pStyle w:val="Bullet"/>
      </w:pPr>
      <w:r w:rsidRPr="00EA0B9E">
        <w:t>ecosystem biodiversity</w:t>
      </w:r>
      <w:r>
        <w:t>.</w:t>
      </w:r>
    </w:p>
    <w:p w14:paraId="0B8706AE" w14:textId="77777777" w:rsidR="00186BE2" w:rsidRDefault="00186BE2">
      <w:pPr>
        <w:spacing w:line="276" w:lineRule="auto"/>
        <w:rPr>
          <w:rFonts w:ascii="Arial" w:hAnsi="Arial" w:cs="Arial"/>
          <w:color w:val="000000" w:themeColor="text1"/>
          <w:sz w:val="20"/>
          <w:lang w:val="en-AU" w:eastAsia="en-AU"/>
        </w:rPr>
      </w:pPr>
      <w:r>
        <w:br w:type="page"/>
      </w:r>
    </w:p>
    <w:p w14:paraId="07AE407C" w14:textId="175AA560" w:rsidR="00CF2421" w:rsidRPr="00971A7E" w:rsidRDefault="00CF2421" w:rsidP="00971A7E">
      <w:pPr>
        <w:pStyle w:val="BodyText"/>
      </w:pPr>
      <w:r>
        <w:lastRenderedPageBreak/>
        <w:t>The following is an example of a high-scoring student response.</w:t>
      </w:r>
    </w:p>
    <w:p w14:paraId="604CEBB2" w14:textId="27ADB3C3" w:rsidR="00EA0B9E" w:rsidRPr="001448D4" w:rsidRDefault="00EA0B9E" w:rsidP="00943BB7">
      <w:pPr>
        <w:pStyle w:val="BodyText"/>
        <w:ind w:left="284"/>
        <w:rPr>
          <w:rStyle w:val="Emphasis"/>
        </w:rPr>
      </w:pPr>
      <w:r w:rsidRPr="001448D4">
        <w:rPr>
          <w:rStyle w:val="Emphasis"/>
        </w:rPr>
        <w:t xml:space="preserve">At Lake Bellfield in the Grampians, water quality provides strong evidence of good environmental health. The lake showed low turbidity and no visible contaminants. </w:t>
      </w:r>
      <w:r w:rsidR="00BE11E4" w:rsidRPr="001448D4">
        <w:rPr>
          <w:rStyle w:val="Emphasis"/>
        </w:rPr>
        <w:t>Water quality</w:t>
      </w:r>
      <w:r w:rsidRPr="001448D4">
        <w:rPr>
          <w:rStyle w:val="Emphasis"/>
        </w:rPr>
        <w:t xml:space="preserve"> sampling identified mayflies and stoneflies, which are known indicator species that only survive in high-quality water conditions. Their presence demonstrates a healthy </w:t>
      </w:r>
      <w:r w:rsidR="00BE11E4" w:rsidRPr="001448D4">
        <w:rPr>
          <w:rStyle w:val="Emphasis"/>
        </w:rPr>
        <w:t>water quality</w:t>
      </w:r>
      <w:r w:rsidRPr="001448D4">
        <w:rPr>
          <w:rStyle w:val="Emphasis"/>
        </w:rPr>
        <w:t>.</w:t>
      </w:r>
    </w:p>
    <w:p w14:paraId="01FAFDEF" w14:textId="77777777" w:rsidR="00EA0B9E" w:rsidRPr="001448D4" w:rsidRDefault="00EA0B9E" w:rsidP="00943BB7">
      <w:pPr>
        <w:pStyle w:val="BodyText"/>
        <w:ind w:left="284"/>
        <w:rPr>
          <w:rStyle w:val="Emphasis"/>
        </w:rPr>
      </w:pPr>
      <w:r w:rsidRPr="001448D4">
        <w:rPr>
          <w:rStyle w:val="Emphasis"/>
        </w:rPr>
        <w:t>A second observable characteristic was species biodiversity in and around Halls Gap. The area supported a wide range of eucalyptus species, as well as wildlife such as cockatoos, kangaroos, emus and wombats. Within the lake itself, both brown and rainbow trout were present and appeared to be breeding successfully, further indicating strong ecosystem function and overall environmental health.</w:t>
      </w:r>
    </w:p>
    <w:p w14:paraId="32769AB1" w14:textId="40397574" w:rsidR="00DD091D" w:rsidRPr="001448D4" w:rsidRDefault="00EA0B9E" w:rsidP="00943BB7">
      <w:pPr>
        <w:pStyle w:val="BodyText"/>
        <w:ind w:left="284"/>
        <w:rPr>
          <w:rStyle w:val="Emphasis"/>
        </w:rPr>
      </w:pPr>
      <w:r w:rsidRPr="001448D4">
        <w:rPr>
          <w:rStyle w:val="Emphasis"/>
        </w:rPr>
        <w:t>A recommended solution to further improve Lake Bellfield’s health is to reduce the scale of school paddling activities. During observations, large groups were seen damaging riverbanks and leaving rubbish, which could negatively affect waterbirds, macroinvertebrates and fish species. Limiting or better regulating these activities would reduce pressure on the lake’s edges, helping native species to feed, breed and thrive with fewer disturbances.</w:t>
      </w:r>
    </w:p>
    <w:p w14:paraId="3DF6CDFB" w14:textId="225800A8" w:rsidR="004B416E" w:rsidRDefault="004B416E" w:rsidP="00971A7E">
      <w:pPr>
        <w:pStyle w:val="Heading3"/>
      </w:pPr>
      <w:r>
        <w:t>Question 10</w:t>
      </w:r>
      <w:r w:rsidR="00DD091D">
        <w:t>a</w:t>
      </w:r>
      <w:r w:rsidR="001F7C99">
        <w:t>.</w:t>
      </w:r>
    </w:p>
    <w:tbl>
      <w:tblPr>
        <w:tblStyle w:val="VCAATableClosed"/>
        <w:tblW w:w="3887" w:type="pct"/>
        <w:tblLook w:val="04A0" w:firstRow="1" w:lastRow="0" w:firstColumn="1" w:lastColumn="0" w:noHBand="0" w:noVBand="1"/>
      </w:tblPr>
      <w:tblGrid>
        <w:gridCol w:w="1071"/>
        <w:gridCol w:w="1071"/>
        <w:gridCol w:w="1071"/>
        <w:gridCol w:w="1071"/>
        <w:gridCol w:w="1071"/>
        <w:gridCol w:w="1071"/>
        <w:gridCol w:w="1060"/>
      </w:tblGrid>
      <w:tr w:rsidR="00E71430" w:rsidRPr="00141A4D" w14:paraId="55A508A6" w14:textId="77777777" w:rsidTr="00384DB7">
        <w:trPr>
          <w:cnfStyle w:val="100000000000" w:firstRow="1" w:lastRow="0" w:firstColumn="0" w:lastColumn="0" w:oddVBand="0" w:evenVBand="0" w:oddHBand="0" w:evenHBand="0" w:firstRowFirstColumn="0" w:firstRowLastColumn="0" w:lastRowFirstColumn="0" w:lastRowLastColumn="0"/>
        </w:trPr>
        <w:tc>
          <w:tcPr>
            <w:tcW w:w="715" w:type="pct"/>
          </w:tcPr>
          <w:p w14:paraId="0E8D88AD" w14:textId="77777777" w:rsidR="00E71430" w:rsidRPr="00141A4D" w:rsidRDefault="00E71430" w:rsidP="00384DB7">
            <w:pPr>
              <w:pStyle w:val="Tablecondensedheading"/>
              <w:rPr>
                <w:lang w:val="en-AU"/>
              </w:rPr>
            </w:pPr>
            <w:r w:rsidRPr="00141A4D">
              <w:rPr>
                <w:lang w:val="en-AU"/>
              </w:rPr>
              <w:t>Mark</w:t>
            </w:r>
            <w:r>
              <w:rPr>
                <w:lang w:val="en-AU"/>
              </w:rPr>
              <w:t>s</w:t>
            </w:r>
          </w:p>
        </w:tc>
        <w:tc>
          <w:tcPr>
            <w:tcW w:w="715" w:type="pct"/>
          </w:tcPr>
          <w:p w14:paraId="66C0FD4F" w14:textId="77777777" w:rsidR="00E71430" w:rsidRPr="00141A4D" w:rsidRDefault="00E71430" w:rsidP="00384DB7">
            <w:pPr>
              <w:pStyle w:val="Tablecondensedheading"/>
              <w:rPr>
                <w:lang w:val="en-AU"/>
              </w:rPr>
            </w:pPr>
            <w:r w:rsidRPr="00141A4D">
              <w:rPr>
                <w:lang w:val="en-AU"/>
              </w:rPr>
              <w:t>0</w:t>
            </w:r>
          </w:p>
        </w:tc>
        <w:tc>
          <w:tcPr>
            <w:tcW w:w="715" w:type="pct"/>
          </w:tcPr>
          <w:p w14:paraId="14C29CD7" w14:textId="77777777" w:rsidR="00E71430" w:rsidRPr="00141A4D" w:rsidRDefault="00E71430" w:rsidP="00384DB7">
            <w:pPr>
              <w:pStyle w:val="Tablecondensedheading"/>
              <w:rPr>
                <w:lang w:val="en-AU"/>
              </w:rPr>
            </w:pPr>
            <w:r w:rsidRPr="00141A4D">
              <w:rPr>
                <w:lang w:val="en-AU"/>
              </w:rPr>
              <w:t>1</w:t>
            </w:r>
          </w:p>
        </w:tc>
        <w:tc>
          <w:tcPr>
            <w:tcW w:w="715" w:type="pct"/>
          </w:tcPr>
          <w:p w14:paraId="09078F1E" w14:textId="77777777" w:rsidR="00E71430" w:rsidRPr="00141A4D" w:rsidRDefault="00E71430" w:rsidP="00384DB7">
            <w:pPr>
              <w:pStyle w:val="Tablecondensedheading"/>
              <w:rPr>
                <w:lang w:val="en-AU"/>
              </w:rPr>
            </w:pPr>
            <w:r w:rsidRPr="00141A4D">
              <w:rPr>
                <w:lang w:val="en-AU"/>
              </w:rPr>
              <w:t>2</w:t>
            </w:r>
          </w:p>
        </w:tc>
        <w:tc>
          <w:tcPr>
            <w:tcW w:w="715" w:type="pct"/>
          </w:tcPr>
          <w:p w14:paraId="020A2F6B" w14:textId="77777777" w:rsidR="00E71430" w:rsidRPr="00141A4D" w:rsidRDefault="00E71430" w:rsidP="00384DB7">
            <w:pPr>
              <w:pStyle w:val="Tablecondensedheading"/>
              <w:rPr>
                <w:lang w:val="en-AU"/>
              </w:rPr>
            </w:pPr>
            <w:r w:rsidRPr="00141A4D">
              <w:rPr>
                <w:lang w:val="en-AU"/>
              </w:rPr>
              <w:t>3</w:t>
            </w:r>
          </w:p>
        </w:tc>
        <w:tc>
          <w:tcPr>
            <w:tcW w:w="715" w:type="pct"/>
          </w:tcPr>
          <w:p w14:paraId="5BC9D437" w14:textId="77777777" w:rsidR="00E71430" w:rsidRPr="00141A4D" w:rsidRDefault="00E71430" w:rsidP="00384DB7">
            <w:pPr>
              <w:pStyle w:val="Tablecondensedheading"/>
              <w:rPr>
                <w:lang w:val="en-AU"/>
              </w:rPr>
            </w:pPr>
            <w:r>
              <w:rPr>
                <w:lang w:val="en-AU"/>
              </w:rPr>
              <w:t>4</w:t>
            </w:r>
          </w:p>
        </w:tc>
        <w:tc>
          <w:tcPr>
            <w:tcW w:w="707" w:type="pct"/>
          </w:tcPr>
          <w:p w14:paraId="68DF3299" w14:textId="77777777" w:rsidR="00E71430" w:rsidRPr="00141A4D" w:rsidRDefault="00E71430" w:rsidP="00384DB7">
            <w:pPr>
              <w:pStyle w:val="Tablecondensedheading"/>
              <w:rPr>
                <w:lang w:val="en-AU"/>
              </w:rPr>
            </w:pPr>
            <w:r w:rsidRPr="00141A4D">
              <w:rPr>
                <w:lang w:val="en-AU"/>
              </w:rPr>
              <w:t>Average</w:t>
            </w:r>
          </w:p>
        </w:tc>
      </w:tr>
      <w:tr w:rsidR="00E71430" w:rsidRPr="00141A4D" w14:paraId="7986DE8A" w14:textId="77777777" w:rsidTr="00384DB7">
        <w:tc>
          <w:tcPr>
            <w:tcW w:w="715" w:type="pct"/>
          </w:tcPr>
          <w:p w14:paraId="3749A5D1" w14:textId="77777777" w:rsidR="00E71430" w:rsidRPr="00141A4D" w:rsidRDefault="00E71430" w:rsidP="00384DB7">
            <w:pPr>
              <w:pStyle w:val="Tablecondensed"/>
              <w:rPr>
                <w:lang w:val="en-AU"/>
              </w:rPr>
            </w:pPr>
            <w:r w:rsidRPr="00141A4D">
              <w:rPr>
                <w:lang w:val="en-AU"/>
              </w:rPr>
              <w:t>%</w:t>
            </w:r>
          </w:p>
        </w:tc>
        <w:tc>
          <w:tcPr>
            <w:tcW w:w="715" w:type="pct"/>
            <w:vAlign w:val="bottom"/>
          </w:tcPr>
          <w:p w14:paraId="1F6B10C7" w14:textId="25E281A1" w:rsidR="00E71430" w:rsidRPr="00141A4D" w:rsidRDefault="00E71430" w:rsidP="00384DB7">
            <w:pPr>
              <w:pStyle w:val="Tablecondensed"/>
              <w:rPr>
                <w:lang w:val="en-AU"/>
              </w:rPr>
            </w:pPr>
            <w:r>
              <w:rPr>
                <w:lang w:val="en-AU"/>
              </w:rPr>
              <w:t>10</w:t>
            </w:r>
          </w:p>
        </w:tc>
        <w:tc>
          <w:tcPr>
            <w:tcW w:w="715" w:type="pct"/>
            <w:vAlign w:val="bottom"/>
          </w:tcPr>
          <w:p w14:paraId="696F7191" w14:textId="3B91711B" w:rsidR="00E71430" w:rsidRPr="00141A4D" w:rsidRDefault="00E71430" w:rsidP="00384DB7">
            <w:pPr>
              <w:pStyle w:val="Tablecondensed"/>
              <w:rPr>
                <w:lang w:val="en-AU"/>
              </w:rPr>
            </w:pPr>
            <w:r>
              <w:rPr>
                <w:lang w:val="en-AU"/>
              </w:rPr>
              <w:t>10</w:t>
            </w:r>
          </w:p>
        </w:tc>
        <w:tc>
          <w:tcPr>
            <w:tcW w:w="715" w:type="pct"/>
            <w:vAlign w:val="bottom"/>
          </w:tcPr>
          <w:p w14:paraId="7364A841" w14:textId="2CA1B935" w:rsidR="00E71430" w:rsidRPr="00141A4D" w:rsidRDefault="00E71430" w:rsidP="00384DB7">
            <w:pPr>
              <w:pStyle w:val="Tablecondensed"/>
              <w:rPr>
                <w:lang w:val="en-AU"/>
              </w:rPr>
            </w:pPr>
            <w:r>
              <w:rPr>
                <w:lang w:val="en-AU"/>
              </w:rPr>
              <w:t>22</w:t>
            </w:r>
          </w:p>
        </w:tc>
        <w:tc>
          <w:tcPr>
            <w:tcW w:w="715" w:type="pct"/>
            <w:vAlign w:val="bottom"/>
          </w:tcPr>
          <w:p w14:paraId="7797CAFC" w14:textId="15779CF6" w:rsidR="00E71430" w:rsidRPr="00141A4D" w:rsidRDefault="00E71430" w:rsidP="00384DB7">
            <w:pPr>
              <w:pStyle w:val="Tablecondensed"/>
              <w:rPr>
                <w:lang w:val="en-AU"/>
              </w:rPr>
            </w:pPr>
            <w:r>
              <w:rPr>
                <w:lang w:val="en-AU"/>
              </w:rPr>
              <w:t>21</w:t>
            </w:r>
          </w:p>
        </w:tc>
        <w:tc>
          <w:tcPr>
            <w:tcW w:w="715" w:type="pct"/>
          </w:tcPr>
          <w:p w14:paraId="15530BAD" w14:textId="4161183C" w:rsidR="00E71430" w:rsidRDefault="00E71430" w:rsidP="00384DB7">
            <w:pPr>
              <w:pStyle w:val="Tablecondensed"/>
              <w:rPr>
                <w:lang w:val="en-AU"/>
              </w:rPr>
            </w:pPr>
            <w:r>
              <w:rPr>
                <w:lang w:val="en-AU"/>
              </w:rPr>
              <w:t>37</w:t>
            </w:r>
          </w:p>
        </w:tc>
        <w:tc>
          <w:tcPr>
            <w:tcW w:w="707" w:type="pct"/>
          </w:tcPr>
          <w:p w14:paraId="2DF3B581" w14:textId="2609B215" w:rsidR="00E71430" w:rsidRPr="00141A4D" w:rsidRDefault="00E71430" w:rsidP="00384DB7">
            <w:pPr>
              <w:pStyle w:val="Tablecondensed"/>
              <w:rPr>
                <w:lang w:val="en-AU"/>
              </w:rPr>
            </w:pPr>
            <w:r>
              <w:rPr>
                <w:lang w:val="en-AU"/>
              </w:rPr>
              <w:t>2.6</w:t>
            </w:r>
          </w:p>
        </w:tc>
      </w:tr>
    </w:tbl>
    <w:p w14:paraId="4A5D35D9" w14:textId="77777777" w:rsidR="008B7E0A" w:rsidRDefault="004B416E" w:rsidP="00971A7E">
      <w:pPr>
        <w:pStyle w:val="BodyText"/>
      </w:pPr>
      <w:r w:rsidRPr="004B416E">
        <w:t>Students were required to describe one Indigenous peoples’ land management strategy and one non-Indigenous peoples’ land management strategy appropriate for the new 10-hectare park.</w:t>
      </w:r>
    </w:p>
    <w:p w14:paraId="60ABCFA8" w14:textId="76F03041" w:rsidR="004B416E" w:rsidRPr="004B416E" w:rsidRDefault="004B416E" w:rsidP="00971A7E">
      <w:pPr>
        <w:pStyle w:val="BodyText"/>
      </w:pPr>
      <w:r w:rsidRPr="004B416E">
        <w:t>High-scoring responses clearly described actions using current land management terminology and examples relevant to the past decade.</w:t>
      </w:r>
    </w:p>
    <w:p w14:paraId="27B812BC" w14:textId="77259881" w:rsidR="00CF2421" w:rsidRPr="004B416E" w:rsidRDefault="00CF2421" w:rsidP="00971A7E">
      <w:pPr>
        <w:pStyle w:val="BodyText"/>
      </w:pPr>
      <w:r>
        <w:t>L</w:t>
      </w:r>
      <w:r w:rsidRPr="00410AA4">
        <w:t>ower</w:t>
      </w:r>
      <w:r>
        <w:t>-</w:t>
      </w:r>
      <w:r w:rsidRPr="00410AA4">
        <w:t xml:space="preserve">scoring responses: </w:t>
      </w:r>
    </w:p>
    <w:p w14:paraId="4D6428A1" w14:textId="599F0FCB" w:rsidR="004B416E" w:rsidRPr="004B416E" w:rsidRDefault="0006388A" w:rsidP="00971A7E">
      <w:pPr>
        <w:pStyle w:val="Bullet"/>
      </w:pPr>
      <w:r>
        <w:t>used</w:t>
      </w:r>
      <w:r w:rsidRPr="004B416E">
        <w:t xml:space="preserve"> </w:t>
      </w:r>
      <w:r w:rsidR="004B416E" w:rsidRPr="004B416E">
        <w:t>outdated or incorrect terminology instead of contemporary practices (</w:t>
      </w:r>
      <w:r w:rsidR="008B7E0A">
        <w:t>for example,</w:t>
      </w:r>
      <w:r w:rsidR="004B416E" w:rsidRPr="004B416E">
        <w:t xml:space="preserve"> cultural burning, co-management</w:t>
      </w:r>
      <w:r w:rsidR="008B7E0A">
        <w:t xml:space="preserve"> and</w:t>
      </w:r>
      <w:r w:rsidR="004B416E" w:rsidRPr="004B416E">
        <w:t xml:space="preserve"> cultural site protection)</w:t>
      </w:r>
    </w:p>
    <w:p w14:paraId="16779450" w14:textId="0BB3FB50" w:rsidR="004B416E" w:rsidRPr="004B416E" w:rsidRDefault="0006388A" w:rsidP="00971A7E">
      <w:pPr>
        <w:pStyle w:val="Bullet"/>
      </w:pPr>
      <w:r>
        <w:t>described</w:t>
      </w:r>
      <w:r w:rsidRPr="004B416E">
        <w:t xml:space="preserve"> </w:t>
      </w:r>
      <w:r w:rsidR="004B416E" w:rsidRPr="004B416E">
        <w:t>general roles or values rather than a specific strategy</w:t>
      </w:r>
    </w:p>
    <w:p w14:paraId="77912A95" w14:textId="746AF0B2" w:rsidR="004B416E" w:rsidRPr="004B416E" w:rsidRDefault="0006388A" w:rsidP="00971A7E">
      <w:pPr>
        <w:pStyle w:val="Bullet"/>
      </w:pPr>
      <w:r>
        <w:t>confused</w:t>
      </w:r>
      <w:r w:rsidRPr="004B416E">
        <w:t xml:space="preserve"> </w:t>
      </w:r>
      <w:r w:rsidR="004B416E" w:rsidRPr="004B416E">
        <w:t>land management strategies with individual or community actions (assessed in Question 10b)</w:t>
      </w:r>
    </w:p>
    <w:p w14:paraId="171B97E8" w14:textId="30AFFBE5" w:rsidR="004B416E" w:rsidRPr="004B416E" w:rsidRDefault="0006388A" w:rsidP="00971A7E">
      <w:pPr>
        <w:pStyle w:val="Bullet"/>
      </w:pPr>
      <w:r>
        <w:t>did not</w:t>
      </w:r>
      <w:r w:rsidRPr="004B416E">
        <w:t xml:space="preserve"> </w:t>
      </w:r>
      <w:r w:rsidR="004B416E" w:rsidRPr="004B416E">
        <w:t>link the strategies to the context of the new park, particularly its location beside farmland</w:t>
      </w:r>
    </w:p>
    <w:p w14:paraId="189F69D6" w14:textId="6A5F408D" w:rsidR="004B416E" w:rsidRPr="004B416E" w:rsidRDefault="0006388A" w:rsidP="00971A7E">
      <w:pPr>
        <w:pStyle w:val="Bullet"/>
      </w:pPr>
      <w:r>
        <w:t>described</w:t>
      </w:r>
      <w:r w:rsidRPr="004B416E">
        <w:t xml:space="preserve"> </w:t>
      </w:r>
      <w:r w:rsidR="004B416E" w:rsidRPr="004B416E">
        <w:t>only one group’s strategy rather than both.</w:t>
      </w:r>
    </w:p>
    <w:p w14:paraId="1581089F" w14:textId="633C628C" w:rsidR="00CF2421" w:rsidRPr="00EA0B9E" w:rsidRDefault="00CF2421" w:rsidP="00971A7E">
      <w:pPr>
        <w:pStyle w:val="BodyText"/>
      </w:pPr>
      <w:r>
        <w:t>The following is an example of a high-scoring student response.</w:t>
      </w:r>
    </w:p>
    <w:p w14:paraId="4CC05771" w14:textId="77777777" w:rsidR="00664B64" w:rsidRPr="001448D4" w:rsidRDefault="00EA0B9E" w:rsidP="00943BB7">
      <w:pPr>
        <w:pStyle w:val="BodyText"/>
        <w:ind w:left="284"/>
        <w:rPr>
          <w:rStyle w:val="Emphasis"/>
        </w:rPr>
      </w:pPr>
      <w:r w:rsidRPr="001448D4">
        <w:rPr>
          <w:rStyle w:val="Emphasis"/>
        </w:rPr>
        <w:t>Indigenous peoples’ strategy:</w:t>
      </w:r>
      <w:r w:rsidRPr="001448D4">
        <w:rPr>
          <w:rStyle w:val="Emphasis"/>
        </w:rPr>
        <w:br/>
      </w:r>
      <w:r w:rsidR="00664B64" w:rsidRPr="001448D4">
        <w:rPr>
          <w:rStyle w:val="Emphasis"/>
        </w:rPr>
        <w:t>The local RAP of the park could work in collaboration with Parks Victoria and the CFA to perform cool burns at the park. This will help regerminate the land and reduce undergrowth at the 10-hectre park which will reduce the frequency and intensity of bushfires. In addition, the cool burns will also remove and manage invasive species such as the Bracken Fern which smother native flora, thus improving biodiversity at the park.</w:t>
      </w:r>
    </w:p>
    <w:p w14:paraId="3915E2C5" w14:textId="40D72663" w:rsidR="00664B64" w:rsidRPr="001448D4" w:rsidRDefault="00EA0B9E" w:rsidP="00943BB7">
      <w:pPr>
        <w:pStyle w:val="BodyText"/>
        <w:ind w:left="284"/>
        <w:rPr>
          <w:rStyle w:val="Emphasis"/>
        </w:rPr>
      </w:pPr>
      <w:r w:rsidRPr="001448D4">
        <w:rPr>
          <w:rStyle w:val="Emphasis"/>
        </w:rPr>
        <w:t>Non-Indigenous peoples’ strategy:</w:t>
      </w:r>
      <w:r w:rsidRPr="001448D4">
        <w:rPr>
          <w:rStyle w:val="Emphasis"/>
        </w:rPr>
        <w:br/>
      </w:r>
      <w:r w:rsidR="00664B64" w:rsidRPr="001448D4">
        <w:rPr>
          <w:rStyle w:val="Emphasis"/>
        </w:rPr>
        <w:t>The local council and Parks Victoria could use facility management to maintain the park. They would do this by ensuring the public spaces for walking and the paths for bike riding are maintained. This will reduce visitor impacts on the environments as there will be a decrease in habitat destruction and fragmentation caused by the creation of new paths.</w:t>
      </w:r>
    </w:p>
    <w:p w14:paraId="2AE2DECD" w14:textId="77777777" w:rsidR="008B7E0A" w:rsidRDefault="008B7E0A">
      <w:pPr>
        <w:spacing w:line="276" w:lineRule="auto"/>
        <w:rPr>
          <w:rFonts w:ascii="Arial" w:hAnsi="Arial" w:cs="Arial"/>
          <w:color w:val="0F7EB4"/>
          <w:sz w:val="32"/>
          <w:szCs w:val="24"/>
          <w:lang w:val="en-AU"/>
        </w:rPr>
      </w:pPr>
      <w:r>
        <w:br w:type="page"/>
      </w:r>
    </w:p>
    <w:p w14:paraId="19B1EC87" w14:textId="78C4A460" w:rsidR="00C7478A" w:rsidRPr="00971A7E" w:rsidRDefault="00C7478A" w:rsidP="00971A7E">
      <w:pPr>
        <w:pStyle w:val="Heading3"/>
      </w:pPr>
      <w:r w:rsidRPr="00971A7E">
        <w:lastRenderedPageBreak/>
        <w:t>Question 10b</w:t>
      </w:r>
      <w:r w:rsidR="001F7C99">
        <w:t>.</w:t>
      </w:r>
    </w:p>
    <w:tbl>
      <w:tblPr>
        <w:tblStyle w:val="VCAATableClosed"/>
        <w:tblW w:w="3331" w:type="pct"/>
        <w:tblLook w:val="04A0" w:firstRow="1" w:lastRow="0" w:firstColumn="1" w:lastColumn="0" w:noHBand="0" w:noVBand="1"/>
      </w:tblPr>
      <w:tblGrid>
        <w:gridCol w:w="1072"/>
        <w:gridCol w:w="1072"/>
        <w:gridCol w:w="1071"/>
        <w:gridCol w:w="1071"/>
        <w:gridCol w:w="1071"/>
        <w:gridCol w:w="1058"/>
      </w:tblGrid>
      <w:tr w:rsidR="00E71430" w:rsidRPr="00141A4D" w14:paraId="37828352" w14:textId="77777777" w:rsidTr="00E71430">
        <w:trPr>
          <w:cnfStyle w:val="100000000000" w:firstRow="1" w:lastRow="0" w:firstColumn="0" w:lastColumn="0" w:oddVBand="0" w:evenVBand="0" w:oddHBand="0" w:evenHBand="0" w:firstRowFirstColumn="0" w:firstRowLastColumn="0" w:lastRowFirstColumn="0" w:lastRowLastColumn="0"/>
        </w:trPr>
        <w:tc>
          <w:tcPr>
            <w:tcW w:w="835" w:type="pct"/>
          </w:tcPr>
          <w:p w14:paraId="66780FAD" w14:textId="77777777" w:rsidR="00E71430" w:rsidRPr="00141A4D" w:rsidRDefault="00E71430" w:rsidP="00384DB7">
            <w:pPr>
              <w:pStyle w:val="Tablecondensedheading"/>
              <w:rPr>
                <w:lang w:val="en-AU"/>
              </w:rPr>
            </w:pPr>
            <w:r w:rsidRPr="00141A4D">
              <w:rPr>
                <w:lang w:val="en-AU"/>
              </w:rPr>
              <w:t>Mark</w:t>
            </w:r>
            <w:r>
              <w:rPr>
                <w:lang w:val="en-AU"/>
              </w:rPr>
              <w:t>s</w:t>
            </w:r>
          </w:p>
        </w:tc>
        <w:tc>
          <w:tcPr>
            <w:tcW w:w="835" w:type="pct"/>
          </w:tcPr>
          <w:p w14:paraId="26FE4980" w14:textId="77777777" w:rsidR="00E71430" w:rsidRPr="00141A4D" w:rsidRDefault="00E71430" w:rsidP="00384DB7">
            <w:pPr>
              <w:pStyle w:val="Tablecondensedheading"/>
              <w:rPr>
                <w:lang w:val="en-AU"/>
              </w:rPr>
            </w:pPr>
            <w:r w:rsidRPr="00141A4D">
              <w:rPr>
                <w:lang w:val="en-AU"/>
              </w:rPr>
              <w:t>0</w:t>
            </w:r>
          </w:p>
        </w:tc>
        <w:tc>
          <w:tcPr>
            <w:tcW w:w="835" w:type="pct"/>
          </w:tcPr>
          <w:p w14:paraId="04566B53" w14:textId="77777777" w:rsidR="00E71430" w:rsidRPr="00141A4D" w:rsidRDefault="00E71430" w:rsidP="00384DB7">
            <w:pPr>
              <w:pStyle w:val="Tablecondensedheading"/>
              <w:rPr>
                <w:lang w:val="en-AU"/>
              </w:rPr>
            </w:pPr>
            <w:r w:rsidRPr="00141A4D">
              <w:rPr>
                <w:lang w:val="en-AU"/>
              </w:rPr>
              <w:t>1</w:t>
            </w:r>
          </w:p>
        </w:tc>
        <w:tc>
          <w:tcPr>
            <w:tcW w:w="835" w:type="pct"/>
          </w:tcPr>
          <w:p w14:paraId="02600EFF" w14:textId="77777777" w:rsidR="00E71430" w:rsidRPr="00141A4D" w:rsidRDefault="00E71430" w:rsidP="00384DB7">
            <w:pPr>
              <w:pStyle w:val="Tablecondensedheading"/>
              <w:rPr>
                <w:lang w:val="en-AU"/>
              </w:rPr>
            </w:pPr>
            <w:r w:rsidRPr="00141A4D">
              <w:rPr>
                <w:lang w:val="en-AU"/>
              </w:rPr>
              <w:t>2</w:t>
            </w:r>
          </w:p>
        </w:tc>
        <w:tc>
          <w:tcPr>
            <w:tcW w:w="835" w:type="pct"/>
          </w:tcPr>
          <w:p w14:paraId="3A2BF6D2" w14:textId="77777777" w:rsidR="00E71430" w:rsidRPr="00141A4D" w:rsidRDefault="00E71430" w:rsidP="00384DB7">
            <w:pPr>
              <w:pStyle w:val="Tablecondensedheading"/>
              <w:rPr>
                <w:lang w:val="en-AU"/>
              </w:rPr>
            </w:pPr>
            <w:r w:rsidRPr="00141A4D">
              <w:rPr>
                <w:lang w:val="en-AU"/>
              </w:rPr>
              <w:t>3</w:t>
            </w:r>
          </w:p>
        </w:tc>
        <w:tc>
          <w:tcPr>
            <w:tcW w:w="826" w:type="pct"/>
          </w:tcPr>
          <w:p w14:paraId="3AFDD934" w14:textId="77777777" w:rsidR="00E71430" w:rsidRPr="00141A4D" w:rsidRDefault="00E71430" w:rsidP="00384DB7">
            <w:pPr>
              <w:pStyle w:val="Tablecondensedheading"/>
              <w:rPr>
                <w:lang w:val="en-AU"/>
              </w:rPr>
            </w:pPr>
            <w:r w:rsidRPr="00141A4D">
              <w:rPr>
                <w:lang w:val="en-AU"/>
              </w:rPr>
              <w:t>Average</w:t>
            </w:r>
          </w:p>
        </w:tc>
      </w:tr>
      <w:tr w:rsidR="00E71430" w:rsidRPr="00141A4D" w14:paraId="1347E107" w14:textId="77777777" w:rsidTr="00E71430">
        <w:tc>
          <w:tcPr>
            <w:tcW w:w="835" w:type="pct"/>
          </w:tcPr>
          <w:p w14:paraId="24F4BC0E" w14:textId="77777777" w:rsidR="00E71430" w:rsidRPr="00141A4D" w:rsidRDefault="00E71430" w:rsidP="00384DB7">
            <w:pPr>
              <w:pStyle w:val="Tablecondensed"/>
              <w:rPr>
                <w:lang w:val="en-AU"/>
              </w:rPr>
            </w:pPr>
            <w:r w:rsidRPr="00141A4D">
              <w:rPr>
                <w:lang w:val="en-AU"/>
              </w:rPr>
              <w:t>%</w:t>
            </w:r>
          </w:p>
        </w:tc>
        <w:tc>
          <w:tcPr>
            <w:tcW w:w="835" w:type="pct"/>
            <w:vAlign w:val="bottom"/>
          </w:tcPr>
          <w:p w14:paraId="5BDF21B4" w14:textId="65DB075D" w:rsidR="00E71430" w:rsidRPr="00141A4D" w:rsidRDefault="00E71430" w:rsidP="00384DB7">
            <w:pPr>
              <w:pStyle w:val="Tablecondensed"/>
              <w:rPr>
                <w:lang w:val="en-AU"/>
              </w:rPr>
            </w:pPr>
            <w:r>
              <w:rPr>
                <w:lang w:val="en-AU"/>
              </w:rPr>
              <w:t>36</w:t>
            </w:r>
          </w:p>
        </w:tc>
        <w:tc>
          <w:tcPr>
            <w:tcW w:w="835" w:type="pct"/>
            <w:vAlign w:val="bottom"/>
          </w:tcPr>
          <w:p w14:paraId="1A1CCE36" w14:textId="1E9D8255" w:rsidR="00E71430" w:rsidRPr="00141A4D" w:rsidRDefault="00E71430" w:rsidP="00384DB7">
            <w:pPr>
              <w:pStyle w:val="Tablecondensed"/>
              <w:rPr>
                <w:lang w:val="en-AU"/>
              </w:rPr>
            </w:pPr>
            <w:r>
              <w:rPr>
                <w:lang w:val="en-AU"/>
              </w:rPr>
              <w:t>1</w:t>
            </w:r>
            <w:r w:rsidR="00AD398C">
              <w:rPr>
                <w:lang w:val="en-AU"/>
              </w:rPr>
              <w:t>7</w:t>
            </w:r>
          </w:p>
        </w:tc>
        <w:tc>
          <w:tcPr>
            <w:tcW w:w="835" w:type="pct"/>
            <w:vAlign w:val="bottom"/>
          </w:tcPr>
          <w:p w14:paraId="5E1F9C99" w14:textId="600F624D" w:rsidR="00E71430" w:rsidRPr="00141A4D" w:rsidRDefault="00E71430" w:rsidP="00384DB7">
            <w:pPr>
              <w:pStyle w:val="Tablecondensed"/>
              <w:rPr>
                <w:lang w:val="en-AU"/>
              </w:rPr>
            </w:pPr>
            <w:r>
              <w:rPr>
                <w:lang w:val="en-AU"/>
              </w:rPr>
              <w:t>29</w:t>
            </w:r>
          </w:p>
        </w:tc>
        <w:tc>
          <w:tcPr>
            <w:tcW w:w="835" w:type="pct"/>
            <w:vAlign w:val="bottom"/>
          </w:tcPr>
          <w:p w14:paraId="7DC76F26" w14:textId="55640E30" w:rsidR="00E71430" w:rsidRPr="00141A4D" w:rsidRDefault="00E71430" w:rsidP="00384DB7">
            <w:pPr>
              <w:pStyle w:val="Tablecondensed"/>
              <w:rPr>
                <w:lang w:val="en-AU"/>
              </w:rPr>
            </w:pPr>
            <w:r>
              <w:rPr>
                <w:lang w:val="en-AU"/>
              </w:rPr>
              <w:t>19</w:t>
            </w:r>
          </w:p>
        </w:tc>
        <w:tc>
          <w:tcPr>
            <w:tcW w:w="826" w:type="pct"/>
          </w:tcPr>
          <w:p w14:paraId="038B54FB" w14:textId="3765A62A" w:rsidR="00E71430" w:rsidRPr="00141A4D" w:rsidRDefault="00E71430" w:rsidP="00384DB7">
            <w:pPr>
              <w:pStyle w:val="Tablecondensed"/>
              <w:rPr>
                <w:lang w:val="en-AU"/>
              </w:rPr>
            </w:pPr>
            <w:r>
              <w:rPr>
                <w:lang w:val="en-AU"/>
              </w:rPr>
              <w:t>1.3</w:t>
            </w:r>
          </w:p>
        </w:tc>
      </w:tr>
    </w:tbl>
    <w:p w14:paraId="19548333" w14:textId="2B556454" w:rsidR="00DF0B60" w:rsidRDefault="00EA0B9E" w:rsidP="00971A7E">
      <w:pPr>
        <w:pStyle w:val="BodyText"/>
      </w:pPr>
      <w:r w:rsidRPr="00EA0B9E">
        <w:t xml:space="preserve">Students were required to evaluate one community action that could support the health of the new 10-hectare park. To access full marks, students needed to select a community action listed in the </w:t>
      </w:r>
      <w:r w:rsidR="006025D8">
        <w:t>s</w:t>
      </w:r>
      <w:r w:rsidRPr="00EA0B9E">
        <w:t xml:space="preserve">tudy </w:t>
      </w:r>
      <w:r w:rsidR="006025D8">
        <w:t>d</w:t>
      </w:r>
      <w:r w:rsidRPr="00EA0B9E">
        <w:t>esign and provide an evaluative judgement supported by strengths and</w:t>
      </w:r>
      <w:r w:rsidR="004B5828">
        <w:t>/</w:t>
      </w:r>
      <w:r w:rsidR="008215F0">
        <w:t>or</w:t>
      </w:r>
      <w:r w:rsidRPr="00EA0B9E">
        <w:t xml:space="preserve"> limitations. Strong responses acknowledged the context of the stimulus, particularly that the park adjoins private farmland, and explained how the community action could influence the health of the park.</w:t>
      </w:r>
    </w:p>
    <w:p w14:paraId="262FE28D" w14:textId="19CCE25D" w:rsidR="00DF0B60" w:rsidRPr="00C5284B" w:rsidRDefault="00DF0B60" w:rsidP="00971A7E">
      <w:pPr>
        <w:pStyle w:val="BodyText"/>
      </w:pPr>
      <w:r>
        <w:t>Community actions from the study design include</w:t>
      </w:r>
      <w:r w:rsidR="004B5828">
        <w:t>d</w:t>
      </w:r>
      <w:r w:rsidRPr="00C5284B">
        <w:t>:</w:t>
      </w:r>
    </w:p>
    <w:p w14:paraId="428C8FED" w14:textId="77777777" w:rsidR="00DF0B60" w:rsidRPr="00DF0B60" w:rsidRDefault="00DF0B60" w:rsidP="00971A7E">
      <w:pPr>
        <w:pStyle w:val="Bullet"/>
      </w:pPr>
      <w:r w:rsidRPr="00DF0B60">
        <w:t>regenerative farming</w:t>
      </w:r>
    </w:p>
    <w:p w14:paraId="257A445A" w14:textId="77777777" w:rsidR="00DF0B60" w:rsidRPr="00DF0B60" w:rsidRDefault="00DF0B60" w:rsidP="00971A7E">
      <w:pPr>
        <w:pStyle w:val="Bullet"/>
      </w:pPr>
      <w:r w:rsidRPr="00DF0B60">
        <w:t>Trust for Nature</w:t>
      </w:r>
    </w:p>
    <w:p w14:paraId="5E9CEE96" w14:textId="77777777" w:rsidR="00DF0B60" w:rsidRPr="00DF0B60" w:rsidRDefault="00DF0B60" w:rsidP="00971A7E">
      <w:pPr>
        <w:pStyle w:val="Bullet"/>
      </w:pPr>
      <w:r w:rsidRPr="00DF0B60">
        <w:t>Landcare</w:t>
      </w:r>
    </w:p>
    <w:p w14:paraId="7ADDB32E" w14:textId="7105FC0E" w:rsidR="00DF0B60" w:rsidRPr="00173F5E" w:rsidRDefault="00DF0B60" w:rsidP="00971A7E">
      <w:pPr>
        <w:pStyle w:val="Bullet"/>
      </w:pPr>
      <w:r w:rsidRPr="00DF0B60">
        <w:t>community groups such as ‘Friends of …’</w:t>
      </w:r>
      <w:r w:rsidR="006025D8">
        <w:t>.</w:t>
      </w:r>
    </w:p>
    <w:p w14:paraId="7DC0E034" w14:textId="6F5F5238" w:rsidR="00CF2421" w:rsidRPr="00971A7E" w:rsidRDefault="00CF2421" w:rsidP="00971A7E">
      <w:pPr>
        <w:pStyle w:val="BodyText"/>
      </w:pPr>
      <w:r>
        <w:t>L</w:t>
      </w:r>
      <w:r w:rsidRPr="00410AA4">
        <w:t>ower</w:t>
      </w:r>
      <w:r>
        <w:t>-</w:t>
      </w:r>
      <w:r w:rsidRPr="00410AA4">
        <w:t xml:space="preserve">scoring responses: </w:t>
      </w:r>
    </w:p>
    <w:p w14:paraId="1145BD2F" w14:textId="64CC4006" w:rsidR="00EA0B9E" w:rsidRPr="00EA0B9E" w:rsidRDefault="0006388A" w:rsidP="00971A7E">
      <w:pPr>
        <w:pStyle w:val="Bullet"/>
      </w:pPr>
      <w:r>
        <w:t>did not</w:t>
      </w:r>
      <w:r w:rsidRPr="00EA0B9E">
        <w:t xml:space="preserve"> </w:t>
      </w:r>
      <w:r w:rsidR="00EA0B9E" w:rsidRPr="00EA0B9E">
        <w:t>recognis</w:t>
      </w:r>
      <w:r>
        <w:t>e</w:t>
      </w:r>
      <w:r w:rsidR="00EA0B9E" w:rsidRPr="00EA0B9E">
        <w:t xml:space="preserve"> that some community actions</w:t>
      </w:r>
      <w:r w:rsidR="00DF0B60">
        <w:t xml:space="preserve">, </w:t>
      </w:r>
      <w:r w:rsidR="00EA0B9E" w:rsidRPr="00EA0B9E">
        <w:t>Trust for Nature and regenerative farming</w:t>
      </w:r>
      <w:r w:rsidR="00DF0B60">
        <w:t xml:space="preserve"> </w:t>
      </w:r>
      <w:r w:rsidR="00EA0B9E" w:rsidRPr="00EA0B9E">
        <w:t xml:space="preserve">can only be implemented on private land, meaning </w:t>
      </w:r>
      <w:r w:rsidR="004B5828">
        <w:t xml:space="preserve">that </w:t>
      </w:r>
      <w:r w:rsidR="00EA0B9E" w:rsidRPr="00EA0B9E">
        <w:t xml:space="preserve">students needed to explain how these actions occurring adjacent to the park </w:t>
      </w:r>
      <w:r w:rsidR="008B673D">
        <w:t xml:space="preserve">could </w:t>
      </w:r>
      <w:r w:rsidR="00EA0B9E" w:rsidRPr="00EA0B9E">
        <w:t>still influence the park’s health</w:t>
      </w:r>
    </w:p>
    <w:p w14:paraId="3B777F28" w14:textId="651A4CA0" w:rsidR="00EA0B9E" w:rsidRPr="00EA0B9E" w:rsidRDefault="0006388A" w:rsidP="00971A7E">
      <w:pPr>
        <w:pStyle w:val="Bullet"/>
      </w:pPr>
      <w:r>
        <w:t>described</w:t>
      </w:r>
      <w:r w:rsidRPr="00EA0B9E">
        <w:t xml:space="preserve"> </w:t>
      </w:r>
      <w:r w:rsidR="00EA0B9E" w:rsidRPr="00EA0B9E">
        <w:t>the action without offering an evaluation (</w:t>
      </w:r>
      <w:r w:rsidR="008B3591">
        <w:t>for example,</w:t>
      </w:r>
      <w:r w:rsidR="00EA0B9E" w:rsidRPr="00EA0B9E">
        <w:t xml:space="preserve"> strengths, limitations</w:t>
      </w:r>
      <w:r w:rsidR="008B3591">
        <w:t xml:space="preserve"> and</w:t>
      </w:r>
      <w:r w:rsidR="008B3591" w:rsidRPr="00EA0B9E">
        <w:t xml:space="preserve"> </w:t>
      </w:r>
      <w:r w:rsidR="00EA0B9E" w:rsidRPr="00EA0B9E">
        <w:t>overall judgement)</w:t>
      </w:r>
    </w:p>
    <w:p w14:paraId="7255EC28" w14:textId="61DB6226" w:rsidR="00EA0B9E" w:rsidRPr="00EA0B9E" w:rsidRDefault="0006388A" w:rsidP="00971A7E">
      <w:pPr>
        <w:pStyle w:val="Bullet"/>
      </w:pPr>
      <w:r>
        <w:t>selected</w:t>
      </w:r>
      <w:r w:rsidRPr="00EA0B9E">
        <w:t xml:space="preserve"> </w:t>
      </w:r>
      <w:r w:rsidR="00EA0B9E" w:rsidRPr="00EA0B9E">
        <w:t>actions</w:t>
      </w:r>
      <w:r w:rsidR="008B3591">
        <w:t xml:space="preserve"> that were</w:t>
      </w:r>
      <w:r w:rsidR="00EA0B9E" w:rsidRPr="00EA0B9E">
        <w:t xml:space="preserve"> not included in the </w:t>
      </w:r>
      <w:r w:rsidR="006025D8">
        <w:t>s</w:t>
      </w:r>
      <w:r w:rsidR="00EA0B9E" w:rsidRPr="00EA0B9E">
        <w:t xml:space="preserve">tudy </w:t>
      </w:r>
      <w:r w:rsidR="006025D8">
        <w:t>d</w:t>
      </w:r>
      <w:r w:rsidR="00EA0B9E" w:rsidRPr="00EA0B9E">
        <w:t xml:space="preserve">esign or </w:t>
      </w:r>
      <w:r w:rsidR="004B5828" w:rsidRPr="00EA0B9E">
        <w:t>refer</w:t>
      </w:r>
      <w:r w:rsidR="004B5828">
        <w:t>red</w:t>
      </w:r>
      <w:r w:rsidR="004B5828" w:rsidRPr="00EA0B9E">
        <w:t xml:space="preserve"> </w:t>
      </w:r>
      <w:r w:rsidR="00EA0B9E" w:rsidRPr="00EA0B9E">
        <w:t>to individual actions instead of community actions</w:t>
      </w:r>
    </w:p>
    <w:p w14:paraId="6551B76F" w14:textId="0A30122B" w:rsidR="00EA0B9E" w:rsidRPr="00EA0B9E" w:rsidRDefault="0006388A" w:rsidP="00971A7E">
      <w:pPr>
        <w:pStyle w:val="Bullet"/>
      </w:pPr>
      <w:r>
        <w:t>gave</w:t>
      </w:r>
      <w:r w:rsidRPr="00EA0B9E">
        <w:t xml:space="preserve"> </w:t>
      </w:r>
      <w:r w:rsidR="00EA0B9E" w:rsidRPr="00EA0B9E">
        <w:t xml:space="preserve">overly general statements such as </w:t>
      </w:r>
      <w:r w:rsidR="00703912">
        <w:t>‘</w:t>
      </w:r>
      <w:r w:rsidR="00EA0B9E" w:rsidRPr="00EA0B9E">
        <w:t>it helps the environment</w:t>
      </w:r>
      <w:r w:rsidR="00703912">
        <w:t>’</w:t>
      </w:r>
      <w:r w:rsidR="00EA0B9E" w:rsidRPr="00EA0B9E">
        <w:t xml:space="preserve"> without linking actions to specific ecological outcomes for the park</w:t>
      </w:r>
    </w:p>
    <w:p w14:paraId="0AF715BD" w14:textId="32BC2D11" w:rsidR="00EA0B9E" w:rsidRPr="00EA0B9E" w:rsidRDefault="0006388A" w:rsidP="00971A7E">
      <w:pPr>
        <w:pStyle w:val="Bullet"/>
      </w:pPr>
      <w:r>
        <w:t>did not</w:t>
      </w:r>
      <w:r w:rsidRPr="00EA0B9E">
        <w:t xml:space="preserve"> </w:t>
      </w:r>
      <w:r w:rsidR="00EA0B9E" w:rsidRPr="00EA0B9E">
        <w:t>connect the action to the new park context, including its adjacency to farmland and the need to protect biodiversity.</w:t>
      </w:r>
    </w:p>
    <w:p w14:paraId="451492D1" w14:textId="7819B45F" w:rsidR="00CF2421" w:rsidRPr="00971A7E" w:rsidRDefault="00CF2421" w:rsidP="00971A7E">
      <w:pPr>
        <w:pStyle w:val="BodyText"/>
      </w:pPr>
      <w:r>
        <w:t>The following is an example of a high-scoring student response.</w:t>
      </w:r>
    </w:p>
    <w:p w14:paraId="40C5623E" w14:textId="77777777" w:rsidR="00EA0B9E" w:rsidRPr="001448D4" w:rsidRDefault="00EA0B9E" w:rsidP="00943BB7">
      <w:pPr>
        <w:pStyle w:val="BodyText"/>
        <w:ind w:left="284"/>
        <w:rPr>
          <w:rStyle w:val="Emphasis"/>
        </w:rPr>
      </w:pPr>
      <w:r w:rsidRPr="001448D4">
        <w:rPr>
          <w:rStyle w:val="Emphasis"/>
        </w:rPr>
        <w:t>A community action that could support the health of the new park is regenerative farming on the adjoining private farmland. Regenerative farming focuses on improving soil health through practices such as using organic fertilisers, minimising soil disturbance, and revegetating boundary areas. These changes can reduce nutrient runoff into the park, lowering the risk of water pollution and supporting native species’ habitat quality. Improved soil structure and increased vegetation cover along the park boundary would also help create a wildlife corridor, strengthening ecological connectivity between the farm and the park.</w:t>
      </w:r>
    </w:p>
    <w:p w14:paraId="1A25118F" w14:textId="5AA61AFB" w:rsidR="00563646" w:rsidRDefault="00563646" w:rsidP="00971A7E">
      <w:pPr>
        <w:pStyle w:val="Heading3"/>
      </w:pPr>
      <w:r>
        <w:t>Question 11</w:t>
      </w:r>
    </w:p>
    <w:tbl>
      <w:tblPr>
        <w:tblStyle w:val="VCAATableClosed"/>
        <w:tblW w:w="4444" w:type="pct"/>
        <w:tblLook w:val="04A0" w:firstRow="1" w:lastRow="0" w:firstColumn="1" w:lastColumn="0" w:noHBand="0" w:noVBand="1"/>
      </w:tblPr>
      <w:tblGrid>
        <w:gridCol w:w="1072"/>
        <w:gridCol w:w="1072"/>
        <w:gridCol w:w="1071"/>
        <w:gridCol w:w="1071"/>
        <w:gridCol w:w="1071"/>
        <w:gridCol w:w="1070"/>
        <w:gridCol w:w="1070"/>
        <w:gridCol w:w="1061"/>
      </w:tblGrid>
      <w:tr w:rsidR="00E71430" w:rsidRPr="00141A4D" w14:paraId="404F7DAA" w14:textId="77777777" w:rsidTr="00E71430">
        <w:trPr>
          <w:cnfStyle w:val="100000000000" w:firstRow="1" w:lastRow="0" w:firstColumn="0" w:lastColumn="0" w:oddVBand="0" w:evenVBand="0" w:oddHBand="0" w:evenHBand="0" w:firstRowFirstColumn="0" w:firstRowLastColumn="0" w:lastRowFirstColumn="0" w:lastRowLastColumn="0"/>
        </w:trPr>
        <w:tc>
          <w:tcPr>
            <w:tcW w:w="626" w:type="pct"/>
          </w:tcPr>
          <w:p w14:paraId="64D13A80" w14:textId="77777777" w:rsidR="00E71430" w:rsidRPr="00141A4D" w:rsidRDefault="00E71430" w:rsidP="00384DB7">
            <w:pPr>
              <w:pStyle w:val="Tablecondensedheading"/>
              <w:rPr>
                <w:lang w:val="en-AU"/>
              </w:rPr>
            </w:pPr>
            <w:r w:rsidRPr="00141A4D">
              <w:rPr>
                <w:lang w:val="en-AU"/>
              </w:rPr>
              <w:t>Mark</w:t>
            </w:r>
            <w:r>
              <w:rPr>
                <w:lang w:val="en-AU"/>
              </w:rPr>
              <w:t>s</w:t>
            </w:r>
          </w:p>
        </w:tc>
        <w:tc>
          <w:tcPr>
            <w:tcW w:w="626" w:type="pct"/>
          </w:tcPr>
          <w:p w14:paraId="49BE3889" w14:textId="77777777" w:rsidR="00E71430" w:rsidRPr="00141A4D" w:rsidRDefault="00E71430" w:rsidP="00384DB7">
            <w:pPr>
              <w:pStyle w:val="Tablecondensedheading"/>
              <w:rPr>
                <w:lang w:val="en-AU"/>
              </w:rPr>
            </w:pPr>
            <w:r w:rsidRPr="00141A4D">
              <w:rPr>
                <w:lang w:val="en-AU"/>
              </w:rPr>
              <w:t>0</w:t>
            </w:r>
          </w:p>
        </w:tc>
        <w:tc>
          <w:tcPr>
            <w:tcW w:w="626" w:type="pct"/>
          </w:tcPr>
          <w:p w14:paraId="218BB929" w14:textId="77777777" w:rsidR="00E71430" w:rsidRPr="00141A4D" w:rsidRDefault="00E71430" w:rsidP="00384DB7">
            <w:pPr>
              <w:pStyle w:val="Tablecondensedheading"/>
              <w:rPr>
                <w:lang w:val="en-AU"/>
              </w:rPr>
            </w:pPr>
            <w:r w:rsidRPr="00141A4D">
              <w:rPr>
                <w:lang w:val="en-AU"/>
              </w:rPr>
              <w:t>1</w:t>
            </w:r>
          </w:p>
        </w:tc>
        <w:tc>
          <w:tcPr>
            <w:tcW w:w="626" w:type="pct"/>
          </w:tcPr>
          <w:p w14:paraId="084B2820" w14:textId="77777777" w:rsidR="00E71430" w:rsidRPr="00141A4D" w:rsidRDefault="00E71430" w:rsidP="00384DB7">
            <w:pPr>
              <w:pStyle w:val="Tablecondensedheading"/>
              <w:rPr>
                <w:lang w:val="en-AU"/>
              </w:rPr>
            </w:pPr>
            <w:r w:rsidRPr="00141A4D">
              <w:rPr>
                <w:lang w:val="en-AU"/>
              </w:rPr>
              <w:t>2</w:t>
            </w:r>
          </w:p>
        </w:tc>
        <w:tc>
          <w:tcPr>
            <w:tcW w:w="626" w:type="pct"/>
          </w:tcPr>
          <w:p w14:paraId="464EF904" w14:textId="77777777" w:rsidR="00E71430" w:rsidRPr="00141A4D" w:rsidRDefault="00E71430" w:rsidP="00384DB7">
            <w:pPr>
              <w:pStyle w:val="Tablecondensedheading"/>
              <w:rPr>
                <w:lang w:val="en-AU"/>
              </w:rPr>
            </w:pPr>
            <w:r w:rsidRPr="00141A4D">
              <w:rPr>
                <w:lang w:val="en-AU"/>
              </w:rPr>
              <w:t>3</w:t>
            </w:r>
          </w:p>
        </w:tc>
        <w:tc>
          <w:tcPr>
            <w:tcW w:w="625" w:type="pct"/>
          </w:tcPr>
          <w:p w14:paraId="5EB3DA6E" w14:textId="77777777" w:rsidR="00E71430" w:rsidRPr="00141A4D" w:rsidRDefault="00E71430" w:rsidP="00384DB7">
            <w:pPr>
              <w:pStyle w:val="Tablecondensedheading"/>
              <w:rPr>
                <w:lang w:val="en-AU"/>
              </w:rPr>
            </w:pPr>
            <w:r>
              <w:rPr>
                <w:lang w:val="en-AU"/>
              </w:rPr>
              <w:t>4</w:t>
            </w:r>
          </w:p>
        </w:tc>
        <w:tc>
          <w:tcPr>
            <w:tcW w:w="625" w:type="pct"/>
          </w:tcPr>
          <w:p w14:paraId="34CF8ED8" w14:textId="77777777" w:rsidR="00E71430" w:rsidRPr="00141A4D" w:rsidRDefault="00E71430" w:rsidP="00384DB7">
            <w:pPr>
              <w:pStyle w:val="Tablecondensedheading"/>
              <w:rPr>
                <w:lang w:val="en-AU"/>
              </w:rPr>
            </w:pPr>
            <w:r>
              <w:rPr>
                <w:lang w:val="en-AU"/>
              </w:rPr>
              <w:t>5</w:t>
            </w:r>
          </w:p>
        </w:tc>
        <w:tc>
          <w:tcPr>
            <w:tcW w:w="622" w:type="pct"/>
          </w:tcPr>
          <w:p w14:paraId="54D6678D" w14:textId="77777777" w:rsidR="00E71430" w:rsidRPr="00141A4D" w:rsidRDefault="00E71430" w:rsidP="00384DB7">
            <w:pPr>
              <w:pStyle w:val="Tablecondensedheading"/>
              <w:rPr>
                <w:lang w:val="en-AU"/>
              </w:rPr>
            </w:pPr>
            <w:r w:rsidRPr="00141A4D">
              <w:rPr>
                <w:lang w:val="en-AU"/>
              </w:rPr>
              <w:t>Average</w:t>
            </w:r>
          </w:p>
        </w:tc>
      </w:tr>
      <w:tr w:rsidR="00E71430" w:rsidRPr="00141A4D" w14:paraId="60C3DC55" w14:textId="77777777" w:rsidTr="00E71430">
        <w:tc>
          <w:tcPr>
            <w:tcW w:w="626" w:type="pct"/>
          </w:tcPr>
          <w:p w14:paraId="4494BCBF" w14:textId="77777777" w:rsidR="00E71430" w:rsidRPr="00141A4D" w:rsidRDefault="00E71430" w:rsidP="00384DB7">
            <w:pPr>
              <w:pStyle w:val="Tablecondensed"/>
              <w:rPr>
                <w:lang w:val="en-AU"/>
              </w:rPr>
            </w:pPr>
            <w:r w:rsidRPr="00141A4D">
              <w:rPr>
                <w:lang w:val="en-AU"/>
              </w:rPr>
              <w:t>%</w:t>
            </w:r>
          </w:p>
        </w:tc>
        <w:tc>
          <w:tcPr>
            <w:tcW w:w="626" w:type="pct"/>
            <w:vAlign w:val="bottom"/>
          </w:tcPr>
          <w:p w14:paraId="1919CAFF" w14:textId="70F7FFBC" w:rsidR="00E71430" w:rsidRPr="00141A4D" w:rsidRDefault="00E71430" w:rsidP="00384DB7">
            <w:pPr>
              <w:pStyle w:val="Tablecondensed"/>
              <w:rPr>
                <w:lang w:val="en-AU"/>
              </w:rPr>
            </w:pPr>
            <w:r>
              <w:rPr>
                <w:lang w:val="en-AU"/>
              </w:rPr>
              <w:t>34</w:t>
            </w:r>
          </w:p>
        </w:tc>
        <w:tc>
          <w:tcPr>
            <w:tcW w:w="626" w:type="pct"/>
            <w:vAlign w:val="bottom"/>
          </w:tcPr>
          <w:p w14:paraId="0D8D69CA" w14:textId="092571B5" w:rsidR="00E71430" w:rsidRPr="00141A4D" w:rsidRDefault="00E71430" w:rsidP="00384DB7">
            <w:pPr>
              <w:pStyle w:val="Tablecondensed"/>
              <w:rPr>
                <w:lang w:val="en-AU"/>
              </w:rPr>
            </w:pPr>
            <w:r>
              <w:rPr>
                <w:lang w:val="en-AU"/>
              </w:rPr>
              <w:t>9</w:t>
            </w:r>
          </w:p>
        </w:tc>
        <w:tc>
          <w:tcPr>
            <w:tcW w:w="626" w:type="pct"/>
            <w:vAlign w:val="bottom"/>
          </w:tcPr>
          <w:p w14:paraId="052012FF" w14:textId="7D9D1999" w:rsidR="00E71430" w:rsidRPr="00141A4D" w:rsidRDefault="00E71430" w:rsidP="00384DB7">
            <w:pPr>
              <w:pStyle w:val="Tablecondensed"/>
              <w:rPr>
                <w:lang w:val="en-AU"/>
              </w:rPr>
            </w:pPr>
            <w:r>
              <w:rPr>
                <w:lang w:val="en-AU"/>
              </w:rPr>
              <w:t>10</w:t>
            </w:r>
          </w:p>
        </w:tc>
        <w:tc>
          <w:tcPr>
            <w:tcW w:w="626" w:type="pct"/>
            <w:vAlign w:val="bottom"/>
          </w:tcPr>
          <w:p w14:paraId="3A858559" w14:textId="0D29A07E" w:rsidR="00E71430" w:rsidRPr="00141A4D" w:rsidRDefault="00E71430" w:rsidP="00384DB7">
            <w:pPr>
              <w:pStyle w:val="Tablecondensed"/>
              <w:rPr>
                <w:lang w:val="en-AU"/>
              </w:rPr>
            </w:pPr>
            <w:r>
              <w:rPr>
                <w:lang w:val="en-AU"/>
              </w:rPr>
              <w:t>1</w:t>
            </w:r>
            <w:r w:rsidR="00AD398C">
              <w:rPr>
                <w:lang w:val="en-AU"/>
              </w:rPr>
              <w:t>8</w:t>
            </w:r>
          </w:p>
        </w:tc>
        <w:tc>
          <w:tcPr>
            <w:tcW w:w="625" w:type="pct"/>
          </w:tcPr>
          <w:p w14:paraId="2F597077" w14:textId="38FC38E9" w:rsidR="00E71430" w:rsidRDefault="00E71430" w:rsidP="00384DB7">
            <w:pPr>
              <w:pStyle w:val="Tablecondensed"/>
              <w:rPr>
                <w:lang w:val="en-AU"/>
              </w:rPr>
            </w:pPr>
            <w:r>
              <w:rPr>
                <w:lang w:val="en-AU"/>
              </w:rPr>
              <w:t>18</w:t>
            </w:r>
          </w:p>
        </w:tc>
        <w:tc>
          <w:tcPr>
            <w:tcW w:w="625" w:type="pct"/>
          </w:tcPr>
          <w:p w14:paraId="153C4380" w14:textId="4526FE3B" w:rsidR="00E71430" w:rsidRDefault="00E71430" w:rsidP="00384DB7">
            <w:pPr>
              <w:pStyle w:val="Tablecondensed"/>
              <w:rPr>
                <w:lang w:val="en-AU"/>
              </w:rPr>
            </w:pPr>
            <w:r>
              <w:rPr>
                <w:lang w:val="en-AU"/>
              </w:rPr>
              <w:t>11</w:t>
            </w:r>
          </w:p>
        </w:tc>
        <w:tc>
          <w:tcPr>
            <w:tcW w:w="622" w:type="pct"/>
          </w:tcPr>
          <w:p w14:paraId="57A1443E" w14:textId="12D296A6" w:rsidR="00E71430" w:rsidRPr="00141A4D" w:rsidRDefault="00E71430" w:rsidP="00384DB7">
            <w:pPr>
              <w:pStyle w:val="Tablecondensed"/>
              <w:rPr>
                <w:lang w:val="en-AU"/>
              </w:rPr>
            </w:pPr>
            <w:r>
              <w:rPr>
                <w:lang w:val="en-AU"/>
              </w:rPr>
              <w:t>2.1</w:t>
            </w:r>
          </w:p>
        </w:tc>
      </w:tr>
    </w:tbl>
    <w:p w14:paraId="08D1EF9C" w14:textId="77777777" w:rsidR="008B3591" w:rsidRDefault="008E309F" w:rsidP="00971A7E">
      <w:pPr>
        <w:pStyle w:val="BodyText"/>
      </w:pPr>
      <w:r w:rsidRPr="008E309F">
        <w:t>Students were required to compare two individual actions that could be used to sustain a specific outdoor environment.</w:t>
      </w:r>
    </w:p>
    <w:p w14:paraId="522C725C" w14:textId="3CFA80C0" w:rsidR="00173F5E" w:rsidRDefault="008E309F" w:rsidP="00971A7E">
      <w:pPr>
        <w:pStyle w:val="BodyText"/>
      </w:pPr>
      <w:r w:rsidRPr="008E309F">
        <w:t>High-scoring responses provided at least two clear comparison points, used explicit comparative language, and linked both actions to a relevant outdoor environment or environmental issue.</w:t>
      </w:r>
    </w:p>
    <w:p w14:paraId="43CAF956" w14:textId="77777777" w:rsidR="008B3591" w:rsidRDefault="008B3591">
      <w:pPr>
        <w:spacing w:line="276" w:lineRule="auto"/>
        <w:rPr>
          <w:rFonts w:ascii="Arial" w:hAnsi="Arial" w:cs="Arial"/>
          <w:color w:val="000000" w:themeColor="text1"/>
          <w:sz w:val="20"/>
          <w:lang w:val="en-AU" w:eastAsia="en-AU"/>
        </w:rPr>
      </w:pPr>
      <w:r>
        <w:br w:type="page"/>
      </w:r>
    </w:p>
    <w:p w14:paraId="78FFA9FA" w14:textId="16C94E3B" w:rsidR="00173F5E" w:rsidRPr="0006388A" w:rsidRDefault="00173F5E" w:rsidP="0006388A">
      <w:pPr>
        <w:pStyle w:val="BodyText"/>
      </w:pPr>
      <w:r w:rsidRPr="0006388A">
        <w:lastRenderedPageBreak/>
        <w:t>Individual actions from the study design include</w:t>
      </w:r>
      <w:r w:rsidR="004B5828">
        <w:t>d</w:t>
      </w:r>
      <w:r w:rsidRPr="0006388A">
        <w:t>:</w:t>
      </w:r>
    </w:p>
    <w:p w14:paraId="77272823" w14:textId="77777777" w:rsidR="00173F5E" w:rsidRPr="00971A7E" w:rsidRDefault="00173F5E" w:rsidP="00971A7E">
      <w:pPr>
        <w:pStyle w:val="Bullet"/>
      </w:pPr>
      <w:r w:rsidRPr="00971A7E">
        <w:t xml:space="preserve">environmental activism </w:t>
      </w:r>
    </w:p>
    <w:p w14:paraId="343BB948" w14:textId="77777777" w:rsidR="00173F5E" w:rsidRPr="00971A7E" w:rsidRDefault="00173F5E" w:rsidP="00971A7E">
      <w:pPr>
        <w:pStyle w:val="Bullet"/>
      </w:pPr>
      <w:r w:rsidRPr="00971A7E">
        <w:t xml:space="preserve">environmental advocacy </w:t>
      </w:r>
    </w:p>
    <w:p w14:paraId="723FCEA7" w14:textId="77777777" w:rsidR="00173F5E" w:rsidRPr="00971A7E" w:rsidRDefault="00173F5E" w:rsidP="00971A7E">
      <w:pPr>
        <w:pStyle w:val="Bullet"/>
      </w:pPr>
      <w:r w:rsidRPr="00971A7E">
        <w:t>ethical and sustainable consumerism</w:t>
      </w:r>
    </w:p>
    <w:p w14:paraId="4B6190DF" w14:textId="3C31B4E3" w:rsidR="00173F5E" w:rsidRPr="00971A7E" w:rsidRDefault="00173F5E" w:rsidP="00971A7E">
      <w:pPr>
        <w:pStyle w:val="Bullet"/>
      </w:pPr>
      <w:r w:rsidRPr="00971A7E">
        <w:t>green home design</w:t>
      </w:r>
      <w:r w:rsidR="0006388A">
        <w:t>.</w:t>
      </w:r>
      <w:r w:rsidRPr="00971A7E">
        <w:t xml:space="preserve"> </w:t>
      </w:r>
    </w:p>
    <w:p w14:paraId="6F43485B" w14:textId="7941556D" w:rsidR="00CF2421" w:rsidRPr="00173F5E" w:rsidRDefault="00CF2421" w:rsidP="00971A7E">
      <w:pPr>
        <w:pStyle w:val="BodyText"/>
      </w:pPr>
      <w:r>
        <w:t>L</w:t>
      </w:r>
      <w:r w:rsidRPr="00410AA4">
        <w:t>ower</w:t>
      </w:r>
      <w:r>
        <w:t>-</w:t>
      </w:r>
      <w:r w:rsidRPr="00410AA4">
        <w:t xml:space="preserve">scoring responses: </w:t>
      </w:r>
    </w:p>
    <w:p w14:paraId="3C1AD2D8" w14:textId="1E7C6692" w:rsidR="008E309F" w:rsidRPr="00173F5E" w:rsidRDefault="0006388A" w:rsidP="00971A7E">
      <w:pPr>
        <w:pStyle w:val="Bullet"/>
      </w:pPr>
      <w:r>
        <w:t>described</w:t>
      </w:r>
      <w:r w:rsidRPr="00173F5E">
        <w:t xml:space="preserve"> </w:t>
      </w:r>
      <w:r w:rsidR="008E309F" w:rsidRPr="00173F5E">
        <w:t>two actions without making</w:t>
      </w:r>
      <w:r w:rsidR="00173F5E">
        <w:t xml:space="preserve"> multiple</w:t>
      </w:r>
      <w:r w:rsidR="008E309F" w:rsidRPr="00173F5E">
        <w:t xml:space="preserve"> comparisons</w:t>
      </w:r>
    </w:p>
    <w:p w14:paraId="6C177EB5" w14:textId="294D29A8" w:rsidR="008E309F" w:rsidRPr="00173F5E" w:rsidRDefault="0006388A" w:rsidP="00971A7E">
      <w:pPr>
        <w:pStyle w:val="Bullet"/>
      </w:pPr>
      <w:r>
        <w:t>included</w:t>
      </w:r>
      <w:r w:rsidRPr="00173F5E">
        <w:t xml:space="preserve"> </w:t>
      </w:r>
      <w:r w:rsidR="008E309F" w:rsidRPr="00173F5E">
        <w:t>only one similarity or difference</w:t>
      </w:r>
      <w:r w:rsidR="004B5828">
        <w:t xml:space="preserve"> (</w:t>
      </w:r>
      <w:r w:rsidR="008E309F" w:rsidRPr="00173F5E">
        <w:t>at least two were required for full marks</w:t>
      </w:r>
      <w:r w:rsidR="004B5828">
        <w:t>)</w:t>
      </w:r>
    </w:p>
    <w:p w14:paraId="263B554D" w14:textId="200C0F5A" w:rsidR="008E309F" w:rsidRPr="00173F5E" w:rsidRDefault="0006388A" w:rsidP="00971A7E">
      <w:pPr>
        <w:pStyle w:val="Bullet"/>
      </w:pPr>
      <w:r>
        <w:t>c</w:t>
      </w:r>
      <w:r w:rsidR="008E309F" w:rsidRPr="00173F5E">
        <w:t>hos</w:t>
      </w:r>
      <w:r>
        <w:t>e</w:t>
      </w:r>
      <w:r w:rsidR="008E309F" w:rsidRPr="00173F5E">
        <w:t xml:space="preserve"> actions not listed in the </w:t>
      </w:r>
      <w:r w:rsidR="006025D8">
        <w:t>s</w:t>
      </w:r>
      <w:r w:rsidR="008E309F" w:rsidRPr="00173F5E">
        <w:t xml:space="preserve">tudy </w:t>
      </w:r>
      <w:r w:rsidR="006025D8">
        <w:t>d</w:t>
      </w:r>
      <w:r w:rsidR="008E309F" w:rsidRPr="00173F5E">
        <w:t>esign, or confus</w:t>
      </w:r>
      <w:r w:rsidR="004B5828">
        <w:t>ed</w:t>
      </w:r>
      <w:r w:rsidR="008E309F" w:rsidRPr="00173F5E">
        <w:t xml:space="preserve"> individual actions with community actions</w:t>
      </w:r>
    </w:p>
    <w:p w14:paraId="4D443527" w14:textId="2F5884C9" w:rsidR="008E309F" w:rsidRPr="00173F5E" w:rsidRDefault="0006388A" w:rsidP="00971A7E">
      <w:pPr>
        <w:pStyle w:val="Bullet"/>
      </w:pPr>
      <w:r>
        <w:t>failed</w:t>
      </w:r>
      <w:r w:rsidRPr="00173F5E">
        <w:t xml:space="preserve"> </w:t>
      </w:r>
      <w:r w:rsidR="008E309F" w:rsidRPr="00173F5E">
        <w:t>to link the actions to a specific outdoor environment</w:t>
      </w:r>
    </w:p>
    <w:p w14:paraId="4CB7EC43" w14:textId="71EAE7C3" w:rsidR="008E309F" w:rsidRPr="00173F5E" w:rsidRDefault="0006388A" w:rsidP="00971A7E">
      <w:pPr>
        <w:pStyle w:val="Bullet"/>
      </w:pPr>
      <w:r>
        <w:t>repeated</w:t>
      </w:r>
      <w:r w:rsidRPr="00173F5E">
        <w:t xml:space="preserve"> </w:t>
      </w:r>
      <w:r w:rsidR="008E309F" w:rsidRPr="00173F5E">
        <w:t>the same comparison point instead of offering distinct comparative insights.</w:t>
      </w:r>
    </w:p>
    <w:p w14:paraId="1F51BDEF" w14:textId="7196D10A" w:rsidR="00CF2421" w:rsidRPr="00173F5E" w:rsidRDefault="00CF2421" w:rsidP="00971A7E">
      <w:pPr>
        <w:pStyle w:val="BodyText"/>
      </w:pPr>
      <w:r>
        <w:t>The following is an example of a high-scoring student response.</w:t>
      </w:r>
    </w:p>
    <w:p w14:paraId="65AA8ABD" w14:textId="2F98B46F" w:rsidR="00E71430" w:rsidRPr="001448D4" w:rsidRDefault="001A6484" w:rsidP="00943BB7">
      <w:pPr>
        <w:pStyle w:val="BodyText"/>
        <w:ind w:left="284"/>
        <w:rPr>
          <w:rStyle w:val="Emphasis"/>
        </w:rPr>
      </w:pPr>
      <w:r w:rsidRPr="001448D4">
        <w:rPr>
          <w:rStyle w:val="Emphasis"/>
        </w:rPr>
        <w:t>Ethical and Sustainable consumerism refers to Australians switching their consumption to more environmentally and responsibly sourced goods and services. This includes practicing zero waste principals, changing energy consumption habits and buying local and seasonal produce such as buying from local farmers at the Cranbourne Farmers Market. However, green home design refers to creating structures using processes that are environmentally friendly and resource efficient. This includes building with recycled and non-toxic materials, installing energy efficient compliances and installing water recycling systems such as the wastewater recycling system found at Cranbourne Botanic Gardens. Green home design would have a bigger impact on the Cranbourne Botanic Gardens as it will reduce climate change more as green home design has a bigger impact on an individual’s carbon footprint compared to ethical and sustainable consumerism. Although, ethical and sustainable consumerism is easier to implement compared to green home design as it is cheaper to switch what products you buy compared to investing thousands into solar panels or water recycling systems.</w:t>
      </w:r>
    </w:p>
    <w:p w14:paraId="1B1F53D3" w14:textId="504EB2D6" w:rsidR="00563646" w:rsidRPr="00971A7E" w:rsidRDefault="00563646" w:rsidP="00971A7E">
      <w:pPr>
        <w:pStyle w:val="Heading3"/>
      </w:pPr>
      <w:r w:rsidRPr="00971A7E">
        <w:t>Question 12a</w:t>
      </w:r>
      <w:r w:rsidR="001F7C99">
        <w:t>.</w:t>
      </w:r>
    </w:p>
    <w:tbl>
      <w:tblPr>
        <w:tblStyle w:val="VCAATableClosed"/>
        <w:tblW w:w="3888" w:type="pct"/>
        <w:tblLook w:val="04A0" w:firstRow="1" w:lastRow="0" w:firstColumn="1" w:lastColumn="0" w:noHBand="0" w:noVBand="1"/>
      </w:tblPr>
      <w:tblGrid>
        <w:gridCol w:w="1073"/>
        <w:gridCol w:w="1073"/>
        <w:gridCol w:w="1071"/>
        <w:gridCol w:w="1071"/>
        <w:gridCol w:w="1071"/>
        <w:gridCol w:w="1069"/>
        <w:gridCol w:w="1060"/>
      </w:tblGrid>
      <w:tr w:rsidR="00E71430" w:rsidRPr="00141A4D" w14:paraId="6669F7DF" w14:textId="77777777" w:rsidTr="00E71430">
        <w:trPr>
          <w:cnfStyle w:val="100000000000" w:firstRow="1" w:lastRow="0" w:firstColumn="0" w:lastColumn="0" w:oddVBand="0" w:evenVBand="0" w:oddHBand="0" w:evenHBand="0" w:firstRowFirstColumn="0" w:firstRowLastColumn="0" w:lastRowFirstColumn="0" w:lastRowLastColumn="0"/>
        </w:trPr>
        <w:tc>
          <w:tcPr>
            <w:tcW w:w="716" w:type="pct"/>
          </w:tcPr>
          <w:p w14:paraId="3D338D4C" w14:textId="77777777" w:rsidR="00E71430" w:rsidRPr="00141A4D" w:rsidRDefault="00E71430" w:rsidP="00384DB7">
            <w:pPr>
              <w:pStyle w:val="Tablecondensedheading"/>
              <w:rPr>
                <w:lang w:val="en-AU"/>
              </w:rPr>
            </w:pPr>
            <w:r w:rsidRPr="00141A4D">
              <w:rPr>
                <w:lang w:val="en-AU"/>
              </w:rPr>
              <w:t>Mark</w:t>
            </w:r>
            <w:r>
              <w:rPr>
                <w:lang w:val="en-AU"/>
              </w:rPr>
              <w:t>s</w:t>
            </w:r>
          </w:p>
        </w:tc>
        <w:tc>
          <w:tcPr>
            <w:tcW w:w="716" w:type="pct"/>
          </w:tcPr>
          <w:p w14:paraId="7DC083DB" w14:textId="77777777" w:rsidR="00E71430" w:rsidRPr="00141A4D" w:rsidRDefault="00E71430" w:rsidP="00384DB7">
            <w:pPr>
              <w:pStyle w:val="Tablecondensedheading"/>
              <w:rPr>
                <w:lang w:val="en-AU"/>
              </w:rPr>
            </w:pPr>
            <w:r w:rsidRPr="00141A4D">
              <w:rPr>
                <w:lang w:val="en-AU"/>
              </w:rPr>
              <w:t>0</w:t>
            </w:r>
          </w:p>
        </w:tc>
        <w:tc>
          <w:tcPr>
            <w:tcW w:w="715" w:type="pct"/>
          </w:tcPr>
          <w:p w14:paraId="5D8F744C" w14:textId="77777777" w:rsidR="00E71430" w:rsidRPr="00141A4D" w:rsidRDefault="00E71430" w:rsidP="00384DB7">
            <w:pPr>
              <w:pStyle w:val="Tablecondensedheading"/>
              <w:rPr>
                <w:lang w:val="en-AU"/>
              </w:rPr>
            </w:pPr>
            <w:r w:rsidRPr="00141A4D">
              <w:rPr>
                <w:lang w:val="en-AU"/>
              </w:rPr>
              <w:t>1</w:t>
            </w:r>
          </w:p>
        </w:tc>
        <w:tc>
          <w:tcPr>
            <w:tcW w:w="715" w:type="pct"/>
          </w:tcPr>
          <w:p w14:paraId="636D7EAB" w14:textId="77777777" w:rsidR="00E71430" w:rsidRPr="00141A4D" w:rsidRDefault="00E71430" w:rsidP="00384DB7">
            <w:pPr>
              <w:pStyle w:val="Tablecondensedheading"/>
              <w:rPr>
                <w:lang w:val="en-AU"/>
              </w:rPr>
            </w:pPr>
            <w:r w:rsidRPr="00141A4D">
              <w:rPr>
                <w:lang w:val="en-AU"/>
              </w:rPr>
              <w:t>2</w:t>
            </w:r>
          </w:p>
        </w:tc>
        <w:tc>
          <w:tcPr>
            <w:tcW w:w="715" w:type="pct"/>
          </w:tcPr>
          <w:p w14:paraId="7AA15802" w14:textId="77777777" w:rsidR="00E71430" w:rsidRPr="00141A4D" w:rsidRDefault="00E71430" w:rsidP="00384DB7">
            <w:pPr>
              <w:pStyle w:val="Tablecondensedheading"/>
              <w:rPr>
                <w:lang w:val="en-AU"/>
              </w:rPr>
            </w:pPr>
            <w:r w:rsidRPr="00141A4D">
              <w:rPr>
                <w:lang w:val="en-AU"/>
              </w:rPr>
              <w:t>3</w:t>
            </w:r>
          </w:p>
        </w:tc>
        <w:tc>
          <w:tcPr>
            <w:tcW w:w="714" w:type="pct"/>
          </w:tcPr>
          <w:p w14:paraId="1ABA4887" w14:textId="77777777" w:rsidR="00E71430" w:rsidRPr="00141A4D" w:rsidRDefault="00E71430" w:rsidP="00384DB7">
            <w:pPr>
              <w:pStyle w:val="Tablecondensedheading"/>
              <w:rPr>
                <w:lang w:val="en-AU"/>
              </w:rPr>
            </w:pPr>
            <w:r>
              <w:rPr>
                <w:lang w:val="en-AU"/>
              </w:rPr>
              <w:t>4</w:t>
            </w:r>
          </w:p>
        </w:tc>
        <w:tc>
          <w:tcPr>
            <w:tcW w:w="708" w:type="pct"/>
          </w:tcPr>
          <w:p w14:paraId="17C11C5E" w14:textId="77777777" w:rsidR="00E71430" w:rsidRPr="00141A4D" w:rsidRDefault="00E71430" w:rsidP="00384DB7">
            <w:pPr>
              <w:pStyle w:val="Tablecondensedheading"/>
              <w:rPr>
                <w:lang w:val="en-AU"/>
              </w:rPr>
            </w:pPr>
            <w:r w:rsidRPr="00141A4D">
              <w:rPr>
                <w:lang w:val="en-AU"/>
              </w:rPr>
              <w:t>Average</w:t>
            </w:r>
          </w:p>
        </w:tc>
      </w:tr>
      <w:tr w:rsidR="00E71430" w:rsidRPr="00141A4D" w14:paraId="39F5116F" w14:textId="77777777" w:rsidTr="00E71430">
        <w:tc>
          <w:tcPr>
            <w:tcW w:w="716" w:type="pct"/>
          </w:tcPr>
          <w:p w14:paraId="0A5708EC" w14:textId="77777777" w:rsidR="00E71430" w:rsidRPr="00141A4D" w:rsidRDefault="00E71430" w:rsidP="00384DB7">
            <w:pPr>
              <w:pStyle w:val="Tablecondensed"/>
              <w:rPr>
                <w:lang w:val="en-AU"/>
              </w:rPr>
            </w:pPr>
            <w:r w:rsidRPr="00141A4D">
              <w:rPr>
                <w:lang w:val="en-AU"/>
              </w:rPr>
              <w:t>%</w:t>
            </w:r>
          </w:p>
        </w:tc>
        <w:tc>
          <w:tcPr>
            <w:tcW w:w="716" w:type="pct"/>
            <w:vAlign w:val="bottom"/>
          </w:tcPr>
          <w:p w14:paraId="47FDF038" w14:textId="1FA99CC1" w:rsidR="00E71430" w:rsidRPr="00141A4D" w:rsidRDefault="00E71430" w:rsidP="00384DB7">
            <w:pPr>
              <w:pStyle w:val="Tablecondensed"/>
              <w:rPr>
                <w:lang w:val="en-AU"/>
              </w:rPr>
            </w:pPr>
            <w:r>
              <w:rPr>
                <w:lang w:val="en-AU"/>
              </w:rPr>
              <w:t>14</w:t>
            </w:r>
          </w:p>
        </w:tc>
        <w:tc>
          <w:tcPr>
            <w:tcW w:w="715" w:type="pct"/>
            <w:vAlign w:val="bottom"/>
          </w:tcPr>
          <w:p w14:paraId="73F56DCE" w14:textId="60E383C9" w:rsidR="00E71430" w:rsidRPr="00141A4D" w:rsidRDefault="00E71430" w:rsidP="00384DB7">
            <w:pPr>
              <w:pStyle w:val="Tablecondensed"/>
              <w:rPr>
                <w:lang w:val="en-AU"/>
              </w:rPr>
            </w:pPr>
            <w:r>
              <w:rPr>
                <w:lang w:val="en-AU"/>
              </w:rPr>
              <w:t>17</w:t>
            </w:r>
          </w:p>
        </w:tc>
        <w:tc>
          <w:tcPr>
            <w:tcW w:w="715" w:type="pct"/>
            <w:vAlign w:val="bottom"/>
          </w:tcPr>
          <w:p w14:paraId="29827365" w14:textId="2696034D" w:rsidR="00E71430" w:rsidRPr="00141A4D" w:rsidRDefault="00E71430" w:rsidP="00384DB7">
            <w:pPr>
              <w:pStyle w:val="Tablecondensed"/>
              <w:rPr>
                <w:lang w:val="en-AU"/>
              </w:rPr>
            </w:pPr>
            <w:r>
              <w:rPr>
                <w:lang w:val="en-AU"/>
              </w:rPr>
              <w:t>26</w:t>
            </w:r>
          </w:p>
        </w:tc>
        <w:tc>
          <w:tcPr>
            <w:tcW w:w="715" w:type="pct"/>
            <w:vAlign w:val="bottom"/>
          </w:tcPr>
          <w:p w14:paraId="0C91B167" w14:textId="2CDC5952" w:rsidR="00E71430" w:rsidRPr="00141A4D" w:rsidRDefault="00E71430" w:rsidP="00384DB7">
            <w:pPr>
              <w:pStyle w:val="Tablecondensed"/>
              <w:rPr>
                <w:lang w:val="en-AU"/>
              </w:rPr>
            </w:pPr>
            <w:r>
              <w:rPr>
                <w:lang w:val="en-AU"/>
              </w:rPr>
              <w:t>20</w:t>
            </w:r>
          </w:p>
        </w:tc>
        <w:tc>
          <w:tcPr>
            <w:tcW w:w="714" w:type="pct"/>
          </w:tcPr>
          <w:p w14:paraId="4C4F6960" w14:textId="5C191C44" w:rsidR="00E71430" w:rsidRDefault="00E71430" w:rsidP="00384DB7">
            <w:pPr>
              <w:pStyle w:val="Tablecondensed"/>
              <w:rPr>
                <w:lang w:val="en-AU"/>
              </w:rPr>
            </w:pPr>
            <w:r>
              <w:rPr>
                <w:lang w:val="en-AU"/>
              </w:rPr>
              <w:t>21</w:t>
            </w:r>
          </w:p>
        </w:tc>
        <w:tc>
          <w:tcPr>
            <w:tcW w:w="708" w:type="pct"/>
          </w:tcPr>
          <w:p w14:paraId="60BC7C2F" w14:textId="41DE6E1C" w:rsidR="00E71430" w:rsidRPr="00141A4D" w:rsidRDefault="00E71430" w:rsidP="00384DB7">
            <w:pPr>
              <w:pStyle w:val="Tablecondensed"/>
              <w:rPr>
                <w:lang w:val="en-AU"/>
              </w:rPr>
            </w:pPr>
            <w:r>
              <w:rPr>
                <w:lang w:val="en-AU"/>
              </w:rPr>
              <w:t>2.</w:t>
            </w:r>
            <w:r w:rsidR="00F600B3">
              <w:rPr>
                <w:lang w:val="en-AU"/>
              </w:rPr>
              <w:t>2</w:t>
            </w:r>
          </w:p>
        </w:tc>
      </w:tr>
    </w:tbl>
    <w:p w14:paraId="68A5A27A" w14:textId="5D5F1CC7" w:rsidR="0058570A" w:rsidRDefault="008E309F" w:rsidP="00971A7E">
      <w:pPr>
        <w:pStyle w:val="BodyText"/>
      </w:pPr>
      <w:r w:rsidRPr="008E309F">
        <w:t xml:space="preserve">Students were required to describe the two Acts or conventions </w:t>
      </w:r>
      <w:r w:rsidR="00ED092C">
        <w:t xml:space="preserve">that </w:t>
      </w:r>
      <w:r w:rsidRPr="008E309F">
        <w:t>they selected from the list provided.</w:t>
      </w:r>
    </w:p>
    <w:p w14:paraId="30ADCE54" w14:textId="712A0B6E" w:rsidR="008E309F" w:rsidRPr="008E309F" w:rsidRDefault="008E309F" w:rsidP="00971A7E">
      <w:pPr>
        <w:pStyle w:val="BodyText"/>
      </w:pPr>
      <w:r w:rsidRPr="008E309F">
        <w:t>High-scoring responses accurately outlined the purpose, scope and key functions of each Act or convention, without modifying titles or adding incorrect information.</w:t>
      </w:r>
    </w:p>
    <w:p w14:paraId="2BDCE72C" w14:textId="0D32FD38" w:rsidR="00CF2421" w:rsidRPr="008E309F" w:rsidRDefault="00CF2421" w:rsidP="00971A7E">
      <w:pPr>
        <w:pStyle w:val="BodyText"/>
      </w:pPr>
      <w:r>
        <w:t>L</w:t>
      </w:r>
      <w:r w:rsidRPr="00410AA4">
        <w:t>ower</w:t>
      </w:r>
      <w:r>
        <w:t>-</w:t>
      </w:r>
      <w:r w:rsidRPr="00410AA4">
        <w:t xml:space="preserve">scoring responses: </w:t>
      </w:r>
    </w:p>
    <w:p w14:paraId="75488571" w14:textId="0F7F13F6" w:rsidR="008E309F" w:rsidRPr="008E309F" w:rsidRDefault="0006388A" w:rsidP="00971A7E">
      <w:pPr>
        <w:pStyle w:val="Bullet"/>
      </w:pPr>
      <w:r>
        <w:t>rewrote</w:t>
      </w:r>
      <w:r w:rsidRPr="008E309F">
        <w:t xml:space="preserve"> </w:t>
      </w:r>
      <w:r w:rsidR="008E309F" w:rsidRPr="008E309F">
        <w:t>or alter</w:t>
      </w:r>
      <w:r>
        <w:t>ed</w:t>
      </w:r>
      <w:r w:rsidR="008E309F" w:rsidRPr="008E309F">
        <w:t xml:space="preserve"> the title of the Act or convention</w:t>
      </w:r>
      <w:r w:rsidR="00D51A81">
        <w:t xml:space="preserve">, </w:t>
      </w:r>
      <w:r w:rsidR="0058570A">
        <w:t xml:space="preserve">which did </w:t>
      </w:r>
      <w:r w:rsidR="00D51A81">
        <w:t>not</w:t>
      </w:r>
      <w:r w:rsidR="0058570A">
        <w:t xml:space="preserve"> attract</w:t>
      </w:r>
      <w:r w:rsidR="00D51A81">
        <w:t xml:space="preserve"> mark</w:t>
      </w:r>
      <w:r w:rsidR="0058570A">
        <w:t>s</w:t>
      </w:r>
    </w:p>
    <w:p w14:paraId="7A34499E" w14:textId="00CEB5AA" w:rsidR="008E309F" w:rsidRPr="008E309F" w:rsidRDefault="0006388A" w:rsidP="00971A7E">
      <w:pPr>
        <w:pStyle w:val="Bullet"/>
      </w:pPr>
      <w:r>
        <w:t>gave</w:t>
      </w:r>
      <w:r w:rsidRPr="008E309F">
        <w:t xml:space="preserve"> </w:t>
      </w:r>
      <w:r w:rsidR="008E309F" w:rsidRPr="008E309F">
        <w:t>vague descriptions without explaining the purpose or specific mechanisms of the Act or convention</w:t>
      </w:r>
    </w:p>
    <w:p w14:paraId="42F91F1F" w14:textId="192D6D35" w:rsidR="008E309F" w:rsidRPr="008E309F" w:rsidRDefault="0006388A" w:rsidP="00971A7E">
      <w:pPr>
        <w:pStyle w:val="Bullet"/>
      </w:pPr>
      <w:r>
        <w:t>mixed</w:t>
      </w:r>
      <w:r w:rsidRPr="008E309F">
        <w:t xml:space="preserve"> </w:t>
      </w:r>
      <w:r w:rsidR="008E309F" w:rsidRPr="008E309F">
        <w:t>features of different Acts or incorrectly attribut</w:t>
      </w:r>
      <w:r w:rsidR="005E16DF">
        <w:t>ed</w:t>
      </w:r>
      <w:r w:rsidR="008E309F" w:rsidRPr="008E309F">
        <w:t xml:space="preserve"> responsibilities (</w:t>
      </w:r>
      <w:r w:rsidR="0058570A">
        <w:t>for example,</w:t>
      </w:r>
      <w:r w:rsidR="008E309F" w:rsidRPr="008E309F">
        <w:t xml:space="preserve"> suggesting </w:t>
      </w:r>
      <w:r w:rsidR="005E16DF">
        <w:t xml:space="preserve">that </w:t>
      </w:r>
      <w:r w:rsidR="008E309F" w:rsidRPr="008E309F">
        <w:t>the Ramsar Convention manages national parks)</w:t>
      </w:r>
    </w:p>
    <w:p w14:paraId="6A2BB151" w14:textId="09B5B229" w:rsidR="008E309F" w:rsidRPr="008E309F" w:rsidRDefault="0006388A" w:rsidP="00971A7E">
      <w:pPr>
        <w:pStyle w:val="Bullet"/>
      </w:pPr>
      <w:r>
        <w:t>described</w:t>
      </w:r>
      <w:r w:rsidRPr="008E309F">
        <w:t xml:space="preserve"> </w:t>
      </w:r>
      <w:r w:rsidR="008E309F" w:rsidRPr="008E309F">
        <w:t xml:space="preserve">how the Act or convention would be applied (assessed in Question 12b) instead of describing what it </w:t>
      </w:r>
      <w:r w:rsidR="006025D8">
        <w:t>wa</w:t>
      </w:r>
      <w:r w:rsidR="008E309F" w:rsidRPr="008E309F">
        <w:t>s</w:t>
      </w:r>
    </w:p>
    <w:p w14:paraId="293E4E16" w14:textId="3E46CC63" w:rsidR="008E309F" w:rsidRPr="008E309F" w:rsidRDefault="0006388A" w:rsidP="00971A7E">
      <w:pPr>
        <w:pStyle w:val="Bullet"/>
      </w:pPr>
      <w:r>
        <w:t>provided</w:t>
      </w:r>
      <w:r w:rsidRPr="008E309F">
        <w:t xml:space="preserve"> </w:t>
      </w:r>
      <w:r w:rsidR="008E309F" w:rsidRPr="008E309F">
        <w:t xml:space="preserve">broad statements such as </w:t>
      </w:r>
      <w:r>
        <w:t>‘</w:t>
      </w:r>
      <w:r w:rsidR="008E309F" w:rsidRPr="008E309F">
        <w:t>it protects the environment</w:t>
      </w:r>
      <w:r>
        <w:t>’</w:t>
      </w:r>
      <w:r w:rsidR="008E309F" w:rsidRPr="008E309F">
        <w:t xml:space="preserve"> without referring to specific functions, such as action statements, threatened species listings or international obligations.</w:t>
      </w:r>
    </w:p>
    <w:p w14:paraId="25F7E207" w14:textId="77777777" w:rsidR="001448D4" w:rsidRDefault="001448D4">
      <w:pPr>
        <w:spacing w:line="276" w:lineRule="auto"/>
        <w:rPr>
          <w:rFonts w:ascii="Arial" w:hAnsi="Arial" w:cs="Arial"/>
          <w:color w:val="000000" w:themeColor="text1"/>
          <w:sz w:val="20"/>
          <w:lang w:val="en-AU" w:eastAsia="en-AU"/>
        </w:rPr>
      </w:pPr>
      <w:r>
        <w:br w:type="page"/>
      </w:r>
    </w:p>
    <w:p w14:paraId="7D8E34D1" w14:textId="51F4080B" w:rsidR="00CF2421" w:rsidRPr="00EA0B9E" w:rsidRDefault="00CF2421" w:rsidP="00971A7E">
      <w:pPr>
        <w:pStyle w:val="BodyText"/>
      </w:pPr>
      <w:r>
        <w:lastRenderedPageBreak/>
        <w:t>The following is an example of a high-scoring student response.</w:t>
      </w:r>
    </w:p>
    <w:p w14:paraId="0CA97DE2" w14:textId="77777777" w:rsidR="00EA0B9E" w:rsidRPr="001448D4" w:rsidRDefault="00EA0B9E" w:rsidP="00943BB7">
      <w:pPr>
        <w:pStyle w:val="BodyText"/>
        <w:ind w:left="284"/>
        <w:rPr>
          <w:rStyle w:val="Emphasis"/>
        </w:rPr>
      </w:pPr>
      <w:r w:rsidRPr="001448D4">
        <w:rPr>
          <w:rStyle w:val="Emphasis"/>
        </w:rPr>
        <w:t>Flora and Fauna Guarantee Amendment Act 2019 (Vic)</w:t>
      </w:r>
      <w:r w:rsidRPr="001448D4">
        <w:rPr>
          <w:rStyle w:val="Emphasis"/>
        </w:rPr>
        <w:br/>
        <w:t>The Flora and Fauna Guarantee Amendment Act 2019 provides Victoria’s legal framework for conserving biodiversity. It includes requirements for the development of action statements, which outline the status of threatened species or communities, the key threats they face and the actions needed to support their recovery. The Act also strengthens processes for identifying critical habitats and managing threats across Victoria.</w:t>
      </w:r>
    </w:p>
    <w:p w14:paraId="6425845F" w14:textId="21731E95" w:rsidR="00C84E7E" w:rsidRPr="001448D4" w:rsidRDefault="00EA0B9E" w:rsidP="00943BB7">
      <w:pPr>
        <w:pStyle w:val="BodyText"/>
        <w:ind w:left="284"/>
        <w:rPr>
          <w:rStyle w:val="Emphasis"/>
        </w:rPr>
      </w:pPr>
      <w:r w:rsidRPr="001448D4">
        <w:rPr>
          <w:rStyle w:val="Emphasis"/>
        </w:rPr>
        <w:t>Ramsar Convention (international treaty, 1971)</w:t>
      </w:r>
      <w:r w:rsidRPr="001448D4">
        <w:rPr>
          <w:rStyle w:val="Emphasis"/>
        </w:rPr>
        <w:br/>
        <w:t>The Ramsar Convention is an international treaty focused on protecting wetlands of international importance. Its primary aim is to ensure that migratory waterbirds have access to the breeding and feeding sites needed for their survival. Wetlands designated as Ramsar sites receive international recognition and support, helping local and national authorities implement stronger conservation and management measures.</w:t>
      </w:r>
    </w:p>
    <w:p w14:paraId="1BDF73F6" w14:textId="31CE9895" w:rsidR="00563646" w:rsidRDefault="00563646" w:rsidP="00971A7E">
      <w:pPr>
        <w:pStyle w:val="Heading3"/>
      </w:pPr>
      <w:r>
        <w:t>Question 12b</w:t>
      </w:r>
      <w:r w:rsidR="001F7C99">
        <w:t>.</w:t>
      </w:r>
    </w:p>
    <w:tbl>
      <w:tblPr>
        <w:tblStyle w:val="VCAATableClosed"/>
        <w:tblW w:w="4444" w:type="pct"/>
        <w:tblLook w:val="04A0" w:firstRow="1" w:lastRow="0" w:firstColumn="1" w:lastColumn="0" w:noHBand="0" w:noVBand="1"/>
      </w:tblPr>
      <w:tblGrid>
        <w:gridCol w:w="1072"/>
        <w:gridCol w:w="1072"/>
        <w:gridCol w:w="1071"/>
        <w:gridCol w:w="1071"/>
        <w:gridCol w:w="1071"/>
        <w:gridCol w:w="1070"/>
        <w:gridCol w:w="1070"/>
        <w:gridCol w:w="1061"/>
      </w:tblGrid>
      <w:tr w:rsidR="00E71430" w:rsidRPr="00141A4D" w14:paraId="33FEBFD9" w14:textId="77777777" w:rsidTr="00384DB7">
        <w:trPr>
          <w:cnfStyle w:val="100000000000" w:firstRow="1" w:lastRow="0" w:firstColumn="0" w:lastColumn="0" w:oddVBand="0" w:evenVBand="0" w:oddHBand="0" w:evenHBand="0" w:firstRowFirstColumn="0" w:firstRowLastColumn="0" w:lastRowFirstColumn="0" w:lastRowLastColumn="0"/>
        </w:trPr>
        <w:tc>
          <w:tcPr>
            <w:tcW w:w="626" w:type="pct"/>
          </w:tcPr>
          <w:p w14:paraId="1142F1D2" w14:textId="77777777" w:rsidR="00E71430" w:rsidRPr="00141A4D" w:rsidRDefault="00E71430" w:rsidP="00384DB7">
            <w:pPr>
              <w:pStyle w:val="Tablecondensedheading"/>
              <w:rPr>
                <w:lang w:val="en-AU"/>
              </w:rPr>
            </w:pPr>
            <w:r w:rsidRPr="00141A4D">
              <w:rPr>
                <w:lang w:val="en-AU"/>
              </w:rPr>
              <w:t>Mark</w:t>
            </w:r>
            <w:r>
              <w:rPr>
                <w:lang w:val="en-AU"/>
              </w:rPr>
              <w:t>s</w:t>
            </w:r>
          </w:p>
        </w:tc>
        <w:tc>
          <w:tcPr>
            <w:tcW w:w="626" w:type="pct"/>
          </w:tcPr>
          <w:p w14:paraId="5043CF05" w14:textId="77777777" w:rsidR="00E71430" w:rsidRPr="00141A4D" w:rsidRDefault="00E71430" w:rsidP="00384DB7">
            <w:pPr>
              <w:pStyle w:val="Tablecondensedheading"/>
              <w:rPr>
                <w:lang w:val="en-AU"/>
              </w:rPr>
            </w:pPr>
            <w:r w:rsidRPr="00141A4D">
              <w:rPr>
                <w:lang w:val="en-AU"/>
              </w:rPr>
              <w:t>0</w:t>
            </w:r>
          </w:p>
        </w:tc>
        <w:tc>
          <w:tcPr>
            <w:tcW w:w="626" w:type="pct"/>
          </w:tcPr>
          <w:p w14:paraId="5469C277" w14:textId="77777777" w:rsidR="00E71430" w:rsidRPr="00141A4D" w:rsidRDefault="00E71430" w:rsidP="00384DB7">
            <w:pPr>
              <w:pStyle w:val="Tablecondensedheading"/>
              <w:rPr>
                <w:lang w:val="en-AU"/>
              </w:rPr>
            </w:pPr>
            <w:r w:rsidRPr="00141A4D">
              <w:rPr>
                <w:lang w:val="en-AU"/>
              </w:rPr>
              <w:t>1</w:t>
            </w:r>
          </w:p>
        </w:tc>
        <w:tc>
          <w:tcPr>
            <w:tcW w:w="626" w:type="pct"/>
          </w:tcPr>
          <w:p w14:paraId="78562C4A" w14:textId="77777777" w:rsidR="00E71430" w:rsidRPr="00141A4D" w:rsidRDefault="00E71430" w:rsidP="00384DB7">
            <w:pPr>
              <w:pStyle w:val="Tablecondensedheading"/>
              <w:rPr>
                <w:lang w:val="en-AU"/>
              </w:rPr>
            </w:pPr>
            <w:r w:rsidRPr="00141A4D">
              <w:rPr>
                <w:lang w:val="en-AU"/>
              </w:rPr>
              <w:t>2</w:t>
            </w:r>
          </w:p>
        </w:tc>
        <w:tc>
          <w:tcPr>
            <w:tcW w:w="626" w:type="pct"/>
          </w:tcPr>
          <w:p w14:paraId="1CEE03A7" w14:textId="77777777" w:rsidR="00E71430" w:rsidRPr="00141A4D" w:rsidRDefault="00E71430" w:rsidP="00384DB7">
            <w:pPr>
              <w:pStyle w:val="Tablecondensedheading"/>
              <w:rPr>
                <w:lang w:val="en-AU"/>
              </w:rPr>
            </w:pPr>
            <w:r w:rsidRPr="00141A4D">
              <w:rPr>
                <w:lang w:val="en-AU"/>
              </w:rPr>
              <w:t>3</w:t>
            </w:r>
          </w:p>
        </w:tc>
        <w:tc>
          <w:tcPr>
            <w:tcW w:w="625" w:type="pct"/>
          </w:tcPr>
          <w:p w14:paraId="720EDF61" w14:textId="77777777" w:rsidR="00E71430" w:rsidRPr="00141A4D" w:rsidRDefault="00E71430" w:rsidP="00384DB7">
            <w:pPr>
              <w:pStyle w:val="Tablecondensedheading"/>
              <w:rPr>
                <w:lang w:val="en-AU"/>
              </w:rPr>
            </w:pPr>
            <w:r>
              <w:rPr>
                <w:lang w:val="en-AU"/>
              </w:rPr>
              <w:t>4</w:t>
            </w:r>
          </w:p>
        </w:tc>
        <w:tc>
          <w:tcPr>
            <w:tcW w:w="625" w:type="pct"/>
          </w:tcPr>
          <w:p w14:paraId="3F9C718B" w14:textId="77777777" w:rsidR="00E71430" w:rsidRPr="00141A4D" w:rsidRDefault="00E71430" w:rsidP="00384DB7">
            <w:pPr>
              <w:pStyle w:val="Tablecondensedheading"/>
              <w:rPr>
                <w:lang w:val="en-AU"/>
              </w:rPr>
            </w:pPr>
            <w:r>
              <w:rPr>
                <w:lang w:val="en-AU"/>
              </w:rPr>
              <w:t>5</w:t>
            </w:r>
          </w:p>
        </w:tc>
        <w:tc>
          <w:tcPr>
            <w:tcW w:w="622" w:type="pct"/>
          </w:tcPr>
          <w:p w14:paraId="6FBCAB26" w14:textId="77777777" w:rsidR="00E71430" w:rsidRPr="00141A4D" w:rsidRDefault="00E71430" w:rsidP="00384DB7">
            <w:pPr>
              <w:pStyle w:val="Tablecondensedheading"/>
              <w:rPr>
                <w:lang w:val="en-AU"/>
              </w:rPr>
            </w:pPr>
            <w:r w:rsidRPr="00141A4D">
              <w:rPr>
                <w:lang w:val="en-AU"/>
              </w:rPr>
              <w:t>Average</w:t>
            </w:r>
          </w:p>
        </w:tc>
      </w:tr>
      <w:tr w:rsidR="00E71430" w:rsidRPr="00141A4D" w14:paraId="6A2E63E0" w14:textId="77777777" w:rsidTr="00384DB7">
        <w:tc>
          <w:tcPr>
            <w:tcW w:w="626" w:type="pct"/>
          </w:tcPr>
          <w:p w14:paraId="4F12C903" w14:textId="77777777" w:rsidR="00E71430" w:rsidRPr="00141A4D" w:rsidRDefault="00E71430" w:rsidP="00384DB7">
            <w:pPr>
              <w:pStyle w:val="Tablecondensed"/>
              <w:rPr>
                <w:lang w:val="en-AU"/>
              </w:rPr>
            </w:pPr>
            <w:r w:rsidRPr="00141A4D">
              <w:rPr>
                <w:lang w:val="en-AU"/>
              </w:rPr>
              <w:t>%</w:t>
            </w:r>
          </w:p>
        </w:tc>
        <w:tc>
          <w:tcPr>
            <w:tcW w:w="626" w:type="pct"/>
            <w:vAlign w:val="bottom"/>
          </w:tcPr>
          <w:p w14:paraId="1EB6687C" w14:textId="690EF5E5" w:rsidR="00E71430" w:rsidRPr="00141A4D" w:rsidRDefault="00E71430" w:rsidP="00384DB7">
            <w:pPr>
              <w:pStyle w:val="Tablecondensed"/>
              <w:rPr>
                <w:lang w:val="en-AU"/>
              </w:rPr>
            </w:pPr>
            <w:r>
              <w:rPr>
                <w:lang w:val="en-AU"/>
              </w:rPr>
              <w:t>25</w:t>
            </w:r>
          </w:p>
        </w:tc>
        <w:tc>
          <w:tcPr>
            <w:tcW w:w="626" w:type="pct"/>
            <w:vAlign w:val="bottom"/>
          </w:tcPr>
          <w:p w14:paraId="56D32234" w14:textId="6CCB6200" w:rsidR="00E71430" w:rsidRPr="00141A4D" w:rsidRDefault="00E71430" w:rsidP="00384DB7">
            <w:pPr>
              <w:pStyle w:val="Tablecondensed"/>
              <w:rPr>
                <w:lang w:val="en-AU"/>
              </w:rPr>
            </w:pPr>
            <w:r>
              <w:rPr>
                <w:lang w:val="en-AU"/>
              </w:rPr>
              <w:t>1</w:t>
            </w:r>
            <w:r w:rsidR="00F600B3">
              <w:rPr>
                <w:lang w:val="en-AU"/>
              </w:rPr>
              <w:t>4</w:t>
            </w:r>
          </w:p>
        </w:tc>
        <w:tc>
          <w:tcPr>
            <w:tcW w:w="626" w:type="pct"/>
            <w:vAlign w:val="bottom"/>
          </w:tcPr>
          <w:p w14:paraId="7CD417D4" w14:textId="517B8140" w:rsidR="00E71430" w:rsidRPr="00141A4D" w:rsidRDefault="00E71430" w:rsidP="00384DB7">
            <w:pPr>
              <w:pStyle w:val="Tablecondensed"/>
              <w:rPr>
                <w:lang w:val="en-AU"/>
              </w:rPr>
            </w:pPr>
            <w:r>
              <w:rPr>
                <w:lang w:val="en-AU"/>
              </w:rPr>
              <w:t>1</w:t>
            </w:r>
            <w:r w:rsidR="00F600B3">
              <w:rPr>
                <w:lang w:val="en-AU"/>
              </w:rPr>
              <w:t>9</w:t>
            </w:r>
          </w:p>
        </w:tc>
        <w:tc>
          <w:tcPr>
            <w:tcW w:w="626" w:type="pct"/>
            <w:vAlign w:val="bottom"/>
          </w:tcPr>
          <w:p w14:paraId="6FA31247" w14:textId="242548F2" w:rsidR="00E71430" w:rsidRPr="00141A4D" w:rsidRDefault="00E71430" w:rsidP="00384DB7">
            <w:pPr>
              <w:pStyle w:val="Tablecondensed"/>
              <w:rPr>
                <w:lang w:val="en-AU"/>
              </w:rPr>
            </w:pPr>
            <w:r>
              <w:rPr>
                <w:lang w:val="en-AU"/>
              </w:rPr>
              <w:t>20</w:t>
            </w:r>
          </w:p>
        </w:tc>
        <w:tc>
          <w:tcPr>
            <w:tcW w:w="625" w:type="pct"/>
          </w:tcPr>
          <w:p w14:paraId="5E012E25" w14:textId="453121A7" w:rsidR="00E71430" w:rsidRDefault="00E71430" w:rsidP="00384DB7">
            <w:pPr>
              <w:pStyle w:val="Tablecondensed"/>
              <w:rPr>
                <w:lang w:val="en-AU"/>
              </w:rPr>
            </w:pPr>
            <w:r>
              <w:rPr>
                <w:lang w:val="en-AU"/>
              </w:rPr>
              <w:t>14</w:t>
            </w:r>
          </w:p>
        </w:tc>
        <w:tc>
          <w:tcPr>
            <w:tcW w:w="625" w:type="pct"/>
          </w:tcPr>
          <w:p w14:paraId="6E54211F" w14:textId="0A1A59A2" w:rsidR="00E71430" w:rsidRDefault="00F600B3" w:rsidP="00384DB7">
            <w:pPr>
              <w:pStyle w:val="Tablecondensed"/>
              <w:rPr>
                <w:lang w:val="en-AU"/>
              </w:rPr>
            </w:pPr>
            <w:r>
              <w:rPr>
                <w:lang w:val="en-AU"/>
              </w:rPr>
              <w:t>9</w:t>
            </w:r>
          </w:p>
        </w:tc>
        <w:tc>
          <w:tcPr>
            <w:tcW w:w="622" w:type="pct"/>
          </w:tcPr>
          <w:p w14:paraId="2C87A0BE" w14:textId="77777777" w:rsidR="00E71430" w:rsidRPr="00141A4D" w:rsidRDefault="00E71430" w:rsidP="00384DB7">
            <w:pPr>
              <w:pStyle w:val="Tablecondensed"/>
              <w:rPr>
                <w:lang w:val="en-AU"/>
              </w:rPr>
            </w:pPr>
            <w:r>
              <w:rPr>
                <w:lang w:val="en-AU"/>
              </w:rPr>
              <w:t>2.1</w:t>
            </w:r>
          </w:p>
        </w:tc>
      </w:tr>
    </w:tbl>
    <w:p w14:paraId="2A669E8B" w14:textId="77777777" w:rsidR="00720134" w:rsidRDefault="008E309F" w:rsidP="00971A7E">
      <w:pPr>
        <w:pStyle w:val="BodyText"/>
      </w:pPr>
      <w:r w:rsidRPr="008E309F">
        <w:t>Students were required to compare the effectiveness of their two selected Acts or conventions in managing the Eastern Wilderness Walk.</w:t>
      </w:r>
    </w:p>
    <w:p w14:paraId="1C55025B" w14:textId="7EC33D80" w:rsidR="008E309F" w:rsidRPr="008E309F" w:rsidRDefault="008E309F" w:rsidP="00971A7E">
      <w:pPr>
        <w:pStyle w:val="BodyText"/>
      </w:pPr>
      <w:r w:rsidRPr="008E309F">
        <w:t>High-scoring responses identified similarities and/or differences in effectiveness and discussed themes such as scope, reach, protections offered and relevance to the environmental threats highlighted in the stimulus.</w:t>
      </w:r>
    </w:p>
    <w:p w14:paraId="30EBE2F9" w14:textId="3CA78B18" w:rsidR="00CF2421" w:rsidRPr="008E309F" w:rsidRDefault="00CF2421" w:rsidP="00971A7E">
      <w:pPr>
        <w:pStyle w:val="BodyText"/>
      </w:pPr>
      <w:r>
        <w:t>L</w:t>
      </w:r>
      <w:r w:rsidRPr="00410AA4">
        <w:t>ower</w:t>
      </w:r>
      <w:r>
        <w:t>-</w:t>
      </w:r>
      <w:r w:rsidRPr="00410AA4">
        <w:t xml:space="preserve">scoring responses: </w:t>
      </w:r>
    </w:p>
    <w:p w14:paraId="5E416BD3" w14:textId="685ADF4C" w:rsidR="008E309F" w:rsidRPr="008E309F" w:rsidRDefault="0006388A" w:rsidP="00971A7E">
      <w:pPr>
        <w:pStyle w:val="Bullet"/>
      </w:pPr>
      <w:r>
        <w:t>rewrote</w:t>
      </w:r>
      <w:r w:rsidRPr="008E309F">
        <w:t xml:space="preserve"> </w:t>
      </w:r>
      <w:r w:rsidR="008E309F" w:rsidRPr="008E309F">
        <w:t>the stimulus information instead of analysing how the Acts or conventions could manage the walk</w:t>
      </w:r>
    </w:p>
    <w:p w14:paraId="0ED26668" w14:textId="78460747" w:rsidR="008E309F" w:rsidRPr="008E309F" w:rsidRDefault="0006388A" w:rsidP="00971A7E">
      <w:pPr>
        <w:pStyle w:val="Bullet"/>
      </w:pPr>
      <w:r>
        <w:t xml:space="preserve">relied </w:t>
      </w:r>
      <w:r w:rsidR="0022250B">
        <w:t xml:space="preserve">on the use of </w:t>
      </w:r>
      <w:r w:rsidR="008E309F" w:rsidRPr="008E309F">
        <w:t>comparative signposting words without discussing the actual similarities or differences</w:t>
      </w:r>
    </w:p>
    <w:p w14:paraId="38AF54B6" w14:textId="4F061995" w:rsidR="008E309F" w:rsidRPr="008E309F" w:rsidRDefault="0006388A" w:rsidP="00971A7E">
      <w:pPr>
        <w:pStyle w:val="Bullet"/>
      </w:pPr>
      <w:r>
        <w:t>did not</w:t>
      </w:r>
      <w:r w:rsidRPr="008E309F">
        <w:t xml:space="preserve"> </w:t>
      </w:r>
      <w:r w:rsidR="008E309F" w:rsidRPr="008E309F">
        <w:t>link the legislation or convention to the specific management needs of the Eastern Wilderness Walk</w:t>
      </w:r>
    </w:p>
    <w:p w14:paraId="3951950C" w14:textId="62B7F7D5" w:rsidR="008E309F" w:rsidRPr="008E309F" w:rsidRDefault="0006388A" w:rsidP="00971A7E">
      <w:pPr>
        <w:pStyle w:val="Bullet"/>
      </w:pPr>
      <w:r>
        <w:t>provided</w:t>
      </w:r>
      <w:r w:rsidRPr="008E309F">
        <w:t xml:space="preserve"> </w:t>
      </w:r>
      <w:r w:rsidR="008E309F" w:rsidRPr="008E309F">
        <w:t>two separate evaluations rather than a comparison</w:t>
      </w:r>
    </w:p>
    <w:p w14:paraId="09CFB96A" w14:textId="231B60FF" w:rsidR="008E309F" w:rsidRPr="008E309F" w:rsidRDefault="0006388A" w:rsidP="00971A7E">
      <w:pPr>
        <w:pStyle w:val="Bullet"/>
      </w:pPr>
      <w:r>
        <w:t>assumed</w:t>
      </w:r>
      <w:r w:rsidRPr="008E309F">
        <w:t xml:space="preserve"> </w:t>
      </w:r>
      <w:r w:rsidR="008E309F" w:rsidRPr="008E309F">
        <w:t>an Act</w:t>
      </w:r>
      <w:r w:rsidR="003203A5">
        <w:t xml:space="preserve"> or convention</w:t>
      </w:r>
      <w:r w:rsidR="008E309F" w:rsidRPr="008E309F">
        <w:t xml:space="preserve"> applie</w:t>
      </w:r>
      <w:r w:rsidR="009A0BCC">
        <w:t>d</w:t>
      </w:r>
      <w:r w:rsidR="008E309F" w:rsidRPr="008E309F">
        <w:t xml:space="preserve"> beyond its scope (</w:t>
      </w:r>
      <w:r w:rsidR="00720134">
        <w:t>for example,</w:t>
      </w:r>
      <w:r w:rsidR="008E309F" w:rsidRPr="008E309F">
        <w:t xml:space="preserve"> Ramsar protecting all ecosystems)</w:t>
      </w:r>
    </w:p>
    <w:p w14:paraId="0108D900" w14:textId="155F0FFF" w:rsidR="008E309F" w:rsidRPr="008E309F" w:rsidRDefault="0006388A" w:rsidP="00971A7E">
      <w:pPr>
        <w:pStyle w:val="Bullet"/>
      </w:pPr>
      <w:r>
        <w:t>focused</w:t>
      </w:r>
      <w:r w:rsidRPr="008E309F">
        <w:t xml:space="preserve"> </w:t>
      </w:r>
      <w:r w:rsidR="008E309F" w:rsidRPr="008E309F">
        <w:t xml:space="preserve">on the purpose of the Acts (covered in </w:t>
      </w:r>
      <w:r w:rsidR="009A0BCC">
        <w:t xml:space="preserve">Question </w:t>
      </w:r>
      <w:r w:rsidR="008E309F" w:rsidRPr="008E309F">
        <w:t>12a) instead of their effectiveness in this scenario</w:t>
      </w:r>
      <w:r w:rsidR="009A0BCC">
        <w:t>.</w:t>
      </w:r>
    </w:p>
    <w:p w14:paraId="38668F26" w14:textId="7AF564FA" w:rsidR="00CF2421" w:rsidRPr="00EA0B9E" w:rsidRDefault="00CF2421" w:rsidP="00971A7E">
      <w:pPr>
        <w:pStyle w:val="BodyText"/>
      </w:pPr>
      <w:r>
        <w:t>The following is an example of a high-scoring student response.</w:t>
      </w:r>
    </w:p>
    <w:p w14:paraId="1200D9CC" w14:textId="77777777" w:rsidR="00EA0B9E" w:rsidRPr="001448D4" w:rsidRDefault="00EA0B9E" w:rsidP="00943BB7">
      <w:pPr>
        <w:pStyle w:val="BodyText"/>
        <w:ind w:left="284"/>
        <w:rPr>
          <w:rStyle w:val="Emphasis"/>
        </w:rPr>
      </w:pPr>
      <w:r w:rsidRPr="001448D4">
        <w:rPr>
          <w:rStyle w:val="Emphasis"/>
        </w:rPr>
        <w:t>The Flora and Fauna Guarantee Amendment Act 2019 (Vic) (FFGAA) could be highly effective in managing the Eastern Wilderness Walk because it already lists cinnamon fungus as a threatening process. This means rangers can access detailed information, action statements and guidance on mitigation strategies directly relevant to one of the key threats identified in the stimulus. The FFGAA also covers a wide range of threatened species and ecological communities, providing broad support across different parts of the walk, not just wetlands.</w:t>
      </w:r>
    </w:p>
    <w:p w14:paraId="45B01231" w14:textId="77777777" w:rsidR="00EA0B9E" w:rsidRPr="001448D4" w:rsidRDefault="00EA0B9E" w:rsidP="00943BB7">
      <w:pPr>
        <w:pStyle w:val="BodyText"/>
        <w:ind w:left="284"/>
        <w:rPr>
          <w:rStyle w:val="Emphasis"/>
        </w:rPr>
      </w:pPr>
      <w:r w:rsidRPr="001448D4">
        <w:rPr>
          <w:rStyle w:val="Emphasis"/>
        </w:rPr>
        <w:t>Similarly, the Ramsar Convention could provide significant protection to the wetlands along the Eastern Wilderness Walk. If these wetlands meet the criteria for designation as a wetland of International Importance, Ramsar listing could strengthen management obligations, require monitoring of waterbird habitat and elevate the profile of the area in national and international conservation efforts. This could enhance long-term protection for wetland-dependent species.</w:t>
      </w:r>
    </w:p>
    <w:p w14:paraId="0EB6CCA7" w14:textId="77777777" w:rsidR="00EA0B9E" w:rsidRPr="001448D4" w:rsidRDefault="00EA0B9E" w:rsidP="00943BB7">
      <w:pPr>
        <w:pStyle w:val="BodyText"/>
        <w:ind w:left="284"/>
        <w:rPr>
          <w:rStyle w:val="Emphasis"/>
        </w:rPr>
      </w:pPr>
      <w:r w:rsidRPr="001448D4">
        <w:rPr>
          <w:rStyle w:val="Emphasis"/>
        </w:rPr>
        <w:lastRenderedPageBreak/>
        <w:t>A key difference in effectiveness is the scope of each instrument. The Ramsar Convention is limited to wetlands; its influence would not extend to forested areas or other biomes affected by threats such as cinnamon fungus or fox predation. In contrast, the FFGAA applies across all Victorian ecosystems, giving it a broader and more flexible reach.</w:t>
      </w:r>
      <w:r w:rsidRPr="001448D4">
        <w:rPr>
          <w:rStyle w:val="Emphasis"/>
        </w:rPr>
        <w:br/>
        <w:t>Overall, the FFGAA would likely be more effective at managing the Eastern Wilderness Walk because it directly addresses threatening processes already impacting the environment and provides statewide mechanisms to protect biodiversity. The Ramsar Convention is highly effective within wetlands but has more limited relevance outside those areas.</w:t>
      </w:r>
    </w:p>
    <w:p w14:paraId="0FDE4759" w14:textId="6320E776" w:rsidR="00563646" w:rsidRDefault="00563646" w:rsidP="00971A7E">
      <w:pPr>
        <w:pStyle w:val="Heading2"/>
      </w:pPr>
      <w:r>
        <w:t>Section B</w:t>
      </w:r>
    </w:p>
    <w:p w14:paraId="005C7A55" w14:textId="6E21559D" w:rsidR="00563646" w:rsidRDefault="00563646" w:rsidP="00971A7E">
      <w:pPr>
        <w:pStyle w:val="Heading3"/>
      </w:pPr>
      <w:r>
        <w:t>Question 1</w:t>
      </w:r>
    </w:p>
    <w:tbl>
      <w:tblPr>
        <w:tblStyle w:val="VCAATableClosed"/>
        <w:tblW w:w="5000" w:type="pct"/>
        <w:tblLook w:val="04A0" w:firstRow="1" w:lastRow="0" w:firstColumn="1" w:lastColumn="0" w:noHBand="0" w:noVBand="1"/>
      </w:tblPr>
      <w:tblGrid>
        <w:gridCol w:w="692"/>
        <w:gridCol w:w="472"/>
        <w:gridCol w:w="472"/>
        <w:gridCol w:w="472"/>
        <w:gridCol w:w="472"/>
        <w:gridCol w:w="472"/>
        <w:gridCol w:w="472"/>
        <w:gridCol w:w="466"/>
        <w:gridCol w:w="466"/>
        <w:gridCol w:w="466"/>
        <w:gridCol w:w="466"/>
        <w:gridCol w:w="468"/>
        <w:gridCol w:w="468"/>
        <w:gridCol w:w="610"/>
        <w:gridCol w:w="610"/>
        <w:gridCol w:w="610"/>
        <w:gridCol w:w="610"/>
        <w:gridCol w:w="865"/>
      </w:tblGrid>
      <w:tr w:rsidR="00E71430" w:rsidRPr="00141A4D" w14:paraId="793F21C9" w14:textId="77777777" w:rsidTr="00E71430">
        <w:trPr>
          <w:cnfStyle w:val="100000000000" w:firstRow="1" w:lastRow="0" w:firstColumn="0" w:lastColumn="0" w:oddVBand="0" w:evenVBand="0" w:oddHBand="0" w:evenHBand="0" w:firstRowFirstColumn="0" w:firstRowLastColumn="0" w:lastRowFirstColumn="0" w:lastRowLastColumn="0"/>
        </w:trPr>
        <w:tc>
          <w:tcPr>
            <w:tcW w:w="359" w:type="pct"/>
          </w:tcPr>
          <w:p w14:paraId="68649BDC" w14:textId="77777777" w:rsidR="00E71430" w:rsidRPr="00141A4D" w:rsidRDefault="00E71430" w:rsidP="00384DB7">
            <w:pPr>
              <w:pStyle w:val="Tablecondensedheading"/>
              <w:rPr>
                <w:lang w:val="en-AU"/>
              </w:rPr>
            </w:pPr>
            <w:r w:rsidRPr="00141A4D">
              <w:rPr>
                <w:lang w:val="en-AU"/>
              </w:rPr>
              <w:t>Mark</w:t>
            </w:r>
            <w:r>
              <w:rPr>
                <w:lang w:val="en-AU"/>
              </w:rPr>
              <w:t>s</w:t>
            </w:r>
          </w:p>
        </w:tc>
        <w:tc>
          <w:tcPr>
            <w:tcW w:w="245" w:type="pct"/>
          </w:tcPr>
          <w:p w14:paraId="76BC2734" w14:textId="77777777" w:rsidR="00E71430" w:rsidRPr="00141A4D" w:rsidRDefault="00E71430" w:rsidP="00384DB7">
            <w:pPr>
              <w:pStyle w:val="Tablecondensedheading"/>
              <w:rPr>
                <w:lang w:val="en-AU"/>
              </w:rPr>
            </w:pPr>
            <w:r w:rsidRPr="00141A4D">
              <w:rPr>
                <w:lang w:val="en-AU"/>
              </w:rPr>
              <w:t>0</w:t>
            </w:r>
          </w:p>
        </w:tc>
        <w:tc>
          <w:tcPr>
            <w:tcW w:w="245" w:type="pct"/>
          </w:tcPr>
          <w:p w14:paraId="2B38DF64" w14:textId="77777777" w:rsidR="00E71430" w:rsidRPr="00141A4D" w:rsidRDefault="00E71430" w:rsidP="00384DB7">
            <w:pPr>
              <w:pStyle w:val="Tablecondensedheading"/>
              <w:rPr>
                <w:lang w:val="en-AU"/>
              </w:rPr>
            </w:pPr>
            <w:r w:rsidRPr="00141A4D">
              <w:rPr>
                <w:lang w:val="en-AU"/>
              </w:rPr>
              <w:t>1</w:t>
            </w:r>
          </w:p>
        </w:tc>
        <w:tc>
          <w:tcPr>
            <w:tcW w:w="245" w:type="pct"/>
          </w:tcPr>
          <w:p w14:paraId="3FDECF94" w14:textId="77777777" w:rsidR="00E71430" w:rsidRPr="00141A4D" w:rsidRDefault="00E71430" w:rsidP="00384DB7">
            <w:pPr>
              <w:pStyle w:val="Tablecondensedheading"/>
              <w:rPr>
                <w:lang w:val="en-AU"/>
              </w:rPr>
            </w:pPr>
            <w:r w:rsidRPr="00141A4D">
              <w:rPr>
                <w:lang w:val="en-AU"/>
              </w:rPr>
              <w:t>2</w:t>
            </w:r>
          </w:p>
        </w:tc>
        <w:tc>
          <w:tcPr>
            <w:tcW w:w="245" w:type="pct"/>
          </w:tcPr>
          <w:p w14:paraId="61CE28D8" w14:textId="77777777" w:rsidR="00E71430" w:rsidRPr="00141A4D" w:rsidRDefault="00E71430" w:rsidP="00384DB7">
            <w:pPr>
              <w:pStyle w:val="Tablecondensedheading"/>
              <w:rPr>
                <w:lang w:val="en-AU"/>
              </w:rPr>
            </w:pPr>
            <w:r w:rsidRPr="00141A4D">
              <w:rPr>
                <w:lang w:val="en-AU"/>
              </w:rPr>
              <w:t>3</w:t>
            </w:r>
          </w:p>
        </w:tc>
        <w:tc>
          <w:tcPr>
            <w:tcW w:w="245" w:type="pct"/>
          </w:tcPr>
          <w:p w14:paraId="3D01DCA2" w14:textId="77777777" w:rsidR="00E71430" w:rsidRPr="00141A4D" w:rsidRDefault="00E71430" w:rsidP="00384DB7">
            <w:pPr>
              <w:pStyle w:val="Tablecondensedheading"/>
              <w:rPr>
                <w:lang w:val="en-AU"/>
              </w:rPr>
            </w:pPr>
            <w:r>
              <w:rPr>
                <w:lang w:val="en-AU"/>
              </w:rPr>
              <w:t>4</w:t>
            </w:r>
          </w:p>
        </w:tc>
        <w:tc>
          <w:tcPr>
            <w:tcW w:w="245" w:type="pct"/>
          </w:tcPr>
          <w:p w14:paraId="0B79F77D" w14:textId="77777777" w:rsidR="00E71430" w:rsidRPr="00141A4D" w:rsidRDefault="00E71430" w:rsidP="00384DB7">
            <w:pPr>
              <w:pStyle w:val="Tablecondensedheading"/>
              <w:rPr>
                <w:lang w:val="en-AU"/>
              </w:rPr>
            </w:pPr>
            <w:r>
              <w:rPr>
                <w:lang w:val="en-AU"/>
              </w:rPr>
              <w:t>5</w:t>
            </w:r>
          </w:p>
        </w:tc>
        <w:tc>
          <w:tcPr>
            <w:tcW w:w="242" w:type="pct"/>
          </w:tcPr>
          <w:p w14:paraId="58507273" w14:textId="5BB40CEF" w:rsidR="00E71430" w:rsidRPr="00141A4D" w:rsidRDefault="00E71430" w:rsidP="00384DB7">
            <w:pPr>
              <w:pStyle w:val="Tablecondensedheading"/>
              <w:rPr>
                <w:lang w:val="en-AU"/>
              </w:rPr>
            </w:pPr>
            <w:r>
              <w:rPr>
                <w:lang w:val="en-AU"/>
              </w:rPr>
              <w:t>6</w:t>
            </w:r>
          </w:p>
        </w:tc>
        <w:tc>
          <w:tcPr>
            <w:tcW w:w="242" w:type="pct"/>
          </w:tcPr>
          <w:p w14:paraId="21439054" w14:textId="37AC2F31" w:rsidR="00E71430" w:rsidRPr="00141A4D" w:rsidRDefault="00E71430" w:rsidP="00384DB7">
            <w:pPr>
              <w:pStyle w:val="Tablecondensedheading"/>
              <w:rPr>
                <w:lang w:val="en-AU"/>
              </w:rPr>
            </w:pPr>
            <w:r>
              <w:rPr>
                <w:lang w:val="en-AU"/>
              </w:rPr>
              <w:t>7</w:t>
            </w:r>
          </w:p>
        </w:tc>
        <w:tc>
          <w:tcPr>
            <w:tcW w:w="242" w:type="pct"/>
          </w:tcPr>
          <w:p w14:paraId="3804A53B" w14:textId="20446947" w:rsidR="00E71430" w:rsidRPr="00141A4D" w:rsidRDefault="00E71430" w:rsidP="00384DB7">
            <w:pPr>
              <w:pStyle w:val="Tablecondensedheading"/>
              <w:rPr>
                <w:lang w:val="en-AU"/>
              </w:rPr>
            </w:pPr>
            <w:r>
              <w:rPr>
                <w:lang w:val="en-AU"/>
              </w:rPr>
              <w:t>8</w:t>
            </w:r>
          </w:p>
        </w:tc>
        <w:tc>
          <w:tcPr>
            <w:tcW w:w="242" w:type="pct"/>
          </w:tcPr>
          <w:p w14:paraId="2543A38C" w14:textId="0CB7B756" w:rsidR="00E71430" w:rsidRPr="00141A4D" w:rsidRDefault="00E71430" w:rsidP="00384DB7">
            <w:pPr>
              <w:pStyle w:val="Tablecondensedheading"/>
              <w:rPr>
                <w:lang w:val="en-AU"/>
              </w:rPr>
            </w:pPr>
            <w:r>
              <w:rPr>
                <w:lang w:val="en-AU"/>
              </w:rPr>
              <w:t>9</w:t>
            </w:r>
          </w:p>
        </w:tc>
        <w:tc>
          <w:tcPr>
            <w:tcW w:w="243" w:type="pct"/>
          </w:tcPr>
          <w:p w14:paraId="2EE606E8" w14:textId="030EEB48" w:rsidR="00E71430" w:rsidRPr="00141A4D" w:rsidRDefault="00E71430" w:rsidP="00384DB7">
            <w:pPr>
              <w:pStyle w:val="Tablecondensedheading"/>
              <w:rPr>
                <w:lang w:val="en-AU"/>
              </w:rPr>
            </w:pPr>
            <w:r>
              <w:rPr>
                <w:lang w:val="en-AU"/>
              </w:rPr>
              <w:t>10</w:t>
            </w:r>
          </w:p>
        </w:tc>
        <w:tc>
          <w:tcPr>
            <w:tcW w:w="243" w:type="pct"/>
          </w:tcPr>
          <w:p w14:paraId="49A3ABFA" w14:textId="0AB0B76C" w:rsidR="00E71430" w:rsidRPr="00141A4D" w:rsidRDefault="00E71430" w:rsidP="00384DB7">
            <w:pPr>
              <w:pStyle w:val="Tablecondensedheading"/>
              <w:rPr>
                <w:lang w:val="en-AU"/>
              </w:rPr>
            </w:pPr>
            <w:r>
              <w:rPr>
                <w:lang w:val="en-AU"/>
              </w:rPr>
              <w:t>11</w:t>
            </w:r>
          </w:p>
        </w:tc>
        <w:tc>
          <w:tcPr>
            <w:tcW w:w="317" w:type="pct"/>
          </w:tcPr>
          <w:p w14:paraId="14831BC7" w14:textId="279C5388" w:rsidR="00E71430" w:rsidRPr="00141A4D" w:rsidRDefault="00E71430" w:rsidP="00384DB7">
            <w:pPr>
              <w:pStyle w:val="Tablecondensedheading"/>
              <w:rPr>
                <w:lang w:val="en-AU"/>
              </w:rPr>
            </w:pPr>
            <w:r>
              <w:rPr>
                <w:lang w:val="en-AU"/>
              </w:rPr>
              <w:t>12</w:t>
            </w:r>
          </w:p>
        </w:tc>
        <w:tc>
          <w:tcPr>
            <w:tcW w:w="317" w:type="pct"/>
          </w:tcPr>
          <w:p w14:paraId="04CD5260" w14:textId="39832B81" w:rsidR="00E71430" w:rsidRPr="00141A4D" w:rsidRDefault="00E71430" w:rsidP="00384DB7">
            <w:pPr>
              <w:pStyle w:val="Tablecondensedheading"/>
              <w:rPr>
                <w:lang w:val="en-AU"/>
              </w:rPr>
            </w:pPr>
            <w:r>
              <w:rPr>
                <w:lang w:val="en-AU"/>
              </w:rPr>
              <w:t>13</w:t>
            </w:r>
          </w:p>
        </w:tc>
        <w:tc>
          <w:tcPr>
            <w:tcW w:w="317" w:type="pct"/>
          </w:tcPr>
          <w:p w14:paraId="53DDDF60" w14:textId="6E1371FB" w:rsidR="00E71430" w:rsidRPr="00141A4D" w:rsidRDefault="00E71430" w:rsidP="00384DB7">
            <w:pPr>
              <w:pStyle w:val="Tablecondensedheading"/>
              <w:rPr>
                <w:lang w:val="en-AU"/>
              </w:rPr>
            </w:pPr>
            <w:r>
              <w:rPr>
                <w:lang w:val="en-AU"/>
              </w:rPr>
              <w:t>14</w:t>
            </w:r>
          </w:p>
        </w:tc>
        <w:tc>
          <w:tcPr>
            <w:tcW w:w="317" w:type="pct"/>
          </w:tcPr>
          <w:p w14:paraId="01CF500D" w14:textId="31802187" w:rsidR="00E71430" w:rsidRPr="00141A4D" w:rsidRDefault="00E71430" w:rsidP="00384DB7">
            <w:pPr>
              <w:pStyle w:val="Tablecondensedheading"/>
              <w:rPr>
                <w:lang w:val="en-AU"/>
              </w:rPr>
            </w:pPr>
            <w:r>
              <w:rPr>
                <w:lang w:val="en-AU"/>
              </w:rPr>
              <w:t>15</w:t>
            </w:r>
          </w:p>
        </w:tc>
        <w:tc>
          <w:tcPr>
            <w:tcW w:w="449" w:type="pct"/>
          </w:tcPr>
          <w:p w14:paraId="61183892" w14:textId="58C4E49C" w:rsidR="00E71430" w:rsidRPr="00141A4D" w:rsidRDefault="00E71430" w:rsidP="00384DB7">
            <w:pPr>
              <w:pStyle w:val="Tablecondensedheading"/>
              <w:rPr>
                <w:lang w:val="en-AU"/>
              </w:rPr>
            </w:pPr>
            <w:r w:rsidRPr="00141A4D">
              <w:rPr>
                <w:lang w:val="en-AU"/>
              </w:rPr>
              <w:t>Average</w:t>
            </w:r>
          </w:p>
        </w:tc>
      </w:tr>
      <w:tr w:rsidR="00E71430" w:rsidRPr="00141A4D" w14:paraId="1176C412" w14:textId="77777777" w:rsidTr="00E71430">
        <w:tc>
          <w:tcPr>
            <w:tcW w:w="359" w:type="pct"/>
          </w:tcPr>
          <w:p w14:paraId="060019AE" w14:textId="77777777" w:rsidR="00E71430" w:rsidRPr="00141A4D" w:rsidRDefault="00E71430" w:rsidP="00384DB7">
            <w:pPr>
              <w:pStyle w:val="Tablecondensed"/>
              <w:rPr>
                <w:lang w:val="en-AU"/>
              </w:rPr>
            </w:pPr>
            <w:r w:rsidRPr="00141A4D">
              <w:rPr>
                <w:lang w:val="en-AU"/>
              </w:rPr>
              <w:t>%</w:t>
            </w:r>
          </w:p>
        </w:tc>
        <w:tc>
          <w:tcPr>
            <w:tcW w:w="245" w:type="pct"/>
            <w:vAlign w:val="bottom"/>
          </w:tcPr>
          <w:p w14:paraId="4CE5CCDA" w14:textId="0F3193FA" w:rsidR="00E71430" w:rsidRPr="00141A4D" w:rsidRDefault="00E71430" w:rsidP="00384DB7">
            <w:pPr>
              <w:pStyle w:val="Tablecondensed"/>
              <w:rPr>
                <w:lang w:val="en-AU"/>
              </w:rPr>
            </w:pPr>
            <w:r>
              <w:rPr>
                <w:lang w:val="en-AU"/>
              </w:rPr>
              <w:t>7</w:t>
            </w:r>
          </w:p>
        </w:tc>
        <w:tc>
          <w:tcPr>
            <w:tcW w:w="245" w:type="pct"/>
            <w:vAlign w:val="bottom"/>
          </w:tcPr>
          <w:p w14:paraId="26F09A38" w14:textId="6A43C257" w:rsidR="00E71430" w:rsidRPr="00141A4D" w:rsidRDefault="00736288" w:rsidP="00384DB7">
            <w:pPr>
              <w:pStyle w:val="Tablecondensed"/>
              <w:rPr>
                <w:lang w:val="en-AU"/>
              </w:rPr>
            </w:pPr>
            <w:r>
              <w:rPr>
                <w:lang w:val="en-AU"/>
              </w:rPr>
              <w:t>1</w:t>
            </w:r>
          </w:p>
        </w:tc>
        <w:tc>
          <w:tcPr>
            <w:tcW w:w="245" w:type="pct"/>
            <w:vAlign w:val="bottom"/>
          </w:tcPr>
          <w:p w14:paraId="775913B5" w14:textId="0BBCD932" w:rsidR="00E71430" w:rsidRPr="00141A4D" w:rsidRDefault="00736288" w:rsidP="00384DB7">
            <w:pPr>
              <w:pStyle w:val="Tablecondensed"/>
              <w:rPr>
                <w:lang w:val="en-AU"/>
              </w:rPr>
            </w:pPr>
            <w:r>
              <w:rPr>
                <w:lang w:val="en-AU"/>
              </w:rPr>
              <w:t>3</w:t>
            </w:r>
          </w:p>
        </w:tc>
        <w:tc>
          <w:tcPr>
            <w:tcW w:w="245" w:type="pct"/>
            <w:vAlign w:val="bottom"/>
          </w:tcPr>
          <w:p w14:paraId="2F55FDE4" w14:textId="6A3A3BA9" w:rsidR="00E71430" w:rsidRPr="00141A4D" w:rsidRDefault="00736288" w:rsidP="00384DB7">
            <w:pPr>
              <w:pStyle w:val="Tablecondensed"/>
              <w:rPr>
                <w:lang w:val="en-AU"/>
              </w:rPr>
            </w:pPr>
            <w:r>
              <w:rPr>
                <w:lang w:val="en-AU"/>
              </w:rPr>
              <w:t>4</w:t>
            </w:r>
          </w:p>
        </w:tc>
        <w:tc>
          <w:tcPr>
            <w:tcW w:w="245" w:type="pct"/>
          </w:tcPr>
          <w:p w14:paraId="10F9E654" w14:textId="332FC5A1" w:rsidR="00E71430" w:rsidRDefault="00F600B3" w:rsidP="00384DB7">
            <w:pPr>
              <w:pStyle w:val="Tablecondensed"/>
              <w:rPr>
                <w:lang w:val="en-AU"/>
              </w:rPr>
            </w:pPr>
            <w:r>
              <w:rPr>
                <w:lang w:val="en-AU"/>
              </w:rPr>
              <w:t>6</w:t>
            </w:r>
          </w:p>
        </w:tc>
        <w:tc>
          <w:tcPr>
            <w:tcW w:w="245" w:type="pct"/>
          </w:tcPr>
          <w:p w14:paraId="5E05D777" w14:textId="4E359550" w:rsidR="00E71430" w:rsidRDefault="00736288" w:rsidP="00384DB7">
            <w:pPr>
              <w:pStyle w:val="Tablecondensed"/>
              <w:rPr>
                <w:lang w:val="en-AU"/>
              </w:rPr>
            </w:pPr>
            <w:r>
              <w:rPr>
                <w:lang w:val="en-AU"/>
              </w:rPr>
              <w:t>7</w:t>
            </w:r>
          </w:p>
        </w:tc>
        <w:tc>
          <w:tcPr>
            <w:tcW w:w="242" w:type="pct"/>
          </w:tcPr>
          <w:p w14:paraId="2F44411F" w14:textId="4ABD803D" w:rsidR="00E71430" w:rsidRDefault="00F600B3" w:rsidP="00384DB7">
            <w:pPr>
              <w:pStyle w:val="Tablecondensed"/>
              <w:rPr>
                <w:lang w:val="en-AU"/>
              </w:rPr>
            </w:pPr>
            <w:r>
              <w:rPr>
                <w:lang w:val="en-AU"/>
              </w:rPr>
              <w:t>10</w:t>
            </w:r>
          </w:p>
        </w:tc>
        <w:tc>
          <w:tcPr>
            <w:tcW w:w="242" w:type="pct"/>
          </w:tcPr>
          <w:p w14:paraId="68830937" w14:textId="1526135B" w:rsidR="00E71430" w:rsidRDefault="00736288" w:rsidP="00384DB7">
            <w:pPr>
              <w:pStyle w:val="Tablecondensed"/>
              <w:rPr>
                <w:lang w:val="en-AU"/>
              </w:rPr>
            </w:pPr>
            <w:r>
              <w:rPr>
                <w:lang w:val="en-AU"/>
              </w:rPr>
              <w:t>10</w:t>
            </w:r>
          </w:p>
        </w:tc>
        <w:tc>
          <w:tcPr>
            <w:tcW w:w="242" w:type="pct"/>
          </w:tcPr>
          <w:p w14:paraId="060583B6" w14:textId="62ED7A53" w:rsidR="00E71430" w:rsidRDefault="00F600B3" w:rsidP="00384DB7">
            <w:pPr>
              <w:pStyle w:val="Tablecondensed"/>
              <w:rPr>
                <w:lang w:val="en-AU"/>
              </w:rPr>
            </w:pPr>
            <w:r>
              <w:rPr>
                <w:lang w:val="en-AU"/>
              </w:rPr>
              <w:t>10</w:t>
            </w:r>
          </w:p>
        </w:tc>
        <w:tc>
          <w:tcPr>
            <w:tcW w:w="242" w:type="pct"/>
          </w:tcPr>
          <w:p w14:paraId="1C9A92D8" w14:textId="71389632" w:rsidR="00E71430" w:rsidRDefault="00736288" w:rsidP="00384DB7">
            <w:pPr>
              <w:pStyle w:val="Tablecondensed"/>
              <w:rPr>
                <w:lang w:val="en-AU"/>
              </w:rPr>
            </w:pPr>
            <w:r>
              <w:rPr>
                <w:lang w:val="en-AU"/>
              </w:rPr>
              <w:t>10</w:t>
            </w:r>
          </w:p>
        </w:tc>
        <w:tc>
          <w:tcPr>
            <w:tcW w:w="243" w:type="pct"/>
          </w:tcPr>
          <w:p w14:paraId="71002502" w14:textId="4B7ABE02" w:rsidR="00E71430" w:rsidRDefault="00F600B3" w:rsidP="00384DB7">
            <w:pPr>
              <w:pStyle w:val="Tablecondensed"/>
              <w:rPr>
                <w:lang w:val="en-AU"/>
              </w:rPr>
            </w:pPr>
            <w:r>
              <w:rPr>
                <w:lang w:val="en-AU"/>
              </w:rPr>
              <w:t>9</w:t>
            </w:r>
          </w:p>
        </w:tc>
        <w:tc>
          <w:tcPr>
            <w:tcW w:w="243" w:type="pct"/>
          </w:tcPr>
          <w:p w14:paraId="2D98B4F0" w14:textId="3ED8363B" w:rsidR="00E71430" w:rsidRDefault="00F600B3" w:rsidP="00384DB7">
            <w:pPr>
              <w:pStyle w:val="Tablecondensed"/>
              <w:rPr>
                <w:lang w:val="en-AU"/>
              </w:rPr>
            </w:pPr>
            <w:r>
              <w:rPr>
                <w:lang w:val="en-AU"/>
              </w:rPr>
              <w:t>7</w:t>
            </w:r>
          </w:p>
        </w:tc>
        <w:tc>
          <w:tcPr>
            <w:tcW w:w="317" w:type="pct"/>
          </w:tcPr>
          <w:p w14:paraId="4816DAB9" w14:textId="07A557AB" w:rsidR="00E71430" w:rsidRDefault="00F600B3" w:rsidP="00384DB7">
            <w:pPr>
              <w:pStyle w:val="Tablecondensed"/>
              <w:rPr>
                <w:lang w:val="en-AU"/>
              </w:rPr>
            </w:pPr>
            <w:r>
              <w:rPr>
                <w:lang w:val="en-AU"/>
              </w:rPr>
              <w:t>7</w:t>
            </w:r>
          </w:p>
        </w:tc>
        <w:tc>
          <w:tcPr>
            <w:tcW w:w="317" w:type="pct"/>
          </w:tcPr>
          <w:p w14:paraId="2FD1D55F" w14:textId="6D20F39D" w:rsidR="00E71430" w:rsidRDefault="00F600B3" w:rsidP="00384DB7">
            <w:pPr>
              <w:pStyle w:val="Tablecondensed"/>
              <w:rPr>
                <w:lang w:val="en-AU"/>
              </w:rPr>
            </w:pPr>
            <w:r>
              <w:rPr>
                <w:lang w:val="en-AU"/>
              </w:rPr>
              <w:t>5</w:t>
            </w:r>
          </w:p>
        </w:tc>
        <w:tc>
          <w:tcPr>
            <w:tcW w:w="317" w:type="pct"/>
          </w:tcPr>
          <w:p w14:paraId="1FF376D4" w14:textId="40287B79" w:rsidR="00E71430" w:rsidRDefault="00736288" w:rsidP="00384DB7">
            <w:pPr>
              <w:pStyle w:val="Tablecondensed"/>
              <w:rPr>
                <w:lang w:val="en-AU"/>
              </w:rPr>
            </w:pPr>
            <w:r>
              <w:rPr>
                <w:lang w:val="en-AU"/>
              </w:rPr>
              <w:t>3</w:t>
            </w:r>
          </w:p>
        </w:tc>
        <w:tc>
          <w:tcPr>
            <w:tcW w:w="317" w:type="pct"/>
          </w:tcPr>
          <w:p w14:paraId="5A226A45" w14:textId="242ECC97" w:rsidR="00E71430" w:rsidRDefault="00F600B3" w:rsidP="00384DB7">
            <w:pPr>
              <w:pStyle w:val="Tablecondensed"/>
              <w:rPr>
                <w:lang w:val="en-AU"/>
              </w:rPr>
            </w:pPr>
            <w:r>
              <w:rPr>
                <w:lang w:val="en-AU"/>
              </w:rPr>
              <w:t>3</w:t>
            </w:r>
          </w:p>
        </w:tc>
        <w:tc>
          <w:tcPr>
            <w:tcW w:w="449" w:type="pct"/>
          </w:tcPr>
          <w:p w14:paraId="2127DDDA" w14:textId="326B8EC1" w:rsidR="00E71430" w:rsidRPr="00141A4D" w:rsidRDefault="00736288" w:rsidP="00384DB7">
            <w:pPr>
              <w:pStyle w:val="Tablecondensed"/>
              <w:rPr>
                <w:lang w:val="en-AU"/>
              </w:rPr>
            </w:pPr>
            <w:r>
              <w:rPr>
                <w:lang w:val="en-AU"/>
              </w:rPr>
              <w:t>7.</w:t>
            </w:r>
            <w:r w:rsidR="00F600B3">
              <w:rPr>
                <w:lang w:val="en-AU"/>
              </w:rPr>
              <w:t>6</w:t>
            </w:r>
          </w:p>
        </w:tc>
      </w:tr>
    </w:tbl>
    <w:p w14:paraId="3A08B48B" w14:textId="1A357039" w:rsidR="007C6DC2" w:rsidRPr="0006388A" w:rsidRDefault="007C6DC2" w:rsidP="0006388A">
      <w:pPr>
        <w:pStyle w:val="Heading4"/>
      </w:pPr>
      <w:r w:rsidRPr="0006388A">
        <w:t xml:space="preserve">Extended </w:t>
      </w:r>
      <w:r w:rsidR="00C351D4" w:rsidRPr="0006388A">
        <w:t xml:space="preserve">response commentary </w:t>
      </w:r>
      <w:r w:rsidR="00C351D4">
        <w:t>–</w:t>
      </w:r>
      <w:r w:rsidR="00C351D4" w:rsidRPr="0006388A">
        <w:t xml:space="preserve"> </w:t>
      </w:r>
      <w:r w:rsidRPr="0006388A">
        <w:t xml:space="preserve">Question 1 </w:t>
      </w:r>
    </w:p>
    <w:p w14:paraId="3D8A79F2" w14:textId="0F167404" w:rsidR="007C6DC2" w:rsidRPr="007C6DC2" w:rsidRDefault="007C6DC2" w:rsidP="00971A7E">
      <w:pPr>
        <w:pStyle w:val="BodyText"/>
      </w:pPr>
      <w:r w:rsidRPr="007C6DC2">
        <w:t xml:space="preserve">This question required students to discuss how Australians have participated in outdoor recreation during the </w:t>
      </w:r>
      <w:r w:rsidR="0014501C">
        <w:t>P</w:t>
      </w:r>
      <w:r w:rsidR="0014501C" w:rsidRPr="007C6DC2">
        <w:t>ost</w:t>
      </w:r>
      <w:r w:rsidRPr="007C6DC2">
        <w:t xml:space="preserve">-Federation period and in the last decade, explain how recreation supports individual physical and emotional wellbeing, analyse how changes in recreational activities have </w:t>
      </w:r>
      <w:r w:rsidR="006025D8">
        <w:t>had an impact on</w:t>
      </w:r>
      <w:r w:rsidR="006025D8" w:rsidRPr="007C6DC2">
        <w:t xml:space="preserve"> </w:t>
      </w:r>
      <w:r w:rsidRPr="007C6DC2">
        <w:t>outdoor environments, and use primary and secondary data from at least two outdoor environments.</w:t>
      </w:r>
    </w:p>
    <w:p w14:paraId="4763A9BB" w14:textId="6B6D7B6B" w:rsidR="007C6DC2" w:rsidRPr="007C6DC2" w:rsidRDefault="00E44F64" w:rsidP="00971A7E">
      <w:pPr>
        <w:pStyle w:val="BodyText"/>
      </w:pPr>
      <w:r>
        <w:t>To achieve a high score,</w:t>
      </w:r>
      <w:r w:rsidR="007C6DC2" w:rsidRPr="007C6DC2">
        <w:t xml:space="preserve"> </w:t>
      </w:r>
      <w:r>
        <w:t>students needed to</w:t>
      </w:r>
      <w:r w:rsidR="007C6DC2" w:rsidRPr="007C6DC2">
        <w:t xml:space="preserve"> demonstrate </w:t>
      </w:r>
      <w:r>
        <w:t xml:space="preserve">a </w:t>
      </w:r>
      <w:r w:rsidR="007C6DC2" w:rsidRPr="007C6DC2">
        <w:t xml:space="preserve">clear knowledge of historical shifts in recreation since the </w:t>
      </w:r>
      <w:r w:rsidR="0014501C">
        <w:t>P</w:t>
      </w:r>
      <w:r w:rsidR="0014501C" w:rsidRPr="007C6DC2">
        <w:t>ost</w:t>
      </w:r>
      <w:r w:rsidR="0033251B" w:rsidRPr="007C6DC2">
        <w:t>-</w:t>
      </w:r>
      <w:r w:rsidR="00CF0B99">
        <w:t>F</w:t>
      </w:r>
      <w:r w:rsidR="00CF0B99" w:rsidRPr="007C6DC2">
        <w:t xml:space="preserve">ederation </w:t>
      </w:r>
      <w:r w:rsidR="007C6DC2" w:rsidRPr="007C6DC2">
        <w:t xml:space="preserve">period and accurately link these shifts to contemporary recreation patterns. </w:t>
      </w:r>
      <w:r>
        <w:t xml:space="preserve">Students were required to </w:t>
      </w:r>
      <w:r w:rsidR="007C6DC2" w:rsidRPr="007C6DC2">
        <w:t>explain wellbeing benefits with relevant examples and use appropriate terminology to discuss how participation supports physical and emotional health.</w:t>
      </w:r>
      <w:r w:rsidR="009C40F5">
        <w:t xml:space="preserve"> </w:t>
      </w:r>
      <w:r>
        <w:t>Responses needed to be</w:t>
      </w:r>
      <w:r w:rsidR="007C6DC2" w:rsidRPr="007C6DC2">
        <w:t xml:space="preserve"> well structured, use specific detail rather than general statements, and demonstrate a clear understanding of both historical and contemporary recreational contexts.</w:t>
      </w:r>
    </w:p>
    <w:p w14:paraId="7088215B" w14:textId="7643EF45" w:rsidR="00831735" w:rsidRPr="00971A7E" w:rsidRDefault="00831735" w:rsidP="00971A7E">
      <w:pPr>
        <w:pStyle w:val="BodyText"/>
      </w:pPr>
      <w:r>
        <w:t>Higher-</w:t>
      </w:r>
      <w:r w:rsidRPr="00410AA4">
        <w:t xml:space="preserve">scoring responses: </w:t>
      </w:r>
    </w:p>
    <w:p w14:paraId="4651163B" w14:textId="62249A07" w:rsidR="007C6DC2" w:rsidRPr="007C6DC2" w:rsidRDefault="007C6DC2" w:rsidP="00971A7E">
      <w:pPr>
        <w:pStyle w:val="Bullet"/>
      </w:pPr>
      <w:r w:rsidRPr="007C6DC2">
        <w:t>showed a sound understanding of participation changes over time</w:t>
      </w:r>
      <w:r w:rsidR="00062020">
        <w:t xml:space="preserve">, although many students only provided limited examples of recreation activities during </w:t>
      </w:r>
      <w:r w:rsidR="006025D8">
        <w:t>P</w:t>
      </w:r>
      <w:r w:rsidR="00CF0B99">
        <w:t>ost-</w:t>
      </w:r>
      <w:r w:rsidR="00062020">
        <w:t>Federation</w:t>
      </w:r>
    </w:p>
    <w:p w14:paraId="2FCEADA0" w14:textId="353ECD46" w:rsidR="007C6DC2" w:rsidRPr="007C6DC2" w:rsidRDefault="00831735" w:rsidP="00971A7E">
      <w:pPr>
        <w:pStyle w:val="Bullet"/>
      </w:pPr>
      <w:r>
        <w:t>clearly explained w</w:t>
      </w:r>
      <w:r w:rsidRPr="007C6DC2">
        <w:t xml:space="preserve">ellbeing </w:t>
      </w:r>
      <w:r w:rsidR="007C6DC2" w:rsidRPr="007C6DC2">
        <w:t>benefits with relevant examples</w:t>
      </w:r>
    </w:p>
    <w:p w14:paraId="26E7A4F3" w14:textId="06B9890A" w:rsidR="007C6DC2" w:rsidRPr="007C6DC2" w:rsidRDefault="00831735" w:rsidP="00971A7E">
      <w:pPr>
        <w:pStyle w:val="Bullet"/>
      </w:pPr>
      <w:r>
        <w:t>used p</w:t>
      </w:r>
      <w:r w:rsidRPr="007C6DC2">
        <w:t xml:space="preserve">rimary </w:t>
      </w:r>
      <w:r w:rsidR="007C6DC2" w:rsidRPr="007C6DC2">
        <w:t>data effectively to describe environmental impacts.</w:t>
      </w:r>
    </w:p>
    <w:p w14:paraId="797F65F6" w14:textId="00DFBB67" w:rsidR="00917903" w:rsidRPr="007C6DC2" w:rsidRDefault="00917903" w:rsidP="00971A7E">
      <w:pPr>
        <w:pStyle w:val="BodyText"/>
      </w:pPr>
      <w:r>
        <w:t>Lower-</w:t>
      </w:r>
      <w:r w:rsidRPr="00410AA4">
        <w:t xml:space="preserve">scoring responses: </w:t>
      </w:r>
    </w:p>
    <w:p w14:paraId="796F1526" w14:textId="55339E33" w:rsidR="0033251B" w:rsidRPr="00971A7E" w:rsidRDefault="00C351D4" w:rsidP="00971A7E">
      <w:pPr>
        <w:pStyle w:val="Bullet"/>
      </w:pPr>
      <w:r>
        <w:t>d</w:t>
      </w:r>
      <w:r w:rsidRPr="00971A7E">
        <w:t>escrib</w:t>
      </w:r>
      <w:r w:rsidR="00917903">
        <w:t>ed</w:t>
      </w:r>
      <w:r w:rsidRPr="00971A7E">
        <w:t xml:space="preserve"> </w:t>
      </w:r>
      <w:r w:rsidR="0033251B" w:rsidRPr="00971A7E">
        <w:t xml:space="preserve">recreation activities in this </w:t>
      </w:r>
      <w:r w:rsidR="00BA1F62">
        <w:t>p</w:t>
      </w:r>
      <w:r w:rsidR="00BA1F62" w:rsidRPr="00971A7E">
        <w:t xml:space="preserve">ast </w:t>
      </w:r>
      <w:r w:rsidR="0033251B" w:rsidRPr="00971A7E">
        <w:t>decade only</w:t>
      </w:r>
    </w:p>
    <w:p w14:paraId="1735E0DF" w14:textId="460EE706" w:rsidR="007C6DC2" w:rsidRPr="00971A7E" w:rsidRDefault="00C351D4" w:rsidP="00971A7E">
      <w:pPr>
        <w:pStyle w:val="Bullet"/>
      </w:pPr>
      <w:r>
        <w:t>r</w:t>
      </w:r>
      <w:r w:rsidRPr="00971A7E">
        <w:t>eferenc</w:t>
      </w:r>
      <w:r w:rsidR="00917903">
        <w:t>ed</w:t>
      </w:r>
      <w:r w:rsidRPr="00971A7E">
        <w:t xml:space="preserve"> </w:t>
      </w:r>
      <w:r w:rsidR="007C6DC2" w:rsidRPr="00971A7E">
        <w:t>only one outdoor environment, limiting marks in Criterion 3</w:t>
      </w:r>
    </w:p>
    <w:p w14:paraId="090082B0" w14:textId="7C59E9D3" w:rsidR="007C6DC2" w:rsidRPr="00971A7E" w:rsidRDefault="00C351D4" w:rsidP="00971A7E">
      <w:pPr>
        <w:pStyle w:val="Bullet"/>
      </w:pPr>
      <w:r>
        <w:t>p</w:t>
      </w:r>
      <w:r w:rsidRPr="00971A7E">
        <w:t>rovid</w:t>
      </w:r>
      <w:r w:rsidR="00917903">
        <w:t>ed</w:t>
      </w:r>
      <w:r w:rsidRPr="00971A7E">
        <w:t xml:space="preserve"> </w:t>
      </w:r>
      <w:r w:rsidR="007C6DC2" w:rsidRPr="00971A7E">
        <w:t>general environmental impacts without linking them to changes in recreation</w:t>
      </w:r>
      <w:r w:rsidR="0033251B" w:rsidRPr="00971A7E">
        <w:t xml:space="preserve"> </w:t>
      </w:r>
      <w:r w:rsidR="008662C8">
        <w:t xml:space="preserve">that are </w:t>
      </w:r>
      <w:r w:rsidR="0033251B" w:rsidRPr="00971A7E">
        <w:t>explicitly linked to two outdoor environments</w:t>
      </w:r>
    </w:p>
    <w:p w14:paraId="3BB9E779" w14:textId="3135D66F" w:rsidR="007C6DC2" w:rsidRPr="00971A7E" w:rsidRDefault="00C351D4" w:rsidP="00971A7E">
      <w:pPr>
        <w:pStyle w:val="Bullet"/>
      </w:pPr>
      <w:r>
        <w:t>p</w:t>
      </w:r>
      <w:r w:rsidRPr="00971A7E">
        <w:t>rovid</w:t>
      </w:r>
      <w:r w:rsidR="00917903">
        <w:t>ed</w:t>
      </w:r>
      <w:r w:rsidRPr="00971A7E">
        <w:t xml:space="preserve"> </w:t>
      </w:r>
      <w:r w:rsidR="007C6DC2" w:rsidRPr="00971A7E">
        <w:t xml:space="preserve">vague or historically inaccurate descriptions of the </w:t>
      </w:r>
      <w:r w:rsidR="006025D8">
        <w:t>P</w:t>
      </w:r>
      <w:r w:rsidR="00CF0B99" w:rsidRPr="00971A7E">
        <w:t>ost</w:t>
      </w:r>
      <w:r w:rsidR="007C6DC2" w:rsidRPr="00971A7E">
        <w:t>-Federation period.</w:t>
      </w:r>
    </w:p>
    <w:p w14:paraId="53BECA7D" w14:textId="02205F06" w:rsidR="007C6DC2" w:rsidRPr="007C6DC2" w:rsidRDefault="00917903" w:rsidP="00F12442">
      <w:pPr>
        <w:pStyle w:val="BodyText"/>
      </w:pPr>
      <w:r>
        <w:t xml:space="preserve">To improve marks, students should </w:t>
      </w:r>
      <w:r w:rsidR="00C351D4">
        <w:t>r</w:t>
      </w:r>
      <w:r w:rsidR="00C351D4" w:rsidRPr="007C6DC2">
        <w:t xml:space="preserve">efer </w:t>
      </w:r>
      <w:r w:rsidR="007C6DC2" w:rsidRPr="007C6DC2">
        <w:t>to two outdoor environments to access full marks for evidence</w:t>
      </w:r>
      <w:r>
        <w:t xml:space="preserve">; </w:t>
      </w:r>
      <w:r w:rsidR="00C351D4">
        <w:t>m</w:t>
      </w:r>
      <w:r w:rsidR="00C351D4" w:rsidRPr="007C6DC2">
        <w:t xml:space="preserve">ove </w:t>
      </w:r>
      <w:r w:rsidR="007C6DC2" w:rsidRPr="007C6DC2">
        <w:t>beyond description to discussion and analysis, particularly when linking recreation changes to environmental impacts</w:t>
      </w:r>
      <w:r>
        <w:t xml:space="preserve">; and </w:t>
      </w:r>
      <w:r w:rsidR="00C351D4">
        <w:t>e</w:t>
      </w:r>
      <w:r w:rsidR="00C351D4" w:rsidRPr="007C6DC2">
        <w:t xml:space="preserve">nsure </w:t>
      </w:r>
      <w:r>
        <w:t xml:space="preserve">that </w:t>
      </w:r>
      <w:r w:rsidR="007C6DC2" w:rsidRPr="007C6DC2">
        <w:t>historical references to the Post-Federation period are accurate and relevant.</w:t>
      </w:r>
    </w:p>
    <w:p w14:paraId="6E3C126F" w14:textId="4B2A72D0" w:rsidR="00012E2F" w:rsidRPr="00971A7E" w:rsidRDefault="00C119A2" w:rsidP="00F12442">
      <w:pPr>
        <w:pStyle w:val="BodyText"/>
      </w:pPr>
      <w:r>
        <w:t>S</w:t>
      </w:r>
      <w:r w:rsidR="007C6DC2" w:rsidRPr="00971A7E">
        <w:t xml:space="preserve">tudents </w:t>
      </w:r>
      <w:r>
        <w:t>could</w:t>
      </w:r>
      <w:r w:rsidRPr="00971A7E">
        <w:t xml:space="preserve"> </w:t>
      </w:r>
      <w:r w:rsidR="007C6DC2" w:rsidRPr="00971A7E">
        <w:t>practise extended responses using multiple environments and data types</w:t>
      </w:r>
      <w:r w:rsidR="00917903">
        <w:t xml:space="preserve">, and </w:t>
      </w:r>
      <w:r w:rsidR="00C351D4">
        <w:t>e</w:t>
      </w:r>
      <w:r w:rsidR="00C351D4" w:rsidRPr="00971A7E">
        <w:t xml:space="preserve">nsure </w:t>
      </w:r>
      <w:r w:rsidR="008662C8">
        <w:t xml:space="preserve">that </w:t>
      </w:r>
      <w:r>
        <w:t>they</w:t>
      </w:r>
      <w:r w:rsidRPr="00971A7E">
        <w:t xml:space="preserve"> </w:t>
      </w:r>
      <w:r w:rsidR="0033251B" w:rsidRPr="00971A7E">
        <w:t xml:space="preserve">understand </w:t>
      </w:r>
      <w:r w:rsidR="00917903">
        <w:t xml:space="preserve">the </w:t>
      </w:r>
      <w:r w:rsidR="0033251B" w:rsidRPr="00971A7E">
        <w:t>different time periods</w:t>
      </w:r>
      <w:r w:rsidR="00D51A81">
        <w:t xml:space="preserve"> within the study design</w:t>
      </w:r>
      <w:r w:rsidR="00B61323">
        <w:t>,</w:t>
      </w:r>
      <w:r w:rsidR="0033251B" w:rsidRPr="00971A7E">
        <w:t xml:space="preserve"> including in this past decade</w:t>
      </w:r>
      <w:r w:rsidR="00D51A81">
        <w:t>,</w:t>
      </w:r>
      <w:r w:rsidR="0033251B" w:rsidRPr="00971A7E">
        <w:t xml:space="preserve"> </w:t>
      </w:r>
      <w:r w:rsidR="00B61323">
        <w:t>through the use of</w:t>
      </w:r>
      <w:r w:rsidR="00B61323" w:rsidRPr="00971A7E">
        <w:t xml:space="preserve"> </w:t>
      </w:r>
      <w:r w:rsidR="0033251B" w:rsidRPr="00971A7E">
        <w:t>relevant examples</w:t>
      </w:r>
      <w:r w:rsidR="00C351D4">
        <w:t>.</w:t>
      </w:r>
    </w:p>
    <w:p w14:paraId="4A5232A0" w14:textId="6E23C25F" w:rsidR="00563646" w:rsidRPr="00971A7E" w:rsidRDefault="00ED335F" w:rsidP="00971A7E">
      <w:pPr>
        <w:pStyle w:val="BodyText"/>
        <w:rPr>
          <w:rStyle w:val="EmphasisBold"/>
          <w:b w:val="0"/>
        </w:rPr>
      </w:pPr>
      <w:r w:rsidRPr="00971A7E">
        <w:lastRenderedPageBreak/>
        <w:t xml:space="preserve">Note that the requirements of data </w:t>
      </w:r>
      <w:r w:rsidR="00D74A73" w:rsidRPr="00971A7E">
        <w:t>in th</w:t>
      </w:r>
      <w:r w:rsidR="00917903">
        <w:t>is</w:t>
      </w:r>
      <w:r w:rsidR="00D74A73" w:rsidRPr="00971A7E">
        <w:t xml:space="preserve"> question </w:t>
      </w:r>
      <w:r w:rsidR="00917903">
        <w:t>did</w:t>
      </w:r>
      <w:r w:rsidR="00917903" w:rsidRPr="00971A7E">
        <w:t xml:space="preserve"> </w:t>
      </w:r>
      <w:r w:rsidR="00D74A73" w:rsidRPr="00971A7E">
        <w:t>not</w:t>
      </w:r>
      <w:r w:rsidRPr="00971A7E">
        <w:t xml:space="preserve"> expect</w:t>
      </w:r>
      <w:r w:rsidR="00D74A73" w:rsidRPr="00971A7E">
        <w:t xml:space="preserve"> students</w:t>
      </w:r>
      <w:r w:rsidRPr="00971A7E">
        <w:t xml:space="preserve"> to</w:t>
      </w:r>
      <w:r w:rsidR="00D74A73" w:rsidRPr="00971A7E">
        <w:t xml:space="preserve"> have</w:t>
      </w:r>
      <w:r w:rsidRPr="00971A7E">
        <w:t xml:space="preserve"> rote</w:t>
      </w:r>
      <w:r w:rsidR="00917903">
        <w:t>-</w:t>
      </w:r>
      <w:r w:rsidRPr="00971A7E">
        <w:t>learn</w:t>
      </w:r>
      <w:r w:rsidR="00D74A73" w:rsidRPr="00971A7E">
        <w:t>ed</w:t>
      </w:r>
      <w:r w:rsidRPr="00971A7E">
        <w:t xml:space="preserve"> </w:t>
      </w:r>
      <w:r w:rsidR="00917903">
        <w:t xml:space="preserve">the </w:t>
      </w:r>
      <w:r w:rsidRPr="00971A7E">
        <w:t>data collected</w:t>
      </w:r>
      <w:r w:rsidR="00D74A73" w:rsidRPr="00971A7E">
        <w:t>. H</w:t>
      </w:r>
      <w:r w:rsidRPr="00971A7E">
        <w:t>owever, the logbook remains a required and valuable learning tool</w:t>
      </w:r>
      <w:r w:rsidR="00917903">
        <w:t>,</w:t>
      </w:r>
      <w:r w:rsidRPr="00971A7E">
        <w:t xml:space="preserve"> whereby entries such as observations and images</w:t>
      </w:r>
      <w:r w:rsidR="00D74A73" w:rsidRPr="00971A7E">
        <w:t xml:space="preserve"> can</w:t>
      </w:r>
      <w:r w:rsidRPr="00971A7E">
        <w:t xml:space="preserve"> </w:t>
      </w:r>
      <w:r w:rsidR="00D74A73" w:rsidRPr="00971A7E">
        <w:t xml:space="preserve">help create a strong connection to, and recollection of, outdoor environments and assist in providing the detail required. The fourth and fifth paragraphs of the </w:t>
      </w:r>
      <w:r w:rsidR="00917903">
        <w:t xml:space="preserve">student </w:t>
      </w:r>
      <w:r w:rsidR="00D74A73" w:rsidRPr="00971A7E">
        <w:t xml:space="preserve">response below provide a good example of the expectations </w:t>
      </w:r>
      <w:r w:rsidR="000243C0">
        <w:t>around</w:t>
      </w:r>
      <w:r w:rsidR="000243C0" w:rsidRPr="00971A7E">
        <w:t xml:space="preserve"> </w:t>
      </w:r>
      <w:r w:rsidR="00D74A73" w:rsidRPr="00971A7E">
        <w:t>using data and referencing outdoor environments.</w:t>
      </w:r>
    </w:p>
    <w:p w14:paraId="6715010D" w14:textId="48727978" w:rsidR="00CF2421" w:rsidRPr="00971A7E" w:rsidRDefault="00CF2421" w:rsidP="00971A7E">
      <w:pPr>
        <w:pStyle w:val="BodyText"/>
      </w:pPr>
      <w:r>
        <w:t>The following is an example of a high-scoring student response.</w:t>
      </w:r>
    </w:p>
    <w:p w14:paraId="794F2D6B" w14:textId="1DCC92BD" w:rsidR="00971A7E" w:rsidRPr="001448D4" w:rsidRDefault="00971A7E" w:rsidP="0006388A">
      <w:pPr>
        <w:pStyle w:val="BodyText"/>
        <w:ind w:left="284"/>
        <w:rPr>
          <w:rStyle w:val="Emphasis"/>
        </w:rPr>
      </w:pPr>
      <w:r w:rsidRPr="001448D4">
        <w:rPr>
          <w:rStyle w:val="Emphasis"/>
        </w:rPr>
        <w:t>Australians’ participation in outdoor recreation has changed profoundly between the Post-Federation period (1901–1960) and the past decade (2015–2025). Using French Island and the Alpine National Park as examples, this response explores how recreation practices have evolved and how these changes have influenced individual wellbeing and the health of outdoor environments.</w:t>
      </w:r>
    </w:p>
    <w:p w14:paraId="6D8E49DE" w14:textId="77777777" w:rsidR="00971A7E" w:rsidRPr="001448D4" w:rsidRDefault="00971A7E" w:rsidP="0006388A">
      <w:pPr>
        <w:pStyle w:val="BodyText"/>
        <w:ind w:left="284"/>
        <w:rPr>
          <w:rStyle w:val="Emphasis"/>
        </w:rPr>
      </w:pPr>
      <w:r w:rsidRPr="001448D4">
        <w:rPr>
          <w:rStyle w:val="Emphasis"/>
        </w:rPr>
        <w:t>During the Post-Federation period, Australians gained greater access to leisure time as industrial reforms introduced the eight-hour working day. Outdoor recreation began to emerge as part of national identity, offering escape from urbanisation and connection to the land. At this time, French Island, located in Western Port Bay, was still regarded as remote “scrubland.” It was primarily used for farming and subsistence activities, with limited recreation such as local fishing, walking and family picnics. Few management systems existed, and minimal infrastructure meant impacts such as soil compaction, vegetation clearance, and campfire scars were common where people visited coastal areas.</w:t>
      </w:r>
    </w:p>
    <w:p w14:paraId="06B4CE5A" w14:textId="77777777" w:rsidR="00971A7E" w:rsidRPr="001448D4" w:rsidRDefault="00971A7E" w:rsidP="0006388A">
      <w:pPr>
        <w:pStyle w:val="BodyText"/>
        <w:ind w:left="284"/>
        <w:rPr>
          <w:rStyle w:val="Emphasis"/>
        </w:rPr>
      </w:pPr>
      <w:r w:rsidRPr="001448D4">
        <w:rPr>
          <w:rStyle w:val="Emphasis"/>
        </w:rPr>
        <w:t>In contrast, the Victorian Alps became a growing recreational destination. Bushwalking and skiing gained popularity, supported by new access roads and mountain lodges at Mount Hotham and Falls Creek. Participation supported physical wellbeing through fitness for recreation through bushwalking and alpine skiing. However, recreation was largely unregulated; erosion and vegetation loss occurred around ski runs, huts and horse-riding routes due to repeated use and grazing practices.</w:t>
      </w:r>
    </w:p>
    <w:p w14:paraId="615CFA2E" w14:textId="77777777" w:rsidR="00971A7E" w:rsidRPr="001448D4" w:rsidRDefault="00971A7E" w:rsidP="0006388A">
      <w:pPr>
        <w:pStyle w:val="BodyText"/>
        <w:ind w:left="284"/>
        <w:rPr>
          <w:rStyle w:val="Emphasis"/>
        </w:rPr>
      </w:pPr>
      <w:r w:rsidRPr="001448D4">
        <w:rPr>
          <w:rStyle w:val="Emphasis"/>
        </w:rPr>
        <w:t>In the past decade, recreation at both locations has become more structured, inclusive, and environmentally aware. During our school camp to French Island National Park, my group collected primary data by observing dune erosion, beach-access tracks, and trampled vegetation around popular camping areas. We also recorded management responses, including fenced dunes, interpretive signage, and nesting-site protection for Hooded Plovers. These observations align with secondary data from Parks Victoria reports highlighting sustainable visitor access and rehabilitation projects.</w:t>
      </w:r>
    </w:p>
    <w:p w14:paraId="46F6AC59" w14:textId="77777777" w:rsidR="00971A7E" w:rsidRPr="001448D4" w:rsidRDefault="00971A7E" w:rsidP="0006388A">
      <w:pPr>
        <w:pStyle w:val="BodyText"/>
        <w:ind w:left="284"/>
        <w:rPr>
          <w:rStyle w:val="Emphasis"/>
        </w:rPr>
      </w:pPr>
      <w:r w:rsidRPr="001448D4">
        <w:rPr>
          <w:rStyle w:val="Emphasis"/>
        </w:rPr>
        <w:t>In the Alpine National Park, my class gathered primary observations of track erosion, soil compaction, and vegetation damage near Mount Stirling caused by hikers and mountain bikers. Secondary sources, such as Parks Victoria (2021) and the VCE Outdoor and Environmental Studies textbook, explain that visitation has risen since the 1970s, leading to the construction of boardwalks, zoning systems, and seasonal closures to protect fragile alpine ecosystems and species like the mountain pygmy-possum.</w:t>
      </w:r>
    </w:p>
    <w:p w14:paraId="550CF727" w14:textId="3C2CA1CF" w:rsidR="00DF7107" w:rsidRPr="001448D4" w:rsidRDefault="00971A7E" w:rsidP="0006388A">
      <w:pPr>
        <w:pStyle w:val="BodyText"/>
        <w:ind w:left="284"/>
        <w:rPr>
          <w:rStyle w:val="Emphasis"/>
        </w:rPr>
      </w:pPr>
      <w:r w:rsidRPr="001448D4">
        <w:rPr>
          <w:rStyle w:val="Emphasis"/>
        </w:rPr>
        <w:t>Today, recreation at both French Island and the Alpine National Park strongly supports individual wellbeing through physical activity for adventure both active and passive such as bird watching and bike riding, mindfulness, and cultural connection to Country. These areas illustrate how Australians’ relationships with the outdoors have shifted from exploitation and limited access to recreation that prioritises sustainability, education, and care for the environment.</w:t>
      </w:r>
    </w:p>
    <w:sectPr w:rsidR="00DF7107" w:rsidRPr="001448D4"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D9552" w14:textId="77777777" w:rsidR="00A25BE3" w:rsidRDefault="00A25BE3" w:rsidP="00304EA1">
      <w:pPr>
        <w:spacing w:after="0" w:line="240" w:lineRule="auto"/>
      </w:pPr>
      <w:r>
        <w:separator/>
      </w:r>
    </w:p>
  </w:endnote>
  <w:endnote w:type="continuationSeparator" w:id="0">
    <w:p w14:paraId="7F7AC454" w14:textId="77777777" w:rsidR="00A25BE3" w:rsidRDefault="00A25BE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B527C" w14:textId="77777777" w:rsidR="00A25BE3" w:rsidRDefault="00A25BE3" w:rsidP="00304EA1">
      <w:pPr>
        <w:spacing w:after="0" w:line="240" w:lineRule="auto"/>
      </w:pPr>
      <w:r>
        <w:separator/>
      </w:r>
    </w:p>
  </w:footnote>
  <w:footnote w:type="continuationSeparator" w:id="0">
    <w:p w14:paraId="3129008F" w14:textId="77777777" w:rsidR="00A25BE3" w:rsidRDefault="00A25BE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4C262065" w:rsidR="00FD29D3" w:rsidRPr="002B0664" w:rsidRDefault="0037177A"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971A7E">
          <w:rPr>
            <w:color w:val="auto"/>
          </w:rPr>
          <w:t>2025 VCE Outdoor and Environmental Studies external assessment report</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C3455"/>
    <w:multiLevelType w:val="multilevel"/>
    <w:tmpl w:val="D156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3E6820"/>
    <w:multiLevelType w:val="multilevel"/>
    <w:tmpl w:val="D6E83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213E26"/>
    <w:multiLevelType w:val="multilevel"/>
    <w:tmpl w:val="E85E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240842"/>
    <w:multiLevelType w:val="multilevel"/>
    <w:tmpl w:val="F51A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AC53B6"/>
    <w:multiLevelType w:val="multilevel"/>
    <w:tmpl w:val="8D08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2606BF"/>
    <w:multiLevelType w:val="multilevel"/>
    <w:tmpl w:val="E842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5F4069"/>
    <w:multiLevelType w:val="multilevel"/>
    <w:tmpl w:val="5668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797911"/>
    <w:multiLevelType w:val="multilevel"/>
    <w:tmpl w:val="C84A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755052"/>
    <w:multiLevelType w:val="multilevel"/>
    <w:tmpl w:val="1F902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36321F"/>
    <w:multiLevelType w:val="multilevel"/>
    <w:tmpl w:val="200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0160DC"/>
    <w:multiLevelType w:val="multilevel"/>
    <w:tmpl w:val="34DC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497E84"/>
    <w:multiLevelType w:val="multilevel"/>
    <w:tmpl w:val="DC9C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891023"/>
    <w:multiLevelType w:val="multilevel"/>
    <w:tmpl w:val="A648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E801DB"/>
    <w:multiLevelType w:val="multilevel"/>
    <w:tmpl w:val="D094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6" w15:restartNumberingAfterBreak="0">
    <w:nsid w:val="3F7F32D6"/>
    <w:multiLevelType w:val="multilevel"/>
    <w:tmpl w:val="ED80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57008B"/>
    <w:multiLevelType w:val="multilevel"/>
    <w:tmpl w:val="2932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E36FF9"/>
    <w:multiLevelType w:val="multilevel"/>
    <w:tmpl w:val="C228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E92C1C"/>
    <w:multiLevelType w:val="multilevel"/>
    <w:tmpl w:val="B800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45069A"/>
    <w:multiLevelType w:val="multilevel"/>
    <w:tmpl w:val="E154E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275424"/>
    <w:multiLevelType w:val="multilevel"/>
    <w:tmpl w:val="7A98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BD2E2E"/>
    <w:multiLevelType w:val="multilevel"/>
    <w:tmpl w:val="8FF6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060BA0"/>
    <w:multiLevelType w:val="hybridMultilevel"/>
    <w:tmpl w:val="6CE06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5" w15:restartNumberingAfterBreak="0">
    <w:nsid w:val="59CB0AC2"/>
    <w:multiLevelType w:val="multilevel"/>
    <w:tmpl w:val="B514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0A7BD9"/>
    <w:multiLevelType w:val="hybridMultilevel"/>
    <w:tmpl w:val="2F149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8" w15:restartNumberingAfterBreak="0">
    <w:nsid w:val="624E058F"/>
    <w:multiLevelType w:val="multilevel"/>
    <w:tmpl w:val="D364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0" w15:restartNumberingAfterBreak="0">
    <w:nsid w:val="677D623F"/>
    <w:multiLevelType w:val="multilevel"/>
    <w:tmpl w:val="A3C2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777EB4"/>
    <w:multiLevelType w:val="hybridMultilevel"/>
    <w:tmpl w:val="1BDE6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323E71B"/>
    <w:multiLevelType w:val="hybridMultilevel"/>
    <w:tmpl w:val="47260A7E"/>
    <w:lvl w:ilvl="0" w:tplc="D4D6D1EC">
      <w:start w:val="1"/>
      <w:numFmt w:val="bullet"/>
      <w:lvlText w:val=""/>
      <w:lvlJc w:val="left"/>
      <w:pPr>
        <w:ind w:left="720" w:hanging="360"/>
      </w:pPr>
      <w:rPr>
        <w:rFonts w:ascii="Symbol" w:hAnsi="Symbol" w:hint="default"/>
      </w:rPr>
    </w:lvl>
    <w:lvl w:ilvl="1" w:tplc="DBE0D5AE">
      <w:start w:val="1"/>
      <w:numFmt w:val="bullet"/>
      <w:lvlText w:val="o"/>
      <w:lvlJc w:val="left"/>
      <w:pPr>
        <w:ind w:left="1440" w:hanging="360"/>
      </w:pPr>
      <w:rPr>
        <w:rFonts w:ascii="Courier New" w:hAnsi="Courier New" w:hint="default"/>
      </w:rPr>
    </w:lvl>
    <w:lvl w:ilvl="2" w:tplc="1BB0A100">
      <w:start w:val="1"/>
      <w:numFmt w:val="bullet"/>
      <w:lvlText w:val=""/>
      <w:lvlJc w:val="left"/>
      <w:pPr>
        <w:ind w:left="2160" w:hanging="360"/>
      </w:pPr>
      <w:rPr>
        <w:rFonts w:ascii="Wingdings" w:hAnsi="Wingdings" w:hint="default"/>
      </w:rPr>
    </w:lvl>
    <w:lvl w:ilvl="3" w:tplc="090A2DCA">
      <w:start w:val="1"/>
      <w:numFmt w:val="bullet"/>
      <w:lvlText w:val=""/>
      <w:lvlJc w:val="left"/>
      <w:pPr>
        <w:ind w:left="2880" w:hanging="360"/>
      </w:pPr>
      <w:rPr>
        <w:rFonts w:ascii="Symbol" w:hAnsi="Symbol" w:hint="default"/>
      </w:rPr>
    </w:lvl>
    <w:lvl w:ilvl="4" w:tplc="2C007FF2">
      <w:start w:val="1"/>
      <w:numFmt w:val="bullet"/>
      <w:lvlText w:val="o"/>
      <w:lvlJc w:val="left"/>
      <w:pPr>
        <w:ind w:left="3600" w:hanging="360"/>
      </w:pPr>
      <w:rPr>
        <w:rFonts w:ascii="Courier New" w:hAnsi="Courier New" w:hint="default"/>
      </w:rPr>
    </w:lvl>
    <w:lvl w:ilvl="5" w:tplc="CDE435AE">
      <w:start w:val="1"/>
      <w:numFmt w:val="bullet"/>
      <w:lvlText w:val=""/>
      <w:lvlJc w:val="left"/>
      <w:pPr>
        <w:ind w:left="4320" w:hanging="360"/>
      </w:pPr>
      <w:rPr>
        <w:rFonts w:ascii="Wingdings" w:hAnsi="Wingdings" w:hint="default"/>
      </w:rPr>
    </w:lvl>
    <w:lvl w:ilvl="6" w:tplc="CB4CBD5A">
      <w:start w:val="1"/>
      <w:numFmt w:val="bullet"/>
      <w:lvlText w:val=""/>
      <w:lvlJc w:val="left"/>
      <w:pPr>
        <w:ind w:left="5040" w:hanging="360"/>
      </w:pPr>
      <w:rPr>
        <w:rFonts w:ascii="Symbol" w:hAnsi="Symbol" w:hint="default"/>
      </w:rPr>
    </w:lvl>
    <w:lvl w:ilvl="7" w:tplc="C6CCFDDE">
      <w:start w:val="1"/>
      <w:numFmt w:val="bullet"/>
      <w:lvlText w:val="o"/>
      <w:lvlJc w:val="left"/>
      <w:pPr>
        <w:ind w:left="5760" w:hanging="360"/>
      </w:pPr>
      <w:rPr>
        <w:rFonts w:ascii="Courier New" w:hAnsi="Courier New" w:hint="default"/>
      </w:rPr>
    </w:lvl>
    <w:lvl w:ilvl="8" w:tplc="CEB0C294">
      <w:start w:val="1"/>
      <w:numFmt w:val="bullet"/>
      <w:lvlText w:val=""/>
      <w:lvlJc w:val="left"/>
      <w:pPr>
        <w:ind w:left="6480" w:hanging="360"/>
      </w:pPr>
      <w:rPr>
        <w:rFonts w:ascii="Wingdings" w:hAnsi="Wingdings" w:hint="default"/>
      </w:rPr>
    </w:lvl>
  </w:abstractNum>
  <w:abstractNum w:abstractNumId="43" w15:restartNumberingAfterBreak="0">
    <w:nsid w:val="76A972F8"/>
    <w:multiLevelType w:val="multilevel"/>
    <w:tmpl w:val="C318E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DD6726"/>
    <w:multiLevelType w:val="multilevel"/>
    <w:tmpl w:val="EA3A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8764004">
    <w:abstractNumId w:val="39"/>
  </w:num>
  <w:num w:numId="2" w16cid:durableId="1678000311">
    <w:abstractNumId w:val="34"/>
  </w:num>
  <w:num w:numId="3" w16cid:durableId="1018848057">
    <w:abstractNumId w:val="25"/>
  </w:num>
  <w:num w:numId="4" w16cid:durableId="1304190575">
    <w:abstractNumId w:val="15"/>
  </w:num>
  <w:num w:numId="5" w16cid:durableId="2057312338">
    <w:abstractNumId w:val="37"/>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576018612">
    <w:abstractNumId w:val="13"/>
  </w:num>
  <w:num w:numId="17" w16cid:durableId="269818764">
    <w:abstractNumId w:val="20"/>
  </w:num>
  <w:num w:numId="18" w16cid:durableId="1088506959">
    <w:abstractNumId w:val="12"/>
  </w:num>
  <w:num w:numId="19" w16cid:durableId="1677532633">
    <w:abstractNumId w:val="23"/>
  </w:num>
  <w:num w:numId="20" w16cid:durableId="1685548104">
    <w:abstractNumId w:val="18"/>
  </w:num>
  <w:num w:numId="21" w16cid:durableId="941229095">
    <w:abstractNumId w:val="30"/>
  </w:num>
  <w:num w:numId="22" w16cid:durableId="2013332389">
    <w:abstractNumId w:val="35"/>
  </w:num>
  <w:num w:numId="23" w16cid:durableId="271983221">
    <w:abstractNumId w:val="43"/>
  </w:num>
  <w:num w:numId="24" w16cid:durableId="420837615">
    <w:abstractNumId w:val="32"/>
  </w:num>
  <w:num w:numId="25" w16cid:durableId="1341473328">
    <w:abstractNumId w:val="16"/>
  </w:num>
  <w:num w:numId="26" w16cid:durableId="422646379">
    <w:abstractNumId w:val="22"/>
  </w:num>
  <w:num w:numId="27" w16cid:durableId="1226528788">
    <w:abstractNumId w:val="28"/>
  </w:num>
  <w:num w:numId="28" w16cid:durableId="1499464001">
    <w:abstractNumId w:val="17"/>
  </w:num>
  <w:num w:numId="29" w16cid:durableId="504905617">
    <w:abstractNumId w:val="38"/>
  </w:num>
  <w:num w:numId="30" w16cid:durableId="188567110">
    <w:abstractNumId w:val="26"/>
  </w:num>
  <w:num w:numId="31" w16cid:durableId="1249195632">
    <w:abstractNumId w:val="14"/>
  </w:num>
  <w:num w:numId="32" w16cid:durableId="429160677">
    <w:abstractNumId w:val="11"/>
  </w:num>
  <w:num w:numId="33" w16cid:durableId="221984045">
    <w:abstractNumId w:val="21"/>
  </w:num>
  <w:num w:numId="34" w16cid:durableId="1282879840">
    <w:abstractNumId w:val="40"/>
  </w:num>
  <w:num w:numId="35" w16cid:durableId="993870728">
    <w:abstractNumId w:val="29"/>
  </w:num>
  <w:num w:numId="36" w16cid:durableId="1864902503">
    <w:abstractNumId w:val="19"/>
  </w:num>
  <w:num w:numId="37" w16cid:durableId="1939829599">
    <w:abstractNumId w:val="44"/>
  </w:num>
  <w:num w:numId="38" w16cid:durableId="1027104995">
    <w:abstractNumId w:val="24"/>
  </w:num>
  <w:num w:numId="39" w16cid:durableId="618340550">
    <w:abstractNumId w:val="27"/>
  </w:num>
  <w:num w:numId="40" w16cid:durableId="396898672">
    <w:abstractNumId w:val="10"/>
  </w:num>
  <w:num w:numId="41" w16cid:durableId="1778744938">
    <w:abstractNumId w:val="31"/>
  </w:num>
  <w:num w:numId="42" w16cid:durableId="1428772135">
    <w:abstractNumId w:val="41"/>
  </w:num>
  <w:num w:numId="43" w16cid:durableId="636641952">
    <w:abstractNumId w:val="36"/>
  </w:num>
  <w:num w:numId="44" w16cid:durableId="1453593619">
    <w:abstractNumId w:val="33"/>
  </w:num>
  <w:num w:numId="45" w16cid:durableId="1209103273">
    <w:abstractNumId w:val="4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1560"/>
    <w:rsid w:val="00003885"/>
    <w:rsid w:val="00012E2F"/>
    <w:rsid w:val="00016F05"/>
    <w:rsid w:val="000243C0"/>
    <w:rsid w:val="000513DD"/>
    <w:rsid w:val="00053E8F"/>
    <w:rsid w:val="0005780E"/>
    <w:rsid w:val="00062020"/>
    <w:rsid w:val="0006388A"/>
    <w:rsid w:val="00065CC6"/>
    <w:rsid w:val="00066B38"/>
    <w:rsid w:val="00070B99"/>
    <w:rsid w:val="00093138"/>
    <w:rsid w:val="000A5470"/>
    <w:rsid w:val="000A71F7"/>
    <w:rsid w:val="000B114F"/>
    <w:rsid w:val="000D1438"/>
    <w:rsid w:val="000E476A"/>
    <w:rsid w:val="000F09E4"/>
    <w:rsid w:val="000F16FD"/>
    <w:rsid w:val="000F5AAF"/>
    <w:rsid w:val="000F6616"/>
    <w:rsid w:val="00102E31"/>
    <w:rsid w:val="001115E8"/>
    <w:rsid w:val="00142593"/>
    <w:rsid w:val="00143520"/>
    <w:rsid w:val="001448D4"/>
    <w:rsid w:val="0014501C"/>
    <w:rsid w:val="00153AD2"/>
    <w:rsid w:val="0016050C"/>
    <w:rsid w:val="00173F5E"/>
    <w:rsid w:val="001779EA"/>
    <w:rsid w:val="00186BE2"/>
    <w:rsid w:val="00187FFD"/>
    <w:rsid w:val="001A25AD"/>
    <w:rsid w:val="001A6484"/>
    <w:rsid w:val="001B0E08"/>
    <w:rsid w:val="001B2CDB"/>
    <w:rsid w:val="001D3246"/>
    <w:rsid w:val="001D56BF"/>
    <w:rsid w:val="001E6EE1"/>
    <w:rsid w:val="001F7C99"/>
    <w:rsid w:val="0022250B"/>
    <w:rsid w:val="002244B5"/>
    <w:rsid w:val="002279BA"/>
    <w:rsid w:val="002329F3"/>
    <w:rsid w:val="00243F0D"/>
    <w:rsid w:val="00260767"/>
    <w:rsid w:val="002647BB"/>
    <w:rsid w:val="002754C1"/>
    <w:rsid w:val="00275DD8"/>
    <w:rsid w:val="00282F55"/>
    <w:rsid w:val="002841C8"/>
    <w:rsid w:val="0028516B"/>
    <w:rsid w:val="00292922"/>
    <w:rsid w:val="002A2696"/>
    <w:rsid w:val="002B0664"/>
    <w:rsid w:val="002B1FDA"/>
    <w:rsid w:val="002C6F90"/>
    <w:rsid w:val="002E4FB5"/>
    <w:rsid w:val="00302FB8"/>
    <w:rsid w:val="0030491C"/>
    <w:rsid w:val="00304EA1"/>
    <w:rsid w:val="00314D81"/>
    <w:rsid w:val="003203A5"/>
    <w:rsid w:val="00322FC6"/>
    <w:rsid w:val="0033251B"/>
    <w:rsid w:val="0035293F"/>
    <w:rsid w:val="0036135A"/>
    <w:rsid w:val="00367E2C"/>
    <w:rsid w:val="0037177A"/>
    <w:rsid w:val="00371A26"/>
    <w:rsid w:val="00381C75"/>
    <w:rsid w:val="003845C0"/>
    <w:rsid w:val="00391986"/>
    <w:rsid w:val="003A00B4"/>
    <w:rsid w:val="003A06B2"/>
    <w:rsid w:val="003C5E71"/>
    <w:rsid w:val="003E7143"/>
    <w:rsid w:val="00414698"/>
    <w:rsid w:val="00417AA3"/>
    <w:rsid w:val="00425DFE"/>
    <w:rsid w:val="00431567"/>
    <w:rsid w:val="00434EDB"/>
    <w:rsid w:val="0043569D"/>
    <w:rsid w:val="00440B32"/>
    <w:rsid w:val="00443118"/>
    <w:rsid w:val="0044643F"/>
    <w:rsid w:val="0046078D"/>
    <w:rsid w:val="0048143D"/>
    <w:rsid w:val="00482FE7"/>
    <w:rsid w:val="00490D0D"/>
    <w:rsid w:val="00495C80"/>
    <w:rsid w:val="004A2ED8"/>
    <w:rsid w:val="004B2971"/>
    <w:rsid w:val="004B416E"/>
    <w:rsid w:val="004B4A66"/>
    <w:rsid w:val="004B5828"/>
    <w:rsid w:val="004C5CA7"/>
    <w:rsid w:val="004E146A"/>
    <w:rsid w:val="004F5921"/>
    <w:rsid w:val="004F5BDA"/>
    <w:rsid w:val="0051237B"/>
    <w:rsid w:val="005145F9"/>
    <w:rsid w:val="0051631E"/>
    <w:rsid w:val="005164EC"/>
    <w:rsid w:val="00531DDC"/>
    <w:rsid w:val="00537A1F"/>
    <w:rsid w:val="00544427"/>
    <w:rsid w:val="00547061"/>
    <w:rsid w:val="00563646"/>
    <w:rsid w:val="0056577A"/>
    <w:rsid w:val="00566029"/>
    <w:rsid w:val="00573414"/>
    <w:rsid w:val="00580103"/>
    <w:rsid w:val="00580921"/>
    <w:rsid w:val="0058570A"/>
    <w:rsid w:val="005923CB"/>
    <w:rsid w:val="005B391B"/>
    <w:rsid w:val="005C22A6"/>
    <w:rsid w:val="005D3D78"/>
    <w:rsid w:val="005E16DF"/>
    <w:rsid w:val="005E2EF0"/>
    <w:rsid w:val="005F4092"/>
    <w:rsid w:val="005F5055"/>
    <w:rsid w:val="005F5B8E"/>
    <w:rsid w:val="006025D8"/>
    <w:rsid w:val="00656899"/>
    <w:rsid w:val="00664B64"/>
    <w:rsid w:val="00664FCA"/>
    <w:rsid w:val="0068471E"/>
    <w:rsid w:val="00684F98"/>
    <w:rsid w:val="00693FFD"/>
    <w:rsid w:val="00697843"/>
    <w:rsid w:val="006C6BE9"/>
    <w:rsid w:val="006D2159"/>
    <w:rsid w:val="006F3CBD"/>
    <w:rsid w:val="006F787C"/>
    <w:rsid w:val="00702636"/>
    <w:rsid w:val="00703912"/>
    <w:rsid w:val="00714CBC"/>
    <w:rsid w:val="00720134"/>
    <w:rsid w:val="00723C1C"/>
    <w:rsid w:val="00724507"/>
    <w:rsid w:val="00732444"/>
    <w:rsid w:val="00736288"/>
    <w:rsid w:val="00764F3A"/>
    <w:rsid w:val="00773E6C"/>
    <w:rsid w:val="00781FB1"/>
    <w:rsid w:val="007943F9"/>
    <w:rsid w:val="007C6DC2"/>
    <w:rsid w:val="007D1B6D"/>
    <w:rsid w:val="007D586F"/>
    <w:rsid w:val="007F3B17"/>
    <w:rsid w:val="007F6109"/>
    <w:rsid w:val="00812C05"/>
    <w:rsid w:val="00813C37"/>
    <w:rsid w:val="008154B5"/>
    <w:rsid w:val="008215F0"/>
    <w:rsid w:val="00823962"/>
    <w:rsid w:val="00823B54"/>
    <w:rsid w:val="00831666"/>
    <w:rsid w:val="00831735"/>
    <w:rsid w:val="00843FEA"/>
    <w:rsid w:val="00850410"/>
    <w:rsid w:val="00852719"/>
    <w:rsid w:val="00860115"/>
    <w:rsid w:val="008662C8"/>
    <w:rsid w:val="00870A89"/>
    <w:rsid w:val="00872913"/>
    <w:rsid w:val="0088783C"/>
    <w:rsid w:val="008A1FB8"/>
    <w:rsid w:val="008A39A2"/>
    <w:rsid w:val="008B3591"/>
    <w:rsid w:val="008B673D"/>
    <w:rsid w:val="008B7E0A"/>
    <w:rsid w:val="008C03E2"/>
    <w:rsid w:val="008C12D3"/>
    <w:rsid w:val="008D1564"/>
    <w:rsid w:val="008E309F"/>
    <w:rsid w:val="008E3D13"/>
    <w:rsid w:val="008F224F"/>
    <w:rsid w:val="008F2C08"/>
    <w:rsid w:val="00902B5B"/>
    <w:rsid w:val="00904A9F"/>
    <w:rsid w:val="009132B1"/>
    <w:rsid w:val="00917903"/>
    <w:rsid w:val="009201CA"/>
    <w:rsid w:val="009370BC"/>
    <w:rsid w:val="00943BB7"/>
    <w:rsid w:val="00952934"/>
    <w:rsid w:val="00970580"/>
    <w:rsid w:val="00971A7E"/>
    <w:rsid w:val="0097774E"/>
    <w:rsid w:val="0098739B"/>
    <w:rsid w:val="009A09AF"/>
    <w:rsid w:val="009A0BCC"/>
    <w:rsid w:val="009B5636"/>
    <w:rsid w:val="009B61E5"/>
    <w:rsid w:val="009C40F5"/>
    <w:rsid w:val="009C689A"/>
    <w:rsid w:val="009D084F"/>
    <w:rsid w:val="009D1E89"/>
    <w:rsid w:val="009D28DE"/>
    <w:rsid w:val="009E3AB9"/>
    <w:rsid w:val="009E5707"/>
    <w:rsid w:val="00A0223A"/>
    <w:rsid w:val="00A17661"/>
    <w:rsid w:val="00A17D55"/>
    <w:rsid w:val="00A24B2D"/>
    <w:rsid w:val="00A24EFD"/>
    <w:rsid w:val="00A25BE3"/>
    <w:rsid w:val="00A40032"/>
    <w:rsid w:val="00A40966"/>
    <w:rsid w:val="00A54DF9"/>
    <w:rsid w:val="00A63228"/>
    <w:rsid w:val="00A65013"/>
    <w:rsid w:val="00A6745D"/>
    <w:rsid w:val="00A921E0"/>
    <w:rsid w:val="00A922F4"/>
    <w:rsid w:val="00A974B2"/>
    <w:rsid w:val="00AD398C"/>
    <w:rsid w:val="00AD7E23"/>
    <w:rsid w:val="00AE5526"/>
    <w:rsid w:val="00AF051B"/>
    <w:rsid w:val="00B01578"/>
    <w:rsid w:val="00B0738F"/>
    <w:rsid w:val="00B13D3B"/>
    <w:rsid w:val="00B230DB"/>
    <w:rsid w:val="00B26601"/>
    <w:rsid w:val="00B40C1E"/>
    <w:rsid w:val="00B41951"/>
    <w:rsid w:val="00B53229"/>
    <w:rsid w:val="00B61323"/>
    <w:rsid w:val="00B62480"/>
    <w:rsid w:val="00B81B70"/>
    <w:rsid w:val="00B86E60"/>
    <w:rsid w:val="00BA1F62"/>
    <w:rsid w:val="00BA7115"/>
    <w:rsid w:val="00BB3BAB"/>
    <w:rsid w:val="00BD0724"/>
    <w:rsid w:val="00BD2B91"/>
    <w:rsid w:val="00BD3DE6"/>
    <w:rsid w:val="00BE11E4"/>
    <w:rsid w:val="00BE5521"/>
    <w:rsid w:val="00BF6C23"/>
    <w:rsid w:val="00C01F13"/>
    <w:rsid w:val="00C06E20"/>
    <w:rsid w:val="00C10A5F"/>
    <w:rsid w:val="00C117BE"/>
    <w:rsid w:val="00C119A2"/>
    <w:rsid w:val="00C33A75"/>
    <w:rsid w:val="00C33E8D"/>
    <w:rsid w:val="00C351D4"/>
    <w:rsid w:val="00C5284B"/>
    <w:rsid w:val="00C53263"/>
    <w:rsid w:val="00C61860"/>
    <w:rsid w:val="00C623B2"/>
    <w:rsid w:val="00C7478A"/>
    <w:rsid w:val="00C75F1D"/>
    <w:rsid w:val="00C84E7E"/>
    <w:rsid w:val="00C95156"/>
    <w:rsid w:val="00CA0DC2"/>
    <w:rsid w:val="00CA3B2A"/>
    <w:rsid w:val="00CB68BD"/>
    <w:rsid w:val="00CB68E8"/>
    <w:rsid w:val="00CC7735"/>
    <w:rsid w:val="00CF0B99"/>
    <w:rsid w:val="00CF2421"/>
    <w:rsid w:val="00D04F01"/>
    <w:rsid w:val="00D06414"/>
    <w:rsid w:val="00D1007B"/>
    <w:rsid w:val="00D16F24"/>
    <w:rsid w:val="00D21F4C"/>
    <w:rsid w:val="00D24E5A"/>
    <w:rsid w:val="00D275DF"/>
    <w:rsid w:val="00D32907"/>
    <w:rsid w:val="00D338E4"/>
    <w:rsid w:val="00D471E0"/>
    <w:rsid w:val="00D51947"/>
    <w:rsid w:val="00D51A81"/>
    <w:rsid w:val="00D52B8B"/>
    <w:rsid w:val="00D532F0"/>
    <w:rsid w:val="00D56E0F"/>
    <w:rsid w:val="00D701C9"/>
    <w:rsid w:val="00D74A73"/>
    <w:rsid w:val="00D75BF7"/>
    <w:rsid w:val="00D76E10"/>
    <w:rsid w:val="00D77413"/>
    <w:rsid w:val="00D81D54"/>
    <w:rsid w:val="00D82759"/>
    <w:rsid w:val="00D86DE4"/>
    <w:rsid w:val="00D959BE"/>
    <w:rsid w:val="00DA2EC1"/>
    <w:rsid w:val="00DB3A48"/>
    <w:rsid w:val="00DD091D"/>
    <w:rsid w:val="00DE1538"/>
    <w:rsid w:val="00DE1909"/>
    <w:rsid w:val="00DE3CA8"/>
    <w:rsid w:val="00DE51DB"/>
    <w:rsid w:val="00DF0B60"/>
    <w:rsid w:val="00DF7107"/>
    <w:rsid w:val="00E058FD"/>
    <w:rsid w:val="00E11524"/>
    <w:rsid w:val="00E11B80"/>
    <w:rsid w:val="00E208DF"/>
    <w:rsid w:val="00E21799"/>
    <w:rsid w:val="00E23F1D"/>
    <w:rsid w:val="00E25E49"/>
    <w:rsid w:val="00E30E05"/>
    <w:rsid w:val="00E36361"/>
    <w:rsid w:val="00E44F64"/>
    <w:rsid w:val="00E47E24"/>
    <w:rsid w:val="00E55AE9"/>
    <w:rsid w:val="00E71100"/>
    <w:rsid w:val="00E71430"/>
    <w:rsid w:val="00E7229D"/>
    <w:rsid w:val="00E821B3"/>
    <w:rsid w:val="00EA0B9E"/>
    <w:rsid w:val="00EB0C84"/>
    <w:rsid w:val="00EB76AB"/>
    <w:rsid w:val="00EC46D8"/>
    <w:rsid w:val="00EC7E98"/>
    <w:rsid w:val="00ED092C"/>
    <w:rsid w:val="00ED335F"/>
    <w:rsid w:val="00ED6613"/>
    <w:rsid w:val="00EE780A"/>
    <w:rsid w:val="00F12442"/>
    <w:rsid w:val="00F1293F"/>
    <w:rsid w:val="00F16B9C"/>
    <w:rsid w:val="00F17FDE"/>
    <w:rsid w:val="00F221A2"/>
    <w:rsid w:val="00F260B3"/>
    <w:rsid w:val="00F3780E"/>
    <w:rsid w:val="00F40D53"/>
    <w:rsid w:val="00F4525C"/>
    <w:rsid w:val="00F470D5"/>
    <w:rsid w:val="00F50D86"/>
    <w:rsid w:val="00F5371C"/>
    <w:rsid w:val="00F600B3"/>
    <w:rsid w:val="00F62D78"/>
    <w:rsid w:val="00FA1506"/>
    <w:rsid w:val="00FA2F7E"/>
    <w:rsid w:val="00FC0647"/>
    <w:rsid w:val="00FC1813"/>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B99"/>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link w:val="ListParagraphChar"/>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templatetext">
    <w:name w:val="VCAA template text"/>
    <w:basedOn w:val="Normal"/>
    <w:qFormat/>
    <w:rsid w:val="00142593"/>
    <w:pPr>
      <w:spacing w:before="120" w:after="120" w:line="280" w:lineRule="exact"/>
      <w:ind w:left="720"/>
    </w:pPr>
    <w:rPr>
      <w:rFonts w:ascii="Arial" w:hAnsi="Arial" w:cs="Arial"/>
      <w:b/>
      <w:i/>
      <w:color w:val="000000" w:themeColor="text1"/>
      <w:sz w:val="20"/>
    </w:rPr>
  </w:style>
  <w:style w:type="paragraph" w:customStyle="1" w:styleId="VCAAHeading2">
    <w:name w:val="VCAA Heading 2"/>
    <w:next w:val="Normal"/>
    <w:qFormat/>
    <w:rsid w:val="000B114F"/>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0B114F"/>
    <w:pPr>
      <w:spacing w:before="320" w:after="120" w:line="400" w:lineRule="exact"/>
      <w:outlineLvl w:val="3"/>
    </w:pPr>
    <w:rPr>
      <w:rFonts w:ascii="Arial" w:hAnsi="Arial" w:cs="Arial"/>
      <w:color w:val="0F7EB4"/>
      <w:sz w:val="32"/>
      <w:szCs w:val="24"/>
    </w:rPr>
  </w:style>
  <w:style w:type="character" w:customStyle="1" w:styleId="ListParagraphChar">
    <w:name w:val="List Paragraph Char"/>
    <w:link w:val="ListParagraph"/>
    <w:uiPriority w:val="34"/>
    <w:locked/>
    <w:rsid w:val="00A24EFD"/>
  </w:style>
  <w:style w:type="paragraph" w:customStyle="1" w:styleId="VCAAbulletlevel2">
    <w:name w:val="VCAA bullet level 2"/>
    <w:basedOn w:val="Normal"/>
    <w:qFormat/>
    <w:rsid w:val="00E25E49"/>
    <w:pPr>
      <w:tabs>
        <w:tab w:val="left" w:pos="425"/>
      </w:tabs>
      <w:spacing w:before="60" w:after="60" w:line="280" w:lineRule="exact"/>
      <w:ind w:left="850" w:hanging="425"/>
      <w:contextualSpacing/>
    </w:pPr>
    <w:rPr>
      <w:rFonts w:ascii="Arial" w:eastAsia="Times New Roman" w:hAnsi="Arial" w:cs="Arial"/>
      <w:color w:val="000000" w:themeColor="text1"/>
      <w:kern w:val="22"/>
      <w:sz w:val="20"/>
      <w:lang w:val="en-GB" w:eastAsia="ja-JP"/>
    </w:rPr>
  </w:style>
  <w:style w:type="paragraph" w:styleId="Revision">
    <w:name w:val="Revision"/>
    <w:hidden/>
    <w:uiPriority w:val="99"/>
    <w:semiHidden/>
    <w:rsid w:val="00DA2EC1"/>
    <w:pPr>
      <w:spacing w:after="0" w:line="240" w:lineRule="auto"/>
    </w:pPr>
  </w:style>
  <w:style w:type="character" w:styleId="CommentReference">
    <w:name w:val="annotation reference"/>
    <w:basedOn w:val="DefaultParagraphFont"/>
    <w:uiPriority w:val="99"/>
    <w:semiHidden/>
    <w:unhideWhenUsed/>
    <w:rsid w:val="004F5921"/>
    <w:rPr>
      <w:sz w:val="16"/>
      <w:szCs w:val="16"/>
    </w:rPr>
  </w:style>
  <w:style w:type="paragraph" w:customStyle="1" w:styleId="VCAAbody">
    <w:name w:val="VCAA body"/>
    <w:link w:val="VCAAbodyChar"/>
    <w:qFormat/>
    <w:rsid w:val="00E71430"/>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E71430"/>
    <w:rPr>
      <w:rFonts w:ascii="Arial" w:hAnsi="Arial" w:cs="Arial"/>
      <w:color w:val="000000" w:themeColor="text1"/>
      <w:sz w:val="20"/>
    </w:rPr>
  </w:style>
  <w:style w:type="table" w:customStyle="1" w:styleId="VCAATableClosed">
    <w:name w:val="VCAA Table Closed"/>
    <w:basedOn w:val="TableNormal"/>
    <w:uiPriority w:val="99"/>
    <w:rsid w:val="00E71430"/>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character" w:styleId="Emphasis">
    <w:name w:val="Emphasis"/>
    <w:basedOn w:val="DefaultParagraphFont"/>
    <w:uiPriority w:val="20"/>
    <w:qFormat/>
    <w:rsid w:val="001448D4"/>
    <w:rPr>
      <w:i/>
      <w:iCs/>
    </w:rPr>
  </w:style>
  <w:style w:type="character" w:customStyle="1" w:styleId="Subscriptemphasis">
    <w:name w:val="Subscript emphasis"/>
    <w:basedOn w:val="Emphasis"/>
    <w:uiPriority w:val="1"/>
    <w:qFormat/>
    <w:rsid w:val="00902B5B"/>
    <w:rPr>
      <w:rFonts w:asciiTheme="minorHAnsi" w:hAnsiTheme="minorHAnsi" w:cs="Cambria Math"/>
      <w:i/>
      <w:iCs/>
      <w:caps w:val="0"/>
      <w:smallCaps w:val="0"/>
      <w:strike w:val="0"/>
      <w:dstrike w:val="0"/>
      <w:vanish w:val="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curriculum/vce-study-designs/outdoor-and-environmental-studies/planni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16F05"/>
    <w:rsid w:val="00036209"/>
    <w:rsid w:val="00054D59"/>
    <w:rsid w:val="00187FFD"/>
    <w:rsid w:val="002B1FDA"/>
    <w:rsid w:val="00314DA4"/>
    <w:rsid w:val="003348E7"/>
    <w:rsid w:val="0036135A"/>
    <w:rsid w:val="00367E2C"/>
    <w:rsid w:val="003845C0"/>
    <w:rsid w:val="00425F90"/>
    <w:rsid w:val="004900A2"/>
    <w:rsid w:val="004E667E"/>
    <w:rsid w:val="0051237B"/>
    <w:rsid w:val="0056577A"/>
    <w:rsid w:val="006E4913"/>
    <w:rsid w:val="008C03E2"/>
    <w:rsid w:val="009325D2"/>
    <w:rsid w:val="0097774E"/>
    <w:rsid w:val="00987CC0"/>
    <w:rsid w:val="009A66C7"/>
    <w:rsid w:val="009D084F"/>
    <w:rsid w:val="00A54EDB"/>
    <w:rsid w:val="00A6745D"/>
    <w:rsid w:val="00D1395F"/>
    <w:rsid w:val="00D32907"/>
    <w:rsid w:val="00E25E70"/>
    <w:rsid w:val="00E71100"/>
    <w:rsid w:val="00F260B3"/>
    <w:rsid w:val="00F470D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0f55dc40e9c838ef78209e7ca20d09fa">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c1534436aef4a1b0addd54b8ef8831a0"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VersionControl xmlns="e9ccb2cb-7aa8-4bc9-a094-f008dabcc21d" xsi:nil="true"/>
  </documentManagement>
</p:properties>
</file>

<file path=customXml/itemProps1.xml><?xml version="1.0" encoding="utf-8"?>
<ds:datastoreItem xmlns:ds="http://schemas.openxmlformats.org/officeDocument/2006/customXml" ds:itemID="{93654624-B57C-46B0-859C-716BCD774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5e91c720-40cf-4a29-a59b-798f72d42987"/>
    <ds:schemaRef ds:uri="e9ccb2cb-7aa8-4bc9-a094-f008dabcc21d"/>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16</Pages>
  <Words>6317</Words>
  <Characters>36844</Characters>
  <Application>Microsoft Office Word</Application>
  <DocSecurity>0</DocSecurity>
  <Lines>873</Lines>
  <Paragraphs>573</Paragraphs>
  <ScaleCrop>false</ScaleCrop>
  <HeadingPairs>
    <vt:vector size="2" baseType="variant">
      <vt:variant>
        <vt:lpstr>Title</vt:lpstr>
      </vt:variant>
      <vt:variant>
        <vt:i4>1</vt:i4>
      </vt:variant>
    </vt:vector>
  </HeadingPairs>
  <TitlesOfParts>
    <vt:vector size="1" baseType="lpstr">
      <vt:lpstr>2025 VCE Outdoor and Environmental Studies external assessment report</vt:lpstr>
    </vt:vector>
  </TitlesOfParts>
  <Manager/>
  <Company/>
  <LinksUpToDate>false</LinksUpToDate>
  <CharactersWithSpaces>42738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Outdoor and Environmental Studies external assessment report</dc:title>
  <dc:subject/>
  <dc:creator/>
  <cp:keywords/>
  <dc:description/>
  <cp:lastModifiedBy>Camha Pham</cp:lastModifiedBy>
  <cp:revision>26</cp:revision>
  <cp:lastPrinted>2026-01-03T03:09:00Z</cp:lastPrinted>
  <dcterms:created xsi:type="dcterms:W3CDTF">2026-01-27T21:45:00Z</dcterms:created>
  <dcterms:modified xsi:type="dcterms:W3CDTF">2026-01-28T22:44:00Z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MediaServiceImageTags">
    <vt:lpwstr/>
  </property>
</Properties>
</file>