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65192924" w:rsidR="00F4525C" w:rsidRPr="00870A89" w:rsidRDefault="00B6577D" w:rsidP="00E7229D">
      <w:pPr>
        <w:pStyle w:val="Title"/>
      </w:pPr>
      <w:r>
        <w:t>2025 VCE Sociology external assessment report</w:t>
      </w:r>
    </w:p>
    <w:p w14:paraId="726D2B43" w14:textId="77777777" w:rsidR="00BD05F6" w:rsidRPr="00C23BDE" w:rsidRDefault="00BD05F6" w:rsidP="00BD05F6">
      <w:pPr>
        <w:pStyle w:val="BodyText"/>
      </w:pPr>
      <w:r w:rsidRPr="00C23BDE">
        <w:t xml:space="preserve">Note: </w:t>
      </w:r>
      <w:r w:rsidRPr="00BD05F6">
        <w:rPr>
          <w:bCs/>
        </w:rPr>
        <w:t xml:space="preserve">Student responses reproduced in this report have not been corrected for grammar, spelling or </w:t>
      </w:r>
      <w:proofErr w:type="gramStart"/>
      <w:r w:rsidRPr="00BD05F6">
        <w:rPr>
          <w:bCs/>
        </w:rPr>
        <w:t>factual information</w:t>
      </w:r>
      <w:proofErr w:type="gramEnd"/>
      <w:r w:rsidRPr="00BD05F6">
        <w:rPr>
          <w:bCs/>
        </w:rPr>
        <w:t>.</w:t>
      </w:r>
    </w:p>
    <w:p w14:paraId="6121A532" w14:textId="08AD273C" w:rsidR="00BD05F6" w:rsidRPr="00BD05F6" w:rsidRDefault="00BD05F6" w:rsidP="00BD05F6">
      <w:pPr>
        <w:pStyle w:val="BodyText"/>
        <w:rPr>
          <w:bCs/>
        </w:rPr>
      </w:pPr>
      <w:r w:rsidRPr="00BD05F6">
        <w:rPr>
          <w:bCs/>
        </w:rPr>
        <w:t xml:space="preserve">This report provides sample answers, or an indication of what answers may have included. Unless otherwise stated, these are not intended to be exemplary or complete responses. </w:t>
      </w:r>
    </w:p>
    <w:p w14:paraId="62CB52BE" w14:textId="77777777" w:rsidR="00BD05F6" w:rsidRPr="00BD05F6" w:rsidRDefault="00BD05F6" w:rsidP="00BD05F6">
      <w:pPr>
        <w:pStyle w:val="BodyText"/>
        <w:rPr>
          <w:bCs/>
        </w:rPr>
      </w:pPr>
      <w:r w:rsidRPr="00BD05F6">
        <w:rPr>
          <w:bCs/>
        </w:rPr>
        <w:t>The statistics in this report may be subject to rounding resulting in a total more or less than 100 per cent.</w:t>
      </w:r>
    </w:p>
    <w:p w14:paraId="2D322C39" w14:textId="4BF65AB1" w:rsidR="00BD05F6" w:rsidRPr="00A56D26" w:rsidRDefault="00A56D26" w:rsidP="00C23BDE">
      <w:pPr>
        <w:pStyle w:val="Head2"/>
      </w:pPr>
      <w:r>
        <w:t>Question 1</w:t>
      </w:r>
    </w:p>
    <w:tbl>
      <w:tblPr>
        <w:tblStyle w:val="VCAATableClosed"/>
        <w:tblW w:w="0" w:type="auto"/>
        <w:tblInd w:w="0" w:type="dxa"/>
        <w:tblLook w:val="01E0" w:firstRow="1" w:lastRow="1" w:firstColumn="1" w:lastColumn="1" w:noHBand="0" w:noVBand="0"/>
      </w:tblPr>
      <w:tblGrid>
        <w:gridCol w:w="720"/>
        <w:gridCol w:w="576"/>
        <w:gridCol w:w="576"/>
        <w:gridCol w:w="576"/>
        <w:gridCol w:w="576"/>
        <w:gridCol w:w="576"/>
        <w:gridCol w:w="1008"/>
      </w:tblGrid>
      <w:tr w:rsidR="00BD05F6" w:rsidRPr="00EA43FE" w14:paraId="64509F5F" w14:textId="77777777">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23D9FD4A" w14:textId="77777777" w:rsidR="00BD05F6" w:rsidRPr="00C23BDE" w:rsidRDefault="00BD05F6"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7CD6D05A" w14:textId="77777777" w:rsidR="00BD05F6" w:rsidRPr="00C23BDE" w:rsidRDefault="00BD05F6"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5804100B" w14:textId="77777777" w:rsidR="00BD05F6" w:rsidRPr="00C23BDE" w:rsidRDefault="00BD05F6"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2EE85FDF" w14:textId="77777777" w:rsidR="00BD05F6" w:rsidRPr="00C23BDE" w:rsidRDefault="00BD05F6"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23B2BABE" w14:textId="77777777" w:rsidR="00BD05F6" w:rsidRPr="00C23BDE" w:rsidRDefault="00BD05F6"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1AB2BE80" w14:textId="77777777" w:rsidR="00BD05F6" w:rsidRPr="00C23BDE" w:rsidRDefault="00BD05F6" w:rsidP="00C23BDE">
            <w:pPr>
              <w:pStyle w:val="Tablecondensed"/>
            </w:pPr>
            <w:r w:rsidRPr="00C23BDE">
              <w:t>4</w:t>
            </w:r>
          </w:p>
        </w:tc>
        <w:tc>
          <w:tcPr>
            <w:tcW w:w="1008" w:type="dxa"/>
            <w:tcBorders>
              <w:top w:val="single" w:sz="4" w:space="0" w:color="000000" w:themeColor="text1"/>
              <w:bottom w:val="single" w:sz="4" w:space="0" w:color="000000" w:themeColor="text1"/>
              <w:right w:val="single" w:sz="4" w:space="0" w:color="000000" w:themeColor="text1"/>
            </w:tcBorders>
            <w:hideMark/>
          </w:tcPr>
          <w:p w14:paraId="5643062C" w14:textId="77777777" w:rsidR="00BD05F6" w:rsidRPr="00C23BDE" w:rsidRDefault="00BD05F6" w:rsidP="00C23BDE">
            <w:pPr>
              <w:pStyle w:val="Tablecondensed"/>
            </w:pPr>
            <w:r w:rsidRPr="00C23BDE">
              <w:t>Average</w:t>
            </w:r>
          </w:p>
        </w:tc>
      </w:tr>
      <w:tr w:rsidR="00BD05F6" w:rsidRPr="00EA43FE" w14:paraId="16C9CD36" w14:textId="77777777">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EF41B" w14:textId="77777777" w:rsidR="00BD05F6" w:rsidRPr="00C23BDE" w:rsidRDefault="00BD05F6"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75532" w14:textId="56E6BD07" w:rsidR="00BD05F6" w:rsidRPr="00C23BDE" w:rsidRDefault="00BD05F6" w:rsidP="00C23BDE">
            <w:pPr>
              <w:pStyle w:val="Tablecondensed"/>
            </w:pPr>
            <w:r w:rsidRPr="00C23BDE">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C5181" w14:textId="30D5FB15" w:rsidR="00BD05F6" w:rsidRPr="00C23BDE" w:rsidRDefault="00BD05F6" w:rsidP="00C23BDE">
            <w:pPr>
              <w:pStyle w:val="Tablecondensed"/>
            </w:pPr>
            <w:r w:rsidRPr="00C23BDE">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FA2BE" w14:textId="3E4E77E3" w:rsidR="00BD05F6" w:rsidRPr="00C23BDE" w:rsidRDefault="00BD05F6" w:rsidP="00C23BDE">
            <w:pPr>
              <w:pStyle w:val="Tablecondensed"/>
            </w:pPr>
            <w:r w:rsidRPr="00C23BDE">
              <w:t>39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34DE7" w14:textId="23A34BDB" w:rsidR="00BD05F6" w:rsidRPr="00C23BDE" w:rsidRDefault="00BD05F6" w:rsidP="00C23BDE">
            <w:pPr>
              <w:pStyle w:val="Tablecondensed"/>
            </w:pPr>
            <w:r w:rsidRPr="00C23BDE">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092ED" w14:textId="3D9DB366" w:rsidR="00BD05F6" w:rsidRPr="00C23BDE" w:rsidRDefault="00AB6DD1" w:rsidP="00C23BDE">
            <w:pPr>
              <w:pStyle w:val="Tablecondensed"/>
            </w:pPr>
            <w:r w:rsidRPr="00C23BDE">
              <w:t>6</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15940" w14:textId="201EDC64" w:rsidR="00BD05F6" w:rsidRPr="00C23BDE" w:rsidRDefault="00BD05F6" w:rsidP="00C23BDE">
            <w:pPr>
              <w:pStyle w:val="Tablecondensed"/>
            </w:pPr>
            <w:r w:rsidRPr="00C23BDE">
              <w:t>1.9</w:t>
            </w:r>
          </w:p>
        </w:tc>
      </w:tr>
    </w:tbl>
    <w:p w14:paraId="448F583E" w14:textId="6AE5E51D" w:rsidR="00AB6DD1" w:rsidRDefault="0A4CABB6" w:rsidP="1AD59A0D">
      <w:pPr>
        <w:pStyle w:val="BodyText"/>
      </w:pPr>
      <w:r>
        <w:t>This question required students to</w:t>
      </w:r>
      <w:r w:rsidR="3B271D43">
        <w:t xml:space="preserve"> demonstrate an understanding of the misconception that all Australian Indigenous people share one culture and </w:t>
      </w:r>
      <w:r w:rsidR="00BD7164">
        <w:t xml:space="preserve">to provide </w:t>
      </w:r>
      <w:r w:rsidR="3B271D43">
        <w:t>examples from Australian Indigenous cultures.</w:t>
      </w:r>
      <w:r w:rsidR="14541641">
        <w:t xml:space="preserve"> </w:t>
      </w:r>
      <w:r w:rsidR="7E9B1D0E">
        <w:t>Higher</w:t>
      </w:r>
      <w:r w:rsidR="00BD7164">
        <w:t>-</w:t>
      </w:r>
      <w:r w:rsidR="7E9B1D0E">
        <w:t>scoring responses were able to</w:t>
      </w:r>
      <w:r w:rsidR="35A8CF62">
        <w:t xml:space="preserve"> d</w:t>
      </w:r>
      <w:r w:rsidR="7E9B1D0E">
        <w:t>raw from material and non-material cultures to demonstrate the reality that there are multiple Australian Indigenous cultures</w:t>
      </w:r>
      <w:r w:rsidR="35A8CF62">
        <w:t xml:space="preserve"> and e</w:t>
      </w:r>
      <w:r w:rsidR="7E9B1D0E">
        <w:t>xplain how the evidence used supports the reality that there are multiple Australian Indigenous cultures</w:t>
      </w:r>
      <w:r w:rsidR="00EA43FE">
        <w:t>.</w:t>
      </w:r>
    </w:p>
    <w:p w14:paraId="33A6DC49" w14:textId="07597BFE" w:rsidR="00A56D26" w:rsidRDefault="00A56D26" w:rsidP="00BD05F6">
      <w:pPr>
        <w:pStyle w:val="BodyText"/>
        <w:rPr>
          <w:bCs/>
        </w:rPr>
      </w:pPr>
      <w:r>
        <w:rPr>
          <w:bCs/>
        </w:rPr>
        <w:t>To be awarded full marks students were required to:</w:t>
      </w:r>
    </w:p>
    <w:p w14:paraId="29A3FB05" w14:textId="1660A320" w:rsidR="00036DEF" w:rsidRPr="004226FE" w:rsidRDefault="00E83537" w:rsidP="00C23BDE">
      <w:pPr>
        <w:pStyle w:val="Bullet"/>
      </w:pPr>
      <w:r>
        <w:t>e</w:t>
      </w:r>
      <w:r w:rsidR="00036DEF" w:rsidRPr="004226FE">
        <w:t>xplain the public misconception that Australian Indigenous people share one culture</w:t>
      </w:r>
    </w:p>
    <w:p w14:paraId="30DC0AA7" w14:textId="145EC457" w:rsidR="00036DEF" w:rsidRPr="004226FE" w:rsidRDefault="00E83537" w:rsidP="00C23BDE">
      <w:pPr>
        <w:pStyle w:val="Bullet"/>
      </w:pPr>
      <w:r>
        <w:t>e</w:t>
      </w:r>
      <w:r w:rsidR="00036DEF" w:rsidRPr="004226FE">
        <w:t>xplain the origins of the misconception</w:t>
      </w:r>
    </w:p>
    <w:p w14:paraId="6A09133C" w14:textId="14A758B5" w:rsidR="005344B9" w:rsidRPr="004226FE" w:rsidRDefault="00E83537" w:rsidP="00C23BDE">
      <w:pPr>
        <w:pStyle w:val="Bullet"/>
      </w:pPr>
      <w:r>
        <w:t>e</w:t>
      </w:r>
      <w:r w:rsidR="005344B9" w:rsidRPr="004226FE">
        <w:t>xplain why</w:t>
      </w:r>
      <w:r w:rsidR="00195F4D">
        <w:t xml:space="preserve"> it is a</w:t>
      </w:r>
      <w:r w:rsidR="005344B9" w:rsidRPr="004226FE">
        <w:t xml:space="preserve"> misconception </w:t>
      </w:r>
    </w:p>
    <w:p w14:paraId="355E3E84" w14:textId="10937F40" w:rsidR="00036DEF" w:rsidRPr="004226FE" w:rsidRDefault="00E83537" w:rsidP="00C23BDE">
      <w:pPr>
        <w:pStyle w:val="Bullet"/>
      </w:pPr>
      <w:r>
        <w:t>u</w:t>
      </w:r>
      <w:r w:rsidRPr="004226FE">
        <w:t xml:space="preserve">se </w:t>
      </w:r>
      <w:r w:rsidR="00036DEF" w:rsidRPr="004226FE">
        <w:t>examples from Australian Indigenous cultures to explain the reality that there are multiple Australian Indigenous cultures</w:t>
      </w:r>
      <w:r>
        <w:t>.</w:t>
      </w:r>
    </w:p>
    <w:p w14:paraId="0019BEFE" w14:textId="05857B84" w:rsidR="00B7325D" w:rsidRDefault="00B7325D" w:rsidP="00B7325D">
      <w:pPr>
        <w:pStyle w:val="BodyText"/>
        <w:rPr>
          <w:bCs/>
          <w:lang w:val="en-US"/>
        </w:rPr>
      </w:pPr>
      <w:r w:rsidRPr="00B7325D">
        <w:rPr>
          <w:bCs/>
          <w:lang w:val="en-US"/>
        </w:rPr>
        <w:t>The following is an example of a high-scoring response</w:t>
      </w:r>
      <w:r>
        <w:rPr>
          <w:bCs/>
          <w:lang w:val="en-US"/>
        </w:rPr>
        <w:t xml:space="preserve"> that has effectively used evidence from multiple Indigenous cultures to demonstrate that there are multiple </w:t>
      </w:r>
      <w:r>
        <w:rPr>
          <w:bCs/>
        </w:rPr>
        <w:t>Australian Indigenou</w:t>
      </w:r>
      <w:r w:rsidR="00BC0F8D">
        <w:rPr>
          <w:bCs/>
        </w:rPr>
        <w:t>s culture</w:t>
      </w:r>
      <w:r>
        <w:rPr>
          <w:bCs/>
        </w:rPr>
        <w:t>s:</w:t>
      </w:r>
    </w:p>
    <w:p w14:paraId="527A78F0" w14:textId="4F3B16E2" w:rsidR="00B7325D" w:rsidRPr="00C23BDE" w:rsidRDefault="00B7325D" w:rsidP="00C23BDE">
      <w:pPr>
        <w:pStyle w:val="studentresponse"/>
      </w:pPr>
      <w:r w:rsidRPr="00C23BDE">
        <w:t>The misconception that all Indigenous people share one culture has numerous sources, including the failure of the media to describe the specific cultural group of Indigenous people, which has “contributed to people seeing an Aboriginal woman…rather than a ‘Noongar’ woman” (Creative Spirits, 2022)…In reality, Indigenous people belong to a diverse and huge range of cultural groups, seen through their variety of languages, of which 167 Indigenous languages are still spoken today (ABS, 2021). Furthermore, these groups have different material and non-material culture, such as the Koori Bunjil and the Yolungu people Rainbow Serpent. Thus, the misconception is false and Indigenous people belong to a range of diverse cultures.</w:t>
      </w:r>
    </w:p>
    <w:p w14:paraId="06A40F13" w14:textId="77777777" w:rsidR="00D66E89" w:rsidRDefault="00D66E89">
      <w:pPr>
        <w:spacing w:line="276" w:lineRule="auto"/>
        <w:rPr>
          <w:rFonts w:ascii="Arial" w:hAnsi="Arial" w:cs="Arial"/>
          <w:color w:val="0F7EB4"/>
          <w:sz w:val="40"/>
          <w:szCs w:val="28"/>
          <w:lang w:val="en-AU"/>
        </w:rPr>
      </w:pPr>
      <w:r>
        <w:br w:type="page"/>
      </w:r>
    </w:p>
    <w:p w14:paraId="39C4D664" w14:textId="6A9C3B83" w:rsidR="00B7325D" w:rsidRPr="00A56D26" w:rsidRDefault="00A56D26" w:rsidP="00C23BDE">
      <w:pPr>
        <w:pStyle w:val="Head2"/>
      </w:pPr>
      <w:r>
        <w:lastRenderedPageBreak/>
        <w:t>Question 2</w:t>
      </w:r>
    </w:p>
    <w:tbl>
      <w:tblPr>
        <w:tblStyle w:val="VCAATableClosed"/>
        <w:tblW w:w="0" w:type="auto"/>
        <w:tblInd w:w="0" w:type="dxa"/>
        <w:tblLook w:val="01E0" w:firstRow="1" w:lastRow="1" w:firstColumn="1" w:lastColumn="1" w:noHBand="0" w:noVBand="0"/>
      </w:tblPr>
      <w:tblGrid>
        <w:gridCol w:w="720"/>
        <w:gridCol w:w="576"/>
        <w:gridCol w:w="576"/>
        <w:gridCol w:w="576"/>
        <w:gridCol w:w="576"/>
        <w:gridCol w:w="576"/>
        <w:gridCol w:w="576"/>
        <w:gridCol w:w="576"/>
        <w:gridCol w:w="1008"/>
      </w:tblGrid>
      <w:tr w:rsidR="00A56D26" w:rsidRPr="00EA43FE" w14:paraId="7DDE3EE5" w14:textId="77777777">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1ED9E9CB" w14:textId="77777777" w:rsidR="00A56D26" w:rsidRPr="00C23BDE" w:rsidRDefault="00A56D26"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28EAD801" w14:textId="77777777" w:rsidR="00A56D26" w:rsidRPr="00C23BDE" w:rsidRDefault="00A56D26"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546D6E3C" w14:textId="77777777" w:rsidR="00A56D26" w:rsidRPr="00C23BDE" w:rsidRDefault="00A56D26"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052AE5C4" w14:textId="77777777" w:rsidR="00A56D26" w:rsidRPr="00C23BDE" w:rsidRDefault="00A56D26"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59BD4E3E" w14:textId="77777777" w:rsidR="00A56D26" w:rsidRPr="00C23BDE" w:rsidRDefault="00A56D26"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4E6F89A6" w14:textId="77777777" w:rsidR="00A56D26" w:rsidRPr="00C23BDE" w:rsidRDefault="00A56D26" w:rsidP="00C23BDE">
            <w:pPr>
              <w:pStyle w:val="Tablecondensed"/>
            </w:pPr>
            <w:r w:rsidRPr="00C23BDE">
              <w:t>4</w:t>
            </w:r>
          </w:p>
        </w:tc>
        <w:tc>
          <w:tcPr>
            <w:tcW w:w="576" w:type="dxa"/>
            <w:tcBorders>
              <w:top w:val="single" w:sz="4" w:space="0" w:color="000000" w:themeColor="text1"/>
              <w:bottom w:val="single" w:sz="4" w:space="0" w:color="000000" w:themeColor="text1"/>
            </w:tcBorders>
            <w:hideMark/>
          </w:tcPr>
          <w:p w14:paraId="28007914" w14:textId="77777777" w:rsidR="00A56D26" w:rsidRPr="00C23BDE" w:rsidRDefault="00A56D26" w:rsidP="00C23BDE">
            <w:pPr>
              <w:pStyle w:val="Tablecondensed"/>
            </w:pPr>
            <w:r w:rsidRPr="00C23BDE">
              <w:t>5</w:t>
            </w:r>
          </w:p>
        </w:tc>
        <w:tc>
          <w:tcPr>
            <w:tcW w:w="576" w:type="dxa"/>
            <w:tcBorders>
              <w:top w:val="single" w:sz="4" w:space="0" w:color="000000" w:themeColor="text1"/>
              <w:bottom w:val="single" w:sz="4" w:space="0" w:color="000000" w:themeColor="text1"/>
            </w:tcBorders>
            <w:hideMark/>
          </w:tcPr>
          <w:p w14:paraId="3531AA97" w14:textId="77777777" w:rsidR="00A56D26" w:rsidRPr="00C23BDE" w:rsidRDefault="00A56D26" w:rsidP="00C23BDE">
            <w:pPr>
              <w:pStyle w:val="Tablecondensed"/>
            </w:pPr>
            <w:r w:rsidRPr="00C23BDE">
              <w:t>6</w:t>
            </w:r>
          </w:p>
        </w:tc>
        <w:tc>
          <w:tcPr>
            <w:tcW w:w="1008" w:type="dxa"/>
            <w:tcBorders>
              <w:top w:val="single" w:sz="4" w:space="0" w:color="000000" w:themeColor="text1"/>
              <w:bottom w:val="single" w:sz="4" w:space="0" w:color="000000" w:themeColor="text1"/>
              <w:right w:val="single" w:sz="4" w:space="0" w:color="000000" w:themeColor="text1"/>
            </w:tcBorders>
            <w:hideMark/>
          </w:tcPr>
          <w:p w14:paraId="4D6A30C8" w14:textId="77777777" w:rsidR="00A56D26" w:rsidRPr="00C23BDE" w:rsidRDefault="00A56D26" w:rsidP="00C23BDE">
            <w:pPr>
              <w:pStyle w:val="Tablecondensed"/>
            </w:pPr>
            <w:r w:rsidRPr="00C23BDE">
              <w:t>Average</w:t>
            </w:r>
          </w:p>
        </w:tc>
      </w:tr>
      <w:tr w:rsidR="00A56D26" w:rsidRPr="00EA43FE" w14:paraId="4FDD35AA" w14:textId="77777777">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FDA04" w14:textId="77777777" w:rsidR="00A56D26" w:rsidRPr="00C23BDE" w:rsidRDefault="00A56D26"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BAAFD" w14:textId="3C8E89AF" w:rsidR="00A56D26" w:rsidRPr="00C23BDE" w:rsidRDefault="00A56D26" w:rsidP="00C23BDE">
            <w:pPr>
              <w:pStyle w:val="Tablecondensed"/>
            </w:pPr>
            <w:r w:rsidRPr="00C23BDE">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DB7618" w14:textId="493AA2E7" w:rsidR="00A56D26" w:rsidRPr="00C23BDE" w:rsidRDefault="00A56D26" w:rsidP="00C23BDE">
            <w:pPr>
              <w:pStyle w:val="Tablecondensed"/>
            </w:pPr>
            <w:r w:rsidRPr="00C23BDE">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E2373" w14:textId="5D3BBF34" w:rsidR="00A56D26" w:rsidRPr="00C23BDE" w:rsidRDefault="00A56D26" w:rsidP="00C23BDE">
            <w:pPr>
              <w:pStyle w:val="Tablecondensed"/>
            </w:pPr>
            <w:r w:rsidRPr="00C23BDE">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2DD7B" w14:textId="58ED03BD" w:rsidR="00A56D26" w:rsidRPr="00C23BDE" w:rsidRDefault="00A56D26" w:rsidP="00C23BDE">
            <w:pPr>
              <w:pStyle w:val="Tablecondensed"/>
            </w:pPr>
            <w:r w:rsidRPr="00C23BDE">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75DF9" w14:textId="0B7999AE" w:rsidR="00A56D26" w:rsidRPr="00C23BDE" w:rsidRDefault="00A56D26" w:rsidP="00C23BDE">
            <w:pPr>
              <w:pStyle w:val="Tablecondensed"/>
            </w:pPr>
            <w:r w:rsidRPr="00C23BDE">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CEC54" w14:textId="1D74C68F" w:rsidR="00A56D26" w:rsidRPr="00C23BDE" w:rsidRDefault="00A56D26" w:rsidP="00C23BDE">
            <w:pPr>
              <w:pStyle w:val="Tablecondensed"/>
            </w:pPr>
            <w:r w:rsidRPr="00C23BDE">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33F51" w14:textId="073D615C" w:rsidR="00A56D26" w:rsidRPr="00C23BDE" w:rsidRDefault="00A56D26" w:rsidP="00C23BDE">
            <w:pPr>
              <w:pStyle w:val="Tablecondensed"/>
            </w:pPr>
            <w:r w:rsidRPr="00C23BDE">
              <w:t>11</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0B002" w14:textId="714F13E1" w:rsidR="00A56D26" w:rsidRPr="00C23BDE" w:rsidRDefault="00A56D26" w:rsidP="00C23BDE">
            <w:pPr>
              <w:pStyle w:val="Tablecondensed"/>
            </w:pPr>
            <w:r w:rsidRPr="00C23BDE">
              <w:t>3.6</w:t>
            </w:r>
          </w:p>
        </w:tc>
      </w:tr>
    </w:tbl>
    <w:p w14:paraId="22B67163" w14:textId="6FFC21CB" w:rsidR="00AB6DD1" w:rsidRPr="00A56D26" w:rsidRDefault="00A56D26" w:rsidP="00747B03">
      <w:pPr>
        <w:pStyle w:val="BodyText"/>
        <w:rPr>
          <w:bCs/>
        </w:rPr>
      </w:pPr>
      <w:bookmarkStart w:id="0" w:name="_Hlk221207153"/>
      <w:r>
        <w:rPr>
          <w:bCs/>
        </w:rPr>
        <w:t>This question required students to</w:t>
      </w:r>
      <w:r w:rsidR="001A407C">
        <w:rPr>
          <w:bCs/>
        </w:rPr>
        <w:t xml:space="preserve"> apply Charles Wright Mills</w:t>
      </w:r>
      <w:r w:rsidR="005344B9">
        <w:rPr>
          <w:bCs/>
        </w:rPr>
        <w:t>’s</w:t>
      </w:r>
      <w:r w:rsidR="001A407C">
        <w:rPr>
          <w:bCs/>
        </w:rPr>
        <w:t xml:space="preserve"> concept of the sociological imagination to </w:t>
      </w:r>
      <w:r w:rsidR="005344B9">
        <w:rPr>
          <w:bCs/>
        </w:rPr>
        <w:t>R</w:t>
      </w:r>
      <w:r w:rsidR="001A407C">
        <w:rPr>
          <w:bCs/>
        </w:rPr>
        <w:t>epresentation</w:t>
      </w:r>
      <w:r w:rsidR="002A0F51">
        <w:rPr>
          <w:bCs/>
        </w:rPr>
        <w:t>s</w:t>
      </w:r>
      <w:r w:rsidR="001A407C">
        <w:rPr>
          <w:bCs/>
        </w:rPr>
        <w:t xml:space="preserve"> 1a and 1b. Many students were able </w:t>
      </w:r>
      <w:r w:rsidR="002A0F51">
        <w:rPr>
          <w:bCs/>
        </w:rPr>
        <w:t xml:space="preserve">to </w:t>
      </w:r>
      <w:r w:rsidR="001A407C">
        <w:rPr>
          <w:bCs/>
        </w:rPr>
        <w:t>demonstrate an understanding of Mills</w:t>
      </w:r>
      <w:r w:rsidR="005344B9">
        <w:rPr>
          <w:bCs/>
        </w:rPr>
        <w:t>’s</w:t>
      </w:r>
      <w:r w:rsidR="001A407C">
        <w:rPr>
          <w:bCs/>
        </w:rPr>
        <w:t xml:space="preserve"> concept and to select appropriate evidence from the representations provided</w:t>
      </w:r>
      <w:r w:rsidR="002A0F51">
        <w:rPr>
          <w:bCs/>
        </w:rPr>
        <w:t>;</w:t>
      </w:r>
      <w:r w:rsidR="001A407C">
        <w:rPr>
          <w:bCs/>
        </w:rPr>
        <w:t xml:space="preserve"> however</w:t>
      </w:r>
      <w:r w:rsidR="002A0F51">
        <w:rPr>
          <w:bCs/>
        </w:rPr>
        <w:t>,</w:t>
      </w:r>
      <w:r w:rsidR="001A407C">
        <w:rPr>
          <w:bCs/>
        </w:rPr>
        <w:t xml:space="preserve"> the connection between their evidence was not always explained. Many students incorrectly applied </w:t>
      </w:r>
      <w:r w:rsidR="002B7EA4">
        <w:rPr>
          <w:bCs/>
        </w:rPr>
        <w:t xml:space="preserve">Evan </w:t>
      </w:r>
      <w:r w:rsidR="001A407C">
        <w:rPr>
          <w:bCs/>
        </w:rPr>
        <w:t>Willis’s framework to the representations, which did not fulfil the demands of the question.</w:t>
      </w:r>
      <w:r w:rsidR="00747B03">
        <w:rPr>
          <w:bCs/>
        </w:rPr>
        <w:t xml:space="preserve"> </w:t>
      </w:r>
      <w:r w:rsidR="00AB6DD1">
        <w:rPr>
          <w:bCs/>
        </w:rPr>
        <w:t>Higher</w:t>
      </w:r>
      <w:r w:rsidR="00BD7164">
        <w:rPr>
          <w:bCs/>
        </w:rPr>
        <w:t>-</w:t>
      </w:r>
      <w:r w:rsidR="00AB6DD1">
        <w:rPr>
          <w:bCs/>
        </w:rPr>
        <w:t>scoring responses were able t</w:t>
      </w:r>
      <w:r w:rsidR="00747B03">
        <w:rPr>
          <w:bCs/>
        </w:rPr>
        <w:t>o te</w:t>
      </w:r>
      <w:r w:rsidR="00AB6DD1">
        <w:rPr>
          <w:bCs/>
        </w:rPr>
        <w:t xml:space="preserve">ase out how the personal struggles of </w:t>
      </w:r>
      <w:r w:rsidR="00AB6DD1" w:rsidRPr="00C23BDE">
        <w:t>Indigenous Australians (e.g. dispossession, abuse) are connected to broader public issues like national identity, systemic inequality and the denial of their rightful place in Australian society</w:t>
      </w:r>
      <w:r w:rsidR="008C37CB">
        <w:t>.</w:t>
      </w:r>
    </w:p>
    <w:bookmarkEnd w:id="0"/>
    <w:p w14:paraId="4A88C67C" w14:textId="27848643" w:rsidR="00A56D26" w:rsidRDefault="001A407C" w:rsidP="00A56D26">
      <w:pPr>
        <w:pStyle w:val="BodyText"/>
        <w:rPr>
          <w:bCs/>
        </w:rPr>
      </w:pPr>
      <w:r>
        <w:rPr>
          <w:bCs/>
        </w:rPr>
        <w:t>To be awarded full marks students needed to</w:t>
      </w:r>
      <w:r w:rsidR="00A56D26">
        <w:rPr>
          <w:bCs/>
        </w:rPr>
        <w:t>:</w:t>
      </w:r>
    </w:p>
    <w:p w14:paraId="7C3362CD" w14:textId="6DA90EDE" w:rsidR="00A56D26" w:rsidRPr="00BB1BD8" w:rsidRDefault="00E83537" w:rsidP="00C23BDE">
      <w:pPr>
        <w:pStyle w:val="Bullet"/>
      </w:pPr>
      <w:r>
        <w:t>d</w:t>
      </w:r>
      <w:r w:rsidR="00A56D26" w:rsidRPr="00BB1BD8">
        <w:t>emonstrate an understanding of the sociological imagination as conceived of by Charles Wright Mills</w:t>
      </w:r>
      <w:r w:rsidR="00E235A4">
        <w:t xml:space="preserve"> as</w:t>
      </w:r>
      <w:r w:rsidR="00A56D26" w:rsidRPr="00BB1BD8">
        <w:t xml:space="preserve"> </w:t>
      </w:r>
      <w:r w:rsidR="00E235A4">
        <w:t>‘</w:t>
      </w:r>
      <w:r w:rsidR="00A56D26" w:rsidRPr="00C23BDE">
        <w:t>an awareness of the relationship between personal experience and wider society</w:t>
      </w:r>
      <w:r w:rsidR="002A0F51">
        <w:t xml:space="preserve"> </w:t>
      </w:r>
      <w:r w:rsidR="00A56D26" w:rsidRPr="00C23BDE">
        <w:t>…</w:t>
      </w:r>
      <w:r w:rsidR="002A0F51">
        <w:t xml:space="preserve"> </w:t>
      </w:r>
      <w:r w:rsidR="00A56D26" w:rsidRPr="00C23BDE">
        <w:t>emphasis[ing] the importance of seeing the connections between social structures or public issues and individual experience or personal troubles</w:t>
      </w:r>
      <w:r w:rsidR="002A0F51">
        <w:t>’</w:t>
      </w:r>
      <w:r w:rsidR="00A56D26" w:rsidRPr="00C23BDE">
        <w:t xml:space="preserve"> (</w:t>
      </w:r>
      <w:hyperlink r:id="rId8" w:history="1">
        <w:r w:rsidR="00E235A4" w:rsidRPr="00E235A4">
          <w:rPr>
            <w:rStyle w:val="Hyperlink"/>
          </w:rPr>
          <w:t>Sociology Study Design</w:t>
        </w:r>
      </w:hyperlink>
      <w:r w:rsidR="00A56D26" w:rsidRPr="00C23BDE">
        <w:t>)</w:t>
      </w:r>
    </w:p>
    <w:p w14:paraId="5A6257EB" w14:textId="5819C870" w:rsidR="00A56D26" w:rsidRPr="00BB1BD8" w:rsidRDefault="00E83537" w:rsidP="00C23BDE">
      <w:pPr>
        <w:pStyle w:val="Bullet"/>
      </w:pPr>
      <w:r>
        <w:t>d</w:t>
      </w:r>
      <w:r w:rsidR="00A56D26" w:rsidRPr="00BB1BD8">
        <w:t xml:space="preserve">emonstrate an understanding of public awareness </w:t>
      </w:r>
      <w:r w:rsidR="00A56D26" w:rsidRPr="00C23BDE">
        <w:t>(knowledge and understanding)</w:t>
      </w:r>
    </w:p>
    <w:p w14:paraId="09D3BF8C" w14:textId="0F5F5309" w:rsidR="00A56D26" w:rsidRPr="00BB1BD8" w:rsidRDefault="00E83537" w:rsidP="00C23BDE">
      <w:pPr>
        <w:pStyle w:val="Bullet"/>
      </w:pPr>
      <w:r>
        <w:t>a</w:t>
      </w:r>
      <w:r w:rsidR="00A56D26" w:rsidRPr="00BB1BD8">
        <w:t xml:space="preserve">pply the sociological imagination to </w:t>
      </w:r>
      <w:r w:rsidR="00BD7164">
        <w:t>R</w:t>
      </w:r>
      <w:r w:rsidR="00BD7164" w:rsidRPr="00BB1BD8">
        <w:t>epresentation</w:t>
      </w:r>
      <w:r w:rsidR="00BD7164">
        <w:t>s</w:t>
      </w:r>
      <w:r w:rsidR="00BD7164" w:rsidRPr="00BB1BD8">
        <w:t xml:space="preserve"> </w:t>
      </w:r>
      <w:r w:rsidR="00A56D26" w:rsidRPr="00BB1BD8">
        <w:t>1a and 1b</w:t>
      </w:r>
      <w:r w:rsidR="00D9510F">
        <w:t>.</w:t>
      </w:r>
    </w:p>
    <w:p w14:paraId="49568938" w14:textId="649C021B" w:rsidR="001A407C" w:rsidRDefault="001A407C" w:rsidP="00C23BDE">
      <w:pPr>
        <w:pStyle w:val="BodyText"/>
        <w:rPr>
          <w:bCs/>
          <w:lang w:val="en-US"/>
        </w:rPr>
      </w:pPr>
      <w:r w:rsidRPr="00B7325D">
        <w:rPr>
          <w:bCs/>
          <w:lang w:val="en-US"/>
        </w:rPr>
        <w:t>The following is an example of a high-scoring response</w:t>
      </w:r>
      <w:r>
        <w:rPr>
          <w:bCs/>
          <w:lang w:val="en-US"/>
        </w:rPr>
        <w:t xml:space="preserve"> that has effectively connected their evidence to </w:t>
      </w:r>
      <w:r w:rsidR="00BC0F8D">
        <w:rPr>
          <w:bCs/>
          <w:lang w:val="en-US"/>
        </w:rPr>
        <w:t>Mills</w:t>
      </w:r>
      <w:r>
        <w:rPr>
          <w:bCs/>
          <w:lang w:val="en-US"/>
        </w:rPr>
        <w:t>’ concept of the sociological imagination</w:t>
      </w:r>
      <w:r w:rsidR="00BC0F8D">
        <w:rPr>
          <w:bCs/>
          <w:lang w:val="en-US"/>
        </w:rPr>
        <w:t>:</w:t>
      </w:r>
    </w:p>
    <w:p w14:paraId="2F2B948A" w14:textId="57014055" w:rsidR="009F0B37" w:rsidRPr="00C23BDE" w:rsidRDefault="00D8449D" w:rsidP="00C23BDE">
      <w:pPr>
        <w:pStyle w:val="studentresponse"/>
      </w:pPr>
      <w:r w:rsidRPr="00C23BDE">
        <w:t xml:space="preserve">In representation 1a, it shows that </w:t>
      </w:r>
      <w:r w:rsidR="00886B9F">
        <w:t>I</w:t>
      </w:r>
      <w:r w:rsidRPr="00C23BDE">
        <w:t xml:space="preserve">ndigenous Australians have suffered “two centuries of dispossession and abuse”. </w:t>
      </w:r>
      <w:r w:rsidR="00BC0F8D" w:rsidRPr="00C23BDE">
        <w:t>The sociological imagination helps us to understand that this is due to social structures such as the</w:t>
      </w:r>
      <w:r w:rsidRPr="00C23BDE">
        <w:t xml:space="preserve"> </w:t>
      </w:r>
      <w:r w:rsidR="00BC0F8D" w:rsidRPr="00C23BDE">
        <w:t>Australian governments incessant attempts to absorb Australian indigen</w:t>
      </w:r>
      <w:r w:rsidRPr="00C23BDE">
        <w:t xml:space="preserve">ous cultures into the dominant Anglo Celtic culture and thus led to the personal experiences of first nations individuals experiencing abuse and feeling disconnected from country. </w:t>
      </w:r>
    </w:p>
    <w:p w14:paraId="0B3347CF" w14:textId="4C2F5CAA" w:rsidR="001A407C" w:rsidRPr="00C23BDE" w:rsidRDefault="00D8449D" w:rsidP="00C23BDE">
      <w:pPr>
        <w:pStyle w:val="studentresponse"/>
      </w:pPr>
      <w:r w:rsidRPr="00C23BDE">
        <w:t>In representation 1b, CW mills sociological imagination can show awareness (knowledge and understanding) of the experiences of Australian indigenous people as it can help to emphasise how the social structures of the Australian government and how European colonisers took the land for the British crown led to the personal experience of the Wurundjeri people feeling displaced.</w:t>
      </w:r>
    </w:p>
    <w:p w14:paraId="69B42CC3" w14:textId="06F83D4B" w:rsidR="00D8449D" w:rsidRPr="00A56D26" w:rsidRDefault="00D8449D" w:rsidP="00C23BDE">
      <w:pPr>
        <w:pStyle w:val="Head2"/>
      </w:pPr>
      <w:r>
        <w:t>Question 3</w:t>
      </w:r>
    </w:p>
    <w:tbl>
      <w:tblPr>
        <w:tblStyle w:val="VCAATableClosed1"/>
        <w:tblW w:w="0" w:type="auto"/>
        <w:tblInd w:w="0" w:type="dxa"/>
        <w:tblLook w:val="01E0" w:firstRow="1" w:lastRow="1" w:firstColumn="1" w:lastColumn="1" w:noHBand="0" w:noVBand="0"/>
      </w:tblPr>
      <w:tblGrid>
        <w:gridCol w:w="720"/>
        <w:gridCol w:w="576"/>
        <w:gridCol w:w="576"/>
        <w:gridCol w:w="576"/>
        <w:gridCol w:w="576"/>
        <w:gridCol w:w="576"/>
        <w:gridCol w:w="576"/>
        <w:gridCol w:w="576"/>
        <w:gridCol w:w="576"/>
        <w:gridCol w:w="576"/>
        <w:gridCol w:w="576"/>
        <w:gridCol w:w="576"/>
        <w:gridCol w:w="1008"/>
      </w:tblGrid>
      <w:tr w:rsidR="00D8449D" w:rsidRPr="00EA43FE" w14:paraId="7F68C133" w14:textId="77777777">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F3E7305" w14:textId="77777777" w:rsidR="00D8449D" w:rsidRPr="00C23BDE" w:rsidRDefault="00D8449D"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19CF7231" w14:textId="77777777" w:rsidR="00D8449D" w:rsidRPr="00C23BDE" w:rsidRDefault="00D8449D"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465C8084" w14:textId="77777777" w:rsidR="00D8449D" w:rsidRPr="00C23BDE" w:rsidRDefault="00D8449D"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65BB2310" w14:textId="77777777" w:rsidR="00D8449D" w:rsidRPr="00C23BDE" w:rsidRDefault="00D8449D"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573D1838" w14:textId="77777777" w:rsidR="00D8449D" w:rsidRPr="00C23BDE" w:rsidRDefault="00D8449D"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5DD6FC66" w14:textId="77777777" w:rsidR="00D8449D" w:rsidRPr="00C23BDE" w:rsidRDefault="00D8449D" w:rsidP="00C23BDE">
            <w:pPr>
              <w:pStyle w:val="Tablecondensed"/>
            </w:pPr>
            <w:r w:rsidRPr="00C23BDE">
              <w:t>4</w:t>
            </w:r>
          </w:p>
        </w:tc>
        <w:tc>
          <w:tcPr>
            <w:tcW w:w="576" w:type="dxa"/>
            <w:tcBorders>
              <w:top w:val="single" w:sz="4" w:space="0" w:color="000000" w:themeColor="text1"/>
              <w:bottom w:val="single" w:sz="4" w:space="0" w:color="000000" w:themeColor="text1"/>
            </w:tcBorders>
            <w:hideMark/>
          </w:tcPr>
          <w:p w14:paraId="1B9DD004" w14:textId="77777777" w:rsidR="00D8449D" w:rsidRPr="00C23BDE" w:rsidRDefault="00D8449D" w:rsidP="00C23BDE">
            <w:pPr>
              <w:pStyle w:val="Tablecondensed"/>
            </w:pPr>
            <w:r w:rsidRPr="00C23BDE">
              <w:t>5</w:t>
            </w:r>
          </w:p>
        </w:tc>
        <w:tc>
          <w:tcPr>
            <w:tcW w:w="576" w:type="dxa"/>
            <w:tcBorders>
              <w:top w:val="single" w:sz="4" w:space="0" w:color="000000" w:themeColor="text1"/>
              <w:bottom w:val="single" w:sz="4" w:space="0" w:color="000000" w:themeColor="text1"/>
            </w:tcBorders>
            <w:hideMark/>
          </w:tcPr>
          <w:p w14:paraId="1041DFB4" w14:textId="77777777" w:rsidR="00D8449D" w:rsidRPr="00C23BDE" w:rsidRDefault="00D8449D" w:rsidP="00C23BDE">
            <w:pPr>
              <w:pStyle w:val="Tablecondensed"/>
            </w:pPr>
            <w:r w:rsidRPr="00C23BDE">
              <w:t>6</w:t>
            </w:r>
          </w:p>
        </w:tc>
        <w:tc>
          <w:tcPr>
            <w:tcW w:w="576" w:type="dxa"/>
            <w:tcBorders>
              <w:top w:val="single" w:sz="4" w:space="0" w:color="000000" w:themeColor="text1"/>
              <w:bottom w:val="single" w:sz="4" w:space="0" w:color="000000" w:themeColor="text1"/>
            </w:tcBorders>
            <w:hideMark/>
          </w:tcPr>
          <w:p w14:paraId="4A2FC359" w14:textId="77777777" w:rsidR="00D8449D" w:rsidRPr="00C23BDE" w:rsidRDefault="00D8449D" w:rsidP="00C23BDE">
            <w:pPr>
              <w:pStyle w:val="Tablecondensed"/>
            </w:pPr>
            <w:r w:rsidRPr="00C23BDE">
              <w:t>7</w:t>
            </w:r>
          </w:p>
        </w:tc>
        <w:tc>
          <w:tcPr>
            <w:tcW w:w="576" w:type="dxa"/>
            <w:tcBorders>
              <w:top w:val="single" w:sz="4" w:space="0" w:color="000000" w:themeColor="text1"/>
              <w:bottom w:val="single" w:sz="4" w:space="0" w:color="000000" w:themeColor="text1"/>
            </w:tcBorders>
            <w:hideMark/>
          </w:tcPr>
          <w:p w14:paraId="256607B3" w14:textId="77777777" w:rsidR="00D8449D" w:rsidRPr="00C23BDE" w:rsidRDefault="00D8449D" w:rsidP="00C23BDE">
            <w:pPr>
              <w:pStyle w:val="Tablecondensed"/>
            </w:pPr>
            <w:r w:rsidRPr="00C23BDE">
              <w:t>8</w:t>
            </w:r>
          </w:p>
        </w:tc>
        <w:tc>
          <w:tcPr>
            <w:tcW w:w="576" w:type="dxa"/>
            <w:tcBorders>
              <w:top w:val="single" w:sz="4" w:space="0" w:color="000000" w:themeColor="text1"/>
              <w:bottom w:val="single" w:sz="4" w:space="0" w:color="000000" w:themeColor="text1"/>
            </w:tcBorders>
            <w:hideMark/>
          </w:tcPr>
          <w:p w14:paraId="564213C0" w14:textId="77777777" w:rsidR="00D8449D" w:rsidRPr="00C23BDE" w:rsidRDefault="00D8449D" w:rsidP="00C23BDE">
            <w:pPr>
              <w:pStyle w:val="Tablecondensed"/>
            </w:pPr>
            <w:r w:rsidRPr="00C23BDE">
              <w:t>9</w:t>
            </w:r>
          </w:p>
        </w:tc>
        <w:tc>
          <w:tcPr>
            <w:tcW w:w="576" w:type="dxa"/>
            <w:tcBorders>
              <w:top w:val="single" w:sz="4" w:space="0" w:color="000000" w:themeColor="text1"/>
              <w:bottom w:val="single" w:sz="4" w:space="0" w:color="000000" w:themeColor="text1"/>
            </w:tcBorders>
            <w:hideMark/>
          </w:tcPr>
          <w:p w14:paraId="3FFC8FA8" w14:textId="77777777" w:rsidR="00D8449D" w:rsidRPr="00C23BDE" w:rsidRDefault="00D8449D" w:rsidP="00C23BDE">
            <w:pPr>
              <w:pStyle w:val="Tablecondensed"/>
            </w:pPr>
            <w:r w:rsidRPr="00C23BDE">
              <w:t>10</w:t>
            </w:r>
          </w:p>
        </w:tc>
        <w:tc>
          <w:tcPr>
            <w:tcW w:w="1008" w:type="dxa"/>
            <w:tcBorders>
              <w:top w:val="single" w:sz="4" w:space="0" w:color="000000" w:themeColor="text1"/>
              <w:bottom w:val="single" w:sz="4" w:space="0" w:color="000000" w:themeColor="text1"/>
              <w:right w:val="single" w:sz="4" w:space="0" w:color="000000" w:themeColor="text1"/>
            </w:tcBorders>
            <w:hideMark/>
          </w:tcPr>
          <w:p w14:paraId="571FF0E1" w14:textId="77777777" w:rsidR="00D8449D" w:rsidRPr="00C23BDE" w:rsidRDefault="00D8449D" w:rsidP="00C23BDE">
            <w:pPr>
              <w:pStyle w:val="Tablecondensed"/>
            </w:pPr>
            <w:r w:rsidRPr="00C23BDE">
              <w:t>Average</w:t>
            </w:r>
          </w:p>
        </w:tc>
      </w:tr>
      <w:tr w:rsidR="00D8449D" w:rsidRPr="00EA43FE" w14:paraId="615F1693" w14:textId="77777777">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8BD15" w14:textId="77777777" w:rsidR="00D8449D" w:rsidRPr="00C23BDE" w:rsidRDefault="00D8449D"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ABCB2" w14:textId="4E1A9646" w:rsidR="00D8449D" w:rsidRPr="00C23BDE" w:rsidRDefault="00D8449D" w:rsidP="00C23BDE">
            <w:pPr>
              <w:pStyle w:val="Tablecondensed"/>
            </w:pPr>
            <w:r w:rsidRPr="00C23BDE">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F5F26D" w14:textId="5D7D0479" w:rsidR="00D8449D" w:rsidRPr="00C23BDE" w:rsidRDefault="00D8449D" w:rsidP="00C23BDE">
            <w:pPr>
              <w:pStyle w:val="Tablecondensed"/>
            </w:pPr>
            <w:r w:rsidRPr="00C23BDE">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1F970" w14:textId="4B4FCA96" w:rsidR="00D8449D" w:rsidRPr="00C23BDE" w:rsidRDefault="00D8449D" w:rsidP="00C23BDE">
            <w:pPr>
              <w:pStyle w:val="Tablecondensed"/>
            </w:pPr>
            <w:r w:rsidRPr="00C23BDE">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B4694" w14:textId="77777777" w:rsidR="00D8449D" w:rsidRPr="00C23BDE" w:rsidRDefault="00D8449D" w:rsidP="00C23BDE">
            <w:pPr>
              <w:pStyle w:val="Tablecondensed"/>
            </w:pPr>
            <w:r w:rsidRPr="00C23BDE">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F9692" w14:textId="731244DC" w:rsidR="00D8449D" w:rsidRPr="00C23BDE" w:rsidRDefault="00D8449D" w:rsidP="00C23BDE">
            <w:pPr>
              <w:pStyle w:val="Tablecondensed"/>
            </w:pPr>
            <w:r w:rsidRPr="00C23BDE">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05426" w14:textId="602E4D37" w:rsidR="00D8449D" w:rsidRPr="00C23BDE" w:rsidRDefault="00D8449D" w:rsidP="00C23BDE">
            <w:pPr>
              <w:pStyle w:val="Tablecondensed"/>
            </w:pPr>
            <w:r w:rsidRPr="00C23BDE">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93255" w14:textId="39DD752D" w:rsidR="00D8449D" w:rsidRPr="00C23BDE" w:rsidRDefault="00D8449D" w:rsidP="00C23BDE">
            <w:pPr>
              <w:pStyle w:val="Tablecondensed"/>
            </w:pPr>
            <w:r w:rsidRPr="00C23BDE">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E2E3" w14:textId="2907821D" w:rsidR="00D8449D" w:rsidRPr="00C23BDE" w:rsidRDefault="00D8449D" w:rsidP="00C23BDE">
            <w:pPr>
              <w:pStyle w:val="Tablecondensed"/>
            </w:pPr>
            <w:r w:rsidRPr="00C23BDE">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8E98A" w14:textId="70090920" w:rsidR="00D8449D" w:rsidRPr="00C23BDE" w:rsidRDefault="00D8449D" w:rsidP="00C23BDE">
            <w:pPr>
              <w:pStyle w:val="Tablecondensed"/>
            </w:pPr>
            <w:r w:rsidRPr="00C23BDE">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4537C" w14:textId="6A38582A" w:rsidR="00D8449D" w:rsidRPr="00C23BDE" w:rsidRDefault="00D8449D" w:rsidP="00C23BDE">
            <w:pPr>
              <w:pStyle w:val="Tablecondensed"/>
            </w:pPr>
            <w:r w:rsidRPr="00C23BDE">
              <w:t>0.3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39BBA" w14:textId="70E5EC2C" w:rsidR="00D8449D" w:rsidRPr="00C23BDE" w:rsidRDefault="00D8449D" w:rsidP="00C23BDE">
            <w:pPr>
              <w:pStyle w:val="Tablecondensed"/>
            </w:pPr>
            <w:r w:rsidRPr="00C23BDE">
              <w:t>0.1</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A2D0C" w14:textId="577099A6" w:rsidR="00D8449D" w:rsidRPr="00C23BDE" w:rsidRDefault="00D8449D" w:rsidP="00C23BDE">
            <w:pPr>
              <w:pStyle w:val="Tablecondensed"/>
            </w:pPr>
            <w:r w:rsidRPr="00C23BDE">
              <w:t>3.2</w:t>
            </w:r>
          </w:p>
        </w:tc>
      </w:tr>
    </w:tbl>
    <w:p w14:paraId="68E6BA82" w14:textId="660DE254" w:rsidR="00AB6DD1" w:rsidRDefault="00D8449D" w:rsidP="00D8449D">
      <w:pPr>
        <w:pStyle w:val="BodyText"/>
        <w:rPr>
          <w:bCs/>
          <w:lang w:val="en-US"/>
        </w:rPr>
      </w:pPr>
      <w:r>
        <w:rPr>
          <w:bCs/>
        </w:rPr>
        <w:t xml:space="preserve">This question required students to </w:t>
      </w:r>
      <w:r w:rsidR="00514701">
        <w:rPr>
          <w:bCs/>
        </w:rPr>
        <w:t xml:space="preserve">present a balanced argument </w:t>
      </w:r>
      <w:r w:rsidR="003F72C3">
        <w:rPr>
          <w:bCs/>
        </w:rPr>
        <w:t xml:space="preserve">about </w:t>
      </w:r>
      <w:r w:rsidR="00514701">
        <w:rPr>
          <w:bCs/>
        </w:rPr>
        <w:t xml:space="preserve">why people may have different views (opinions and stereotypes) on reconciliation. Within this discussion students needed to demonstrate an example of both </w:t>
      </w:r>
      <w:r w:rsidR="00514701" w:rsidRPr="00514701">
        <w:rPr>
          <w:bCs/>
          <w:lang w:val="en-US"/>
        </w:rPr>
        <w:t>practical reconciliation (addressing inequalities between Indigenous and non-Indigenous Australians) and symbolic reconciliation (recognising historical injustices)</w:t>
      </w:r>
      <w:r w:rsidR="00514701">
        <w:rPr>
          <w:bCs/>
          <w:lang w:val="en-US"/>
        </w:rPr>
        <w:t xml:space="preserve">. </w:t>
      </w:r>
    </w:p>
    <w:p w14:paraId="3DA656C6" w14:textId="3E221865" w:rsidR="006E2F07" w:rsidRDefault="006E2F07" w:rsidP="00D8449D">
      <w:pPr>
        <w:pStyle w:val="BodyText"/>
        <w:rPr>
          <w:bCs/>
          <w:lang w:val="en-US"/>
        </w:rPr>
      </w:pPr>
      <w:r>
        <w:rPr>
          <w:bCs/>
          <w:lang w:val="en-US"/>
        </w:rPr>
        <w:t xml:space="preserve">Discussions about </w:t>
      </w:r>
      <w:r w:rsidR="00342483">
        <w:rPr>
          <w:bCs/>
          <w:lang w:val="en-US"/>
        </w:rPr>
        <w:t xml:space="preserve">the </w:t>
      </w:r>
      <w:r w:rsidR="00D47CC8">
        <w:rPr>
          <w:bCs/>
          <w:lang w:val="en-US"/>
        </w:rPr>
        <w:t>student’s</w:t>
      </w:r>
      <w:r>
        <w:rPr>
          <w:bCs/>
          <w:lang w:val="en-US"/>
        </w:rPr>
        <w:t xml:space="preserve"> case study into </w:t>
      </w:r>
      <w:r w:rsidR="00B56C9B">
        <w:rPr>
          <w:bCs/>
          <w:lang w:val="en-US"/>
        </w:rPr>
        <w:t xml:space="preserve">initiatives to </w:t>
      </w:r>
      <w:r>
        <w:rPr>
          <w:bCs/>
          <w:lang w:val="en-US"/>
        </w:rPr>
        <w:t>increas</w:t>
      </w:r>
      <w:r w:rsidR="00B56C9B">
        <w:rPr>
          <w:bCs/>
          <w:lang w:val="en-US"/>
        </w:rPr>
        <w:t>e</w:t>
      </w:r>
      <w:r>
        <w:rPr>
          <w:bCs/>
          <w:lang w:val="en-US"/>
        </w:rPr>
        <w:t xml:space="preserve"> awareness of Australian Indigenous cultures, including the Change the Date campaign</w:t>
      </w:r>
      <w:r w:rsidR="00D9510F">
        <w:rPr>
          <w:bCs/>
          <w:lang w:val="en-US"/>
        </w:rPr>
        <w:t>,</w:t>
      </w:r>
      <w:r>
        <w:rPr>
          <w:bCs/>
          <w:lang w:val="en-US"/>
        </w:rPr>
        <w:t xml:space="preserve"> did not allow students to sufficiently address the demands of the question. </w:t>
      </w:r>
    </w:p>
    <w:p w14:paraId="36A95BD2" w14:textId="77777777" w:rsidR="003F72C3" w:rsidRDefault="003F72C3">
      <w:pPr>
        <w:spacing w:line="276" w:lineRule="auto"/>
        <w:rPr>
          <w:rFonts w:ascii="Arial" w:hAnsi="Arial" w:cs="Arial"/>
          <w:bCs/>
          <w:color w:val="000000" w:themeColor="text1"/>
          <w:sz w:val="20"/>
          <w:lang w:val="en-AU" w:eastAsia="en-AU"/>
        </w:rPr>
      </w:pPr>
      <w:r>
        <w:rPr>
          <w:bCs/>
        </w:rPr>
        <w:br w:type="page"/>
      </w:r>
    </w:p>
    <w:p w14:paraId="1F7C8AE7" w14:textId="10E830EB" w:rsidR="00EF2FBD" w:rsidRDefault="00EF2FBD" w:rsidP="00EF2FBD">
      <w:pPr>
        <w:pStyle w:val="BodyText"/>
        <w:rPr>
          <w:bCs/>
        </w:rPr>
      </w:pPr>
      <w:r>
        <w:rPr>
          <w:bCs/>
        </w:rPr>
        <w:lastRenderedPageBreak/>
        <w:t>To be awarded full marks students needed to:</w:t>
      </w:r>
    </w:p>
    <w:p w14:paraId="07E98F7F" w14:textId="77777777" w:rsidR="00EF2FBD" w:rsidRPr="00BB1BD8" w:rsidRDefault="00EF2FBD" w:rsidP="00EF2FBD">
      <w:pPr>
        <w:pStyle w:val="Bullet"/>
      </w:pPr>
      <w:r>
        <w:t>d</w:t>
      </w:r>
      <w:r w:rsidRPr="00BB1BD8">
        <w:t>emonstrate an understanding of the process of reconciliation (actions that have been executed to address the healing of Indigenous Australians)</w:t>
      </w:r>
    </w:p>
    <w:p w14:paraId="2632AADE" w14:textId="77777777" w:rsidR="00EF2FBD" w:rsidRPr="00BB1BD8" w:rsidRDefault="00EF2FBD" w:rsidP="00EF2FBD">
      <w:pPr>
        <w:pStyle w:val="Bullet"/>
      </w:pPr>
      <w:r>
        <w:t>p</w:t>
      </w:r>
      <w:r w:rsidRPr="00BB1BD8">
        <w:t>rovide an explanation of both practical and symbolic reconciliation with appropriate examples</w:t>
      </w:r>
    </w:p>
    <w:p w14:paraId="00D1D52D" w14:textId="3D0EBCA0" w:rsidR="00EF2FBD" w:rsidRPr="00BB1BD8" w:rsidRDefault="00EF2FBD" w:rsidP="00EF2FBD">
      <w:pPr>
        <w:pStyle w:val="Bullet"/>
      </w:pPr>
      <w:r>
        <w:t>p</w:t>
      </w:r>
      <w:r w:rsidRPr="00BB1BD8">
        <w:t>rovide a discussion on how/why views (opinions and stereotypes) on reconciliation may differ</w:t>
      </w:r>
    </w:p>
    <w:p w14:paraId="0CEBE09D" w14:textId="77777777" w:rsidR="00EF2FBD" w:rsidRPr="00BB1BD8" w:rsidRDefault="00EF2FBD" w:rsidP="00EF2FBD">
      <w:pPr>
        <w:pStyle w:val="Bullet"/>
      </w:pPr>
      <w:r>
        <w:t>s</w:t>
      </w:r>
      <w:r w:rsidRPr="00BB1BD8">
        <w:t>ynthesise a range of relevant evidence/sources to draw conclusions</w:t>
      </w:r>
      <w:r>
        <w:t>.</w:t>
      </w:r>
    </w:p>
    <w:p w14:paraId="757B63D1" w14:textId="7967091C" w:rsidR="00D47CC8" w:rsidRDefault="00AB6DD1" w:rsidP="00D8449D">
      <w:pPr>
        <w:pStyle w:val="BodyText"/>
        <w:rPr>
          <w:bCs/>
          <w:lang w:val="en-US"/>
        </w:rPr>
      </w:pPr>
      <w:r>
        <w:rPr>
          <w:bCs/>
          <w:lang w:val="en-US"/>
        </w:rPr>
        <w:t>Higher</w:t>
      </w:r>
      <w:r w:rsidR="00927331">
        <w:rPr>
          <w:bCs/>
          <w:lang w:val="en-US"/>
        </w:rPr>
        <w:t>-</w:t>
      </w:r>
      <w:r>
        <w:rPr>
          <w:bCs/>
          <w:lang w:val="en-US"/>
        </w:rPr>
        <w:t>scoring responses</w:t>
      </w:r>
      <w:r w:rsidR="00D47CC8">
        <w:rPr>
          <w:bCs/>
          <w:lang w:val="en-US"/>
        </w:rPr>
        <w:t>:</w:t>
      </w:r>
    </w:p>
    <w:p w14:paraId="1F32CDAE" w14:textId="16E44695" w:rsidR="00D47CC8" w:rsidRPr="00BB1BD8" w:rsidRDefault="00E83537" w:rsidP="00C23BDE">
      <w:pPr>
        <w:pStyle w:val="Bullet"/>
      </w:pPr>
      <w:r>
        <w:t>d</w:t>
      </w:r>
      <w:r w:rsidR="7E9B1D0E" w:rsidRPr="00BB1BD8">
        <w:t xml:space="preserve">iscussed the impact of reconciliation on awareness (knowledge and understanding) of Australian Indigenous </w:t>
      </w:r>
      <w:r w:rsidR="7026B9AE" w:rsidRPr="00BB1BD8">
        <w:t xml:space="preserve">Peoples </w:t>
      </w:r>
      <w:r w:rsidR="7E9B1D0E" w:rsidRPr="00BB1BD8">
        <w:t>and how this in turn positively influenced views (views and opinions)</w:t>
      </w:r>
    </w:p>
    <w:p w14:paraId="4C7088D3" w14:textId="64D08CFA" w:rsidR="00AB6DD1" w:rsidRPr="00BB1BD8" w:rsidRDefault="00E83537" w:rsidP="00C23BDE">
      <w:pPr>
        <w:pStyle w:val="Bullet"/>
      </w:pPr>
      <w:r>
        <w:t>i</w:t>
      </w:r>
      <w:r w:rsidR="00514701" w:rsidRPr="00BB1BD8">
        <w:t xml:space="preserve">ncluded evidence to support their discussion from </w:t>
      </w:r>
      <w:r w:rsidR="00AB6DD1" w:rsidRPr="00BB1BD8">
        <w:t>news articles, documentaries, podcasts and ABS statistical data</w:t>
      </w:r>
    </w:p>
    <w:p w14:paraId="36617C0F" w14:textId="2FBD5293" w:rsidR="00C01706" w:rsidRPr="00BB1BD8" w:rsidRDefault="00E83537" w:rsidP="00C23BDE">
      <w:pPr>
        <w:pStyle w:val="Bullet"/>
      </w:pPr>
      <w:r>
        <w:t>u</w:t>
      </w:r>
      <w:r w:rsidRPr="00BB1BD8">
        <w:t xml:space="preserve">sed </w:t>
      </w:r>
      <w:r w:rsidR="00C01706" w:rsidRPr="00BB1BD8">
        <w:t>qualifying language when explicit evidence of impact on views was not available.</w:t>
      </w:r>
    </w:p>
    <w:p w14:paraId="275B53FF" w14:textId="44D62574" w:rsidR="00514701" w:rsidRDefault="00514701" w:rsidP="00D8449D">
      <w:pPr>
        <w:pStyle w:val="BodyText"/>
        <w:rPr>
          <w:bCs/>
          <w:lang w:val="en-US"/>
        </w:rPr>
      </w:pPr>
      <w:r>
        <w:rPr>
          <w:bCs/>
          <w:lang w:val="en-US"/>
        </w:rPr>
        <w:t xml:space="preserve">Teachers are reminded that students need to be able to discuss the process of reconciliation </w:t>
      </w:r>
      <w:r w:rsidR="00927331">
        <w:rPr>
          <w:bCs/>
          <w:lang w:val="en-US"/>
        </w:rPr>
        <w:t>and not</w:t>
      </w:r>
      <w:r>
        <w:rPr>
          <w:bCs/>
          <w:lang w:val="en-US"/>
        </w:rPr>
        <w:t xml:space="preserve"> just provide examples of practical and symbolic reconciliation.</w:t>
      </w:r>
    </w:p>
    <w:p w14:paraId="6D144DBB" w14:textId="2F935123" w:rsidR="00AB6DD1" w:rsidRPr="00C23BDE" w:rsidRDefault="7E9B1D0E" w:rsidP="00C23BDE">
      <w:pPr>
        <w:pStyle w:val="BodyText"/>
      </w:pPr>
      <w:r w:rsidRPr="00C23BDE">
        <w:t xml:space="preserve">The following </w:t>
      </w:r>
      <w:r w:rsidR="14F9523B" w:rsidRPr="00C23BDE">
        <w:t xml:space="preserve">are </w:t>
      </w:r>
      <w:r w:rsidRPr="00C23BDE">
        <w:t>example</w:t>
      </w:r>
      <w:r w:rsidR="14F9523B" w:rsidRPr="00C23BDE">
        <w:t>s</w:t>
      </w:r>
      <w:r w:rsidRPr="00C23BDE">
        <w:t xml:space="preserve"> of</w:t>
      </w:r>
      <w:r w:rsidR="14F9523B" w:rsidRPr="00C23BDE">
        <w:t xml:space="preserve"> </w:t>
      </w:r>
      <w:r w:rsidRPr="00C23BDE">
        <w:t>high-scoring response</w:t>
      </w:r>
      <w:r w:rsidR="14F9523B" w:rsidRPr="00C23BDE">
        <w:t>s</w:t>
      </w:r>
      <w:r w:rsidRPr="00C23BDE">
        <w:t xml:space="preserve"> that </w:t>
      </w:r>
      <w:r w:rsidR="14F9523B" w:rsidRPr="00C23BDE">
        <w:t>have</w:t>
      </w:r>
      <w:r w:rsidRPr="00C23BDE">
        <w:t xml:space="preserve"> </w:t>
      </w:r>
      <w:r w:rsidR="37A2709C" w:rsidRPr="00C23BDE">
        <w:t>provided an effective disc</w:t>
      </w:r>
      <w:r w:rsidR="21BFC608" w:rsidRPr="00C23BDE">
        <w:t>u</w:t>
      </w:r>
      <w:r w:rsidR="37A2709C" w:rsidRPr="00C23BDE">
        <w:t>ssion on why opinions on reconciliation may differ</w:t>
      </w:r>
      <w:r w:rsidR="14F9523B" w:rsidRPr="00C23BDE">
        <w:t>, supported with sourced evidence</w:t>
      </w:r>
      <w:r w:rsidRPr="00C23BDE">
        <w:t>:</w:t>
      </w:r>
    </w:p>
    <w:p w14:paraId="04E68BC2" w14:textId="6667A632" w:rsidR="00FF0BED" w:rsidRPr="00C23BDE" w:rsidRDefault="001C2727" w:rsidP="00CA13F3">
      <w:pPr>
        <w:pStyle w:val="studentresponse"/>
      </w:pPr>
      <w:r w:rsidRPr="00C23BDE">
        <w:t>However, other individuals criti</w:t>
      </w:r>
      <w:r w:rsidR="00B07410">
        <w:t>cis</w:t>
      </w:r>
      <w:r w:rsidRPr="00C23BDE">
        <w:t>ed this as performative, with Indigenous woman Jacinta Price criticising such approaches by whi</w:t>
      </w:r>
      <w:r w:rsidR="00FF0BED">
        <w:t>t</w:t>
      </w:r>
      <w:r w:rsidRPr="00C23BDE">
        <w:t xml:space="preserve">e politicians as ‘overly paternal’ (Jacinta Princes official website). Similarly, despite Rudd’s request to ‘move forward to the future’ Gunnai, Gndjitmara and Djab Warrung woman </w:t>
      </w:r>
      <w:r w:rsidR="00B07410">
        <w:t>L</w:t>
      </w:r>
      <w:r w:rsidRPr="00C23BDE">
        <w:t>idia Thorpe has stated that ‘until we receive treaty’ Australians</w:t>
      </w:r>
      <w:r w:rsidR="00372C3B" w:rsidRPr="00C23BDE">
        <w:t xml:space="preserve"> won’t be able to ‘look forward to a future where we will all be equal</w:t>
      </w:r>
      <w:r w:rsidR="00B56C9B">
        <w:t>’</w:t>
      </w:r>
      <w:r w:rsidR="00372C3B" w:rsidRPr="00C23BDE">
        <w:t xml:space="preserve"> (ABC, 2025).</w:t>
      </w:r>
    </w:p>
    <w:p w14:paraId="6996DE2B" w14:textId="2A3B6719" w:rsidR="000C7055" w:rsidRPr="00C23BDE" w:rsidRDefault="006E2F07" w:rsidP="00C23BDE">
      <w:pPr>
        <w:pStyle w:val="studentresponse"/>
      </w:pPr>
      <w:r w:rsidRPr="00C23BDE">
        <w:t>This is a form of practical reconciliation that is viewed as beneficial by the Federal government and elected members of the Labor party. Although, Karen Mundian, the CEO of Reconciliation Australia, critiques that not enough is being done, in that the lawmakers adopt a “we know best attitude that disregards advice” from Indigenous people (Reconciliation Australia, 2024)</w:t>
      </w:r>
      <w:r w:rsidR="000C7055" w:rsidRPr="00C23BDE">
        <w:t xml:space="preserve">…Many Australians view this gesture of apologising as effective in improving the relationship between Indigenous people and non-Indigenous people. Although, this apology has also been criticized as tokenistic </w:t>
      </w:r>
      <w:proofErr w:type="gramStart"/>
      <w:r w:rsidR="000C7055" w:rsidRPr="00C23BDE">
        <w:t>an</w:t>
      </w:r>
      <w:r w:rsidR="00C01706" w:rsidRPr="00C23BDE">
        <w:t xml:space="preserve">d </w:t>
      </w:r>
      <w:r w:rsidR="000C7055" w:rsidRPr="00C23BDE">
        <w:t>also</w:t>
      </w:r>
      <w:proofErr w:type="gramEnd"/>
      <w:r w:rsidR="000C7055" w:rsidRPr="00C23BDE">
        <w:t xml:space="preserve"> hypocritical since it coincided with the intervention (2007-2012) which suppressed Indigenous culture. This emphasises conflicting views and how reconciliation is a process which isn’t always done right. </w:t>
      </w:r>
    </w:p>
    <w:p w14:paraId="4780CE52" w14:textId="2D744FAA" w:rsidR="000C7055" w:rsidRPr="00A56D26" w:rsidRDefault="000C7055" w:rsidP="00C23BDE">
      <w:pPr>
        <w:pStyle w:val="Head2"/>
      </w:pPr>
      <w:r>
        <w:t>Question 4a</w:t>
      </w:r>
      <w:r w:rsidR="00BB1BD8">
        <w:t>.</w:t>
      </w:r>
    </w:p>
    <w:tbl>
      <w:tblPr>
        <w:tblStyle w:val="VCAATableClosed"/>
        <w:tblW w:w="0" w:type="auto"/>
        <w:tblInd w:w="0" w:type="dxa"/>
        <w:tblLook w:val="01E0" w:firstRow="1" w:lastRow="1" w:firstColumn="1" w:lastColumn="1" w:noHBand="0" w:noVBand="0"/>
      </w:tblPr>
      <w:tblGrid>
        <w:gridCol w:w="795"/>
        <w:gridCol w:w="576"/>
        <w:gridCol w:w="576"/>
        <w:gridCol w:w="576"/>
        <w:gridCol w:w="1008"/>
      </w:tblGrid>
      <w:tr w:rsidR="000C7055" w:rsidRPr="00EA43FE" w14:paraId="16C2DD61" w14:textId="77777777" w:rsidTr="000C7055">
        <w:trPr>
          <w:cnfStyle w:val="100000000000" w:firstRow="1" w:lastRow="0" w:firstColumn="0" w:lastColumn="0" w:oddVBand="0" w:evenVBand="0" w:oddHBand="0" w:evenHBand="0" w:firstRowFirstColumn="0" w:firstRowLastColumn="0" w:lastRowFirstColumn="0" w:lastRowLastColumn="0"/>
          <w:trHeight w:hRule="exact" w:val="397"/>
          <w:tblHeader/>
        </w:trPr>
        <w:tc>
          <w:tcPr>
            <w:tcW w:w="795" w:type="dxa"/>
            <w:tcBorders>
              <w:top w:val="single" w:sz="4" w:space="0" w:color="000000" w:themeColor="text1"/>
              <w:left w:val="single" w:sz="4" w:space="0" w:color="000000" w:themeColor="text1"/>
              <w:bottom w:val="single" w:sz="4" w:space="0" w:color="000000" w:themeColor="text1"/>
            </w:tcBorders>
            <w:hideMark/>
          </w:tcPr>
          <w:p w14:paraId="3377EA45" w14:textId="77777777" w:rsidR="000C7055" w:rsidRPr="00C23BDE" w:rsidRDefault="000C7055"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1A6321AD" w14:textId="77777777" w:rsidR="000C7055" w:rsidRPr="00C23BDE" w:rsidRDefault="000C7055"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680F9DB2" w14:textId="77777777" w:rsidR="000C7055" w:rsidRPr="00C23BDE" w:rsidRDefault="000C7055"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3A21AA2E" w14:textId="77777777" w:rsidR="000C7055" w:rsidRPr="00C23BDE" w:rsidRDefault="000C7055" w:rsidP="00C23BDE">
            <w:pPr>
              <w:pStyle w:val="Tablecondensed"/>
            </w:pPr>
            <w:r w:rsidRPr="00C23BDE">
              <w:t>2</w:t>
            </w:r>
          </w:p>
        </w:tc>
        <w:tc>
          <w:tcPr>
            <w:tcW w:w="1008" w:type="dxa"/>
            <w:tcBorders>
              <w:top w:val="single" w:sz="4" w:space="0" w:color="000000" w:themeColor="text1"/>
              <w:bottom w:val="single" w:sz="4" w:space="0" w:color="000000" w:themeColor="text1"/>
              <w:right w:val="single" w:sz="4" w:space="0" w:color="000000" w:themeColor="text1"/>
            </w:tcBorders>
            <w:hideMark/>
          </w:tcPr>
          <w:p w14:paraId="1A64594F" w14:textId="77777777" w:rsidR="000C7055" w:rsidRPr="00C23BDE" w:rsidRDefault="000C7055" w:rsidP="00C23BDE">
            <w:pPr>
              <w:pStyle w:val="Tablecondensed"/>
            </w:pPr>
            <w:r w:rsidRPr="00C23BDE">
              <w:t>Average</w:t>
            </w:r>
          </w:p>
        </w:tc>
      </w:tr>
      <w:tr w:rsidR="000C7055" w:rsidRPr="00EA43FE" w14:paraId="6BD68C93" w14:textId="77777777" w:rsidTr="000C7055">
        <w:trPr>
          <w:trHeight w:hRule="exact" w:val="397"/>
        </w:trPr>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3961F" w14:textId="77777777" w:rsidR="000C7055" w:rsidRPr="00C23BDE" w:rsidRDefault="000C7055"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312D5" w14:textId="38F0A034" w:rsidR="000C7055" w:rsidRPr="00C23BDE" w:rsidRDefault="004F4956" w:rsidP="00C23BDE">
            <w:pPr>
              <w:pStyle w:val="Tablecondensed"/>
            </w:pPr>
            <w:r w:rsidRPr="00C23BDE">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63A9D" w14:textId="5926CA5D" w:rsidR="000C7055" w:rsidRPr="00C23BDE" w:rsidRDefault="004F4956" w:rsidP="00C23BDE">
            <w:pPr>
              <w:pStyle w:val="Tablecondensed"/>
            </w:pPr>
            <w:r w:rsidRPr="00C23BDE">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36C95" w14:textId="65A150F3" w:rsidR="000C7055" w:rsidRPr="00C23BDE" w:rsidRDefault="004F4956" w:rsidP="00C23BDE">
            <w:pPr>
              <w:pStyle w:val="Tablecondensed"/>
            </w:pPr>
            <w:r w:rsidRPr="00C23BDE">
              <w:t>78</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328F2" w14:textId="43EF01C0" w:rsidR="000C7055" w:rsidRPr="00C23BDE" w:rsidRDefault="000C7055" w:rsidP="00C23BDE">
            <w:pPr>
              <w:pStyle w:val="Tablecondensed"/>
            </w:pPr>
            <w:r w:rsidRPr="00C23BDE">
              <w:t>1.</w:t>
            </w:r>
            <w:r w:rsidR="00FF0BED">
              <w:t>8</w:t>
            </w:r>
          </w:p>
        </w:tc>
      </w:tr>
    </w:tbl>
    <w:p w14:paraId="3998B37C" w14:textId="6FFABCFE" w:rsidR="00D47CC8" w:rsidRDefault="769EC1DC" w:rsidP="1AD59A0D">
      <w:pPr>
        <w:pStyle w:val="BodyText"/>
      </w:pPr>
      <w:r>
        <w:t xml:space="preserve">This question required students to demonstrate an understanding </w:t>
      </w:r>
      <w:r w:rsidR="65359319">
        <w:t xml:space="preserve">of </w:t>
      </w:r>
      <w:r w:rsidR="438F3E9E">
        <w:t xml:space="preserve">material culture (tangible aspects of culture) and identify an appropriate example from the representation. Students generally responded well to this question. Stronger responses were able to identify specific examples of material culture such as </w:t>
      </w:r>
      <w:r w:rsidR="00FF0BED">
        <w:t>‘</w:t>
      </w:r>
      <w:r w:rsidR="51900115">
        <w:t>pierogi</w:t>
      </w:r>
      <w:r w:rsidR="00FF0BED">
        <w:t>’</w:t>
      </w:r>
      <w:r w:rsidR="438F3E9E">
        <w:t xml:space="preserve">, </w:t>
      </w:r>
      <w:r w:rsidR="00FF0BED">
        <w:t>‘</w:t>
      </w:r>
      <w:r w:rsidR="438F3E9E">
        <w:t>traditional flavours and ingredients (Polish mountain cheese)</w:t>
      </w:r>
      <w:r w:rsidR="00FF0BED">
        <w:t>’</w:t>
      </w:r>
      <w:r w:rsidR="438F3E9E">
        <w:t xml:space="preserve"> or </w:t>
      </w:r>
      <w:r w:rsidR="00FF0BED">
        <w:t>‘</w:t>
      </w:r>
      <w:r w:rsidR="438F3E9E">
        <w:t>sauerkraut</w:t>
      </w:r>
      <w:r w:rsidR="00FF0BED">
        <w:t>’</w:t>
      </w:r>
      <w:r w:rsidR="438F3E9E">
        <w:t>.</w:t>
      </w:r>
    </w:p>
    <w:p w14:paraId="0C9D5DA4" w14:textId="31A59D85" w:rsidR="004F4956" w:rsidRDefault="004F4956" w:rsidP="004F4956">
      <w:pPr>
        <w:pStyle w:val="BodyText"/>
        <w:rPr>
          <w:bCs/>
        </w:rPr>
      </w:pPr>
      <w:r>
        <w:rPr>
          <w:bCs/>
        </w:rPr>
        <w:t>To be awarded full marks students needed to:</w:t>
      </w:r>
    </w:p>
    <w:p w14:paraId="2DD3D763" w14:textId="013153B7" w:rsidR="004F4956" w:rsidRPr="00BB1BD8" w:rsidRDefault="00FF0BED" w:rsidP="00C23BDE">
      <w:pPr>
        <w:pStyle w:val="Bullet"/>
      </w:pPr>
      <w:r>
        <w:t>d</w:t>
      </w:r>
      <w:r w:rsidRPr="00BB1BD8">
        <w:t xml:space="preserve">emonstrate </w:t>
      </w:r>
      <w:r w:rsidR="004F4956" w:rsidRPr="00BB1BD8">
        <w:t>an understanding of material culture (tangible aspects of culture)</w:t>
      </w:r>
    </w:p>
    <w:p w14:paraId="3D06E639" w14:textId="5C653546" w:rsidR="000C7055" w:rsidRPr="00C23BDE" w:rsidRDefault="00FF0BED" w:rsidP="00C23BDE">
      <w:pPr>
        <w:pStyle w:val="Bullet"/>
      </w:pPr>
      <w:r>
        <w:t>i</w:t>
      </w:r>
      <w:r w:rsidR="004F4956" w:rsidRPr="00BB1BD8">
        <w:t>dentify an appropriate example from the representation</w:t>
      </w:r>
      <w:r>
        <w:t>.</w:t>
      </w:r>
    </w:p>
    <w:p w14:paraId="629C686D" w14:textId="300C7118" w:rsidR="00D47CC8" w:rsidRDefault="00D47CC8" w:rsidP="00D47CC8">
      <w:pPr>
        <w:pStyle w:val="BodyText"/>
        <w:rPr>
          <w:bCs/>
          <w:lang w:val="en-US"/>
        </w:rPr>
      </w:pPr>
      <w:r w:rsidRPr="00B7325D">
        <w:rPr>
          <w:bCs/>
          <w:lang w:val="en-US"/>
        </w:rPr>
        <w:t xml:space="preserve">The following is an example of a high-scoring </w:t>
      </w:r>
      <w:r>
        <w:rPr>
          <w:bCs/>
          <w:lang w:val="en-US"/>
        </w:rPr>
        <w:t>response:</w:t>
      </w:r>
    </w:p>
    <w:p w14:paraId="16BD1AF9" w14:textId="78E18F18" w:rsidR="00CA13F3" w:rsidRDefault="00D47CC8" w:rsidP="00B9174D">
      <w:pPr>
        <w:pStyle w:val="studentresponse"/>
        <w:rPr>
          <w:color w:val="0F7EB4"/>
          <w:sz w:val="40"/>
          <w:szCs w:val="28"/>
        </w:rPr>
      </w:pPr>
      <w:r w:rsidRPr="00C23BDE">
        <w:t xml:space="preserve">One example of material culture is the “perogi ruski” (Representation 2), which is a type of food unique to </w:t>
      </w:r>
      <w:r w:rsidR="00886B9F">
        <w:t>P</w:t>
      </w:r>
      <w:r w:rsidRPr="00C23BDE">
        <w:t>olish culture. Given that material culture is the objects and physical things created by members of a culture, this Polish food classifies as a physical thing created by the culture.</w:t>
      </w:r>
    </w:p>
    <w:p w14:paraId="195271DF" w14:textId="29E6CFC2" w:rsidR="00D47CC8" w:rsidRPr="00A56D26" w:rsidRDefault="00D47CC8" w:rsidP="00C23BDE">
      <w:pPr>
        <w:pStyle w:val="Head2"/>
      </w:pPr>
      <w:r>
        <w:lastRenderedPageBreak/>
        <w:t>Question 4</w:t>
      </w:r>
      <w:r w:rsidR="00D65ADB">
        <w:t>b</w:t>
      </w:r>
      <w:r w:rsidR="00BB1BD8">
        <w:t>.</w:t>
      </w:r>
    </w:p>
    <w:tbl>
      <w:tblPr>
        <w:tblStyle w:val="VCAATableClosed"/>
        <w:tblW w:w="0" w:type="auto"/>
        <w:tblInd w:w="0" w:type="dxa"/>
        <w:tblLook w:val="01E0" w:firstRow="1" w:lastRow="1" w:firstColumn="1" w:lastColumn="1" w:noHBand="0" w:noVBand="0"/>
      </w:tblPr>
      <w:tblGrid>
        <w:gridCol w:w="720"/>
        <w:gridCol w:w="576"/>
        <w:gridCol w:w="576"/>
        <w:gridCol w:w="576"/>
        <w:gridCol w:w="576"/>
        <w:gridCol w:w="576"/>
        <w:gridCol w:w="1008"/>
      </w:tblGrid>
      <w:tr w:rsidR="00D47CC8" w:rsidRPr="00EA43FE" w14:paraId="5F1B9A47" w14:textId="77777777" w:rsidTr="00591843">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AE730BC" w14:textId="77777777" w:rsidR="00D47CC8" w:rsidRPr="00C23BDE" w:rsidRDefault="00D47CC8"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62456307" w14:textId="77777777" w:rsidR="00D47CC8" w:rsidRPr="00C23BDE" w:rsidRDefault="00D47CC8"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1AF4EF5E" w14:textId="77777777" w:rsidR="00D47CC8" w:rsidRPr="00C23BDE" w:rsidRDefault="00D47CC8"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418FAB3C" w14:textId="77777777" w:rsidR="00D47CC8" w:rsidRPr="00C23BDE" w:rsidRDefault="00D47CC8"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3FA8FE94" w14:textId="77777777" w:rsidR="00D47CC8" w:rsidRPr="00C23BDE" w:rsidRDefault="00D47CC8"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513B4F2D" w14:textId="77777777" w:rsidR="00D47CC8" w:rsidRPr="00C23BDE" w:rsidRDefault="00D47CC8" w:rsidP="00C23BDE">
            <w:pPr>
              <w:pStyle w:val="Tablecondensed"/>
            </w:pPr>
            <w:r w:rsidRPr="00C23BDE">
              <w:t>4</w:t>
            </w:r>
          </w:p>
        </w:tc>
        <w:tc>
          <w:tcPr>
            <w:tcW w:w="1008" w:type="dxa"/>
            <w:tcBorders>
              <w:top w:val="single" w:sz="4" w:space="0" w:color="000000" w:themeColor="text1"/>
              <w:bottom w:val="single" w:sz="4" w:space="0" w:color="000000" w:themeColor="text1"/>
              <w:right w:val="single" w:sz="4" w:space="0" w:color="000000" w:themeColor="text1"/>
            </w:tcBorders>
            <w:hideMark/>
          </w:tcPr>
          <w:p w14:paraId="6B596243" w14:textId="77777777" w:rsidR="00D47CC8" w:rsidRPr="00C23BDE" w:rsidRDefault="00D47CC8" w:rsidP="00C23BDE">
            <w:pPr>
              <w:pStyle w:val="Tablecondensed"/>
            </w:pPr>
            <w:r w:rsidRPr="00C23BDE">
              <w:t>Average</w:t>
            </w:r>
          </w:p>
        </w:tc>
      </w:tr>
      <w:tr w:rsidR="00D47CC8" w:rsidRPr="00EA43FE" w14:paraId="26FDE763" w14:textId="77777777" w:rsidTr="00591843">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A6C09" w14:textId="77777777" w:rsidR="00D47CC8" w:rsidRPr="00C23BDE" w:rsidRDefault="00D47CC8"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0F71BB" w14:textId="35B0B33D" w:rsidR="00D47CC8" w:rsidRPr="00C23BDE" w:rsidRDefault="00D47CC8" w:rsidP="00C23BDE">
            <w:pPr>
              <w:pStyle w:val="Tablecondensed"/>
            </w:pPr>
            <w:r w:rsidRPr="00C23BDE">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8AF252" w14:textId="5FE953ED" w:rsidR="00D47CC8" w:rsidRPr="00C23BDE" w:rsidRDefault="00D47CC8" w:rsidP="00C23BDE">
            <w:pPr>
              <w:pStyle w:val="Tablecondensed"/>
            </w:pPr>
            <w:r w:rsidRPr="00C23BDE">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7EF008" w14:textId="2B4E0BB8" w:rsidR="00D47CC8" w:rsidRPr="00C23BDE" w:rsidRDefault="00D47CC8" w:rsidP="00C23BDE">
            <w:pPr>
              <w:pStyle w:val="Tablecondensed"/>
            </w:pPr>
            <w:r w:rsidRPr="00C23BDE">
              <w:t>36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B3E3F" w14:textId="5F4397A3" w:rsidR="00D47CC8" w:rsidRPr="00C23BDE" w:rsidRDefault="00D47CC8" w:rsidP="00C23BDE">
            <w:pPr>
              <w:pStyle w:val="Tablecondensed"/>
            </w:pPr>
            <w:r w:rsidRPr="00C23BDE">
              <w:t>29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FBA78" w14:textId="4AD98EAD" w:rsidR="00D47CC8" w:rsidRPr="00C23BDE" w:rsidRDefault="00D47CC8" w:rsidP="00C23BDE">
            <w:pPr>
              <w:pStyle w:val="Tablecondensed"/>
            </w:pPr>
            <w:r w:rsidRPr="00C23BDE">
              <w:t>8</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187A8" w14:textId="44345854" w:rsidR="00D47CC8" w:rsidRPr="00C23BDE" w:rsidRDefault="00D47CC8" w:rsidP="00C23BDE">
            <w:pPr>
              <w:pStyle w:val="Tablecondensed"/>
            </w:pPr>
            <w:r w:rsidRPr="00C23BDE">
              <w:t>2.1</w:t>
            </w:r>
          </w:p>
        </w:tc>
      </w:tr>
    </w:tbl>
    <w:p w14:paraId="12DCBBE2" w14:textId="003B89D4" w:rsidR="00747B03" w:rsidRPr="00BD13FB" w:rsidRDefault="00D47CC8" w:rsidP="00747B03">
      <w:pPr>
        <w:pStyle w:val="BodyText"/>
        <w:rPr>
          <w:bCs/>
        </w:rPr>
      </w:pPr>
      <w:r>
        <w:rPr>
          <w:bCs/>
        </w:rPr>
        <w:t xml:space="preserve">This question required students to explain how the Polish traditions used by ‘Eat </w:t>
      </w:r>
      <w:r w:rsidR="00B07410">
        <w:rPr>
          <w:bCs/>
        </w:rPr>
        <w:t>Pierogi</w:t>
      </w:r>
      <w:r>
        <w:rPr>
          <w:bCs/>
        </w:rPr>
        <w:t xml:space="preserve"> Make Love’ create a sense of belonging for the Polish community. </w:t>
      </w:r>
      <w:r w:rsidR="00747B03">
        <w:rPr>
          <w:bCs/>
        </w:rPr>
        <w:t>Higher</w:t>
      </w:r>
      <w:r w:rsidR="008B7381">
        <w:rPr>
          <w:bCs/>
        </w:rPr>
        <w:t>-</w:t>
      </w:r>
      <w:r w:rsidR="00747B03">
        <w:rPr>
          <w:bCs/>
        </w:rPr>
        <w:t>scoring responses were able to identify Polish traditions in the article and explain how the traditions they had identified could create a sense of belonging for the Polish community.</w:t>
      </w:r>
    </w:p>
    <w:p w14:paraId="42C09858" w14:textId="0D3BFFD8" w:rsidR="00D47CC8" w:rsidRDefault="00D47CC8" w:rsidP="00D47CC8">
      <w:pPr>
        <w:pStyle w:val="BodyText"/>
        <w:rPr>
          <w:bCs/>
        </w:rPr>
      </w:pPr>
      <w:r>
        <w:rPr>
          <w:bCs/>
        </w:rPr>
        <w:t xml:space="preserve">Many students mistakenly discussed how the ‘Eat </w:t>
      </w:r>
      <w:r w:rsidR="00B07410">
        <w:rPr>
          <w:bCs/>
        </w:rPr>
        <w:t>Pierogi</w:t>
      </w:r>
      <w:r>
        <w:rPr>
          <w:bCs/>
        </w:rPr>
        <w:t xml:space="preserve"> Make Love’ restaurant would </w:t>
      </w:r>
      <w:r w:rsidR="00BD13FB">
        <w:rPr>
          <w:bCs/>
        </w:rPr>
        <w:t>allow the Polish community to have an increased sense of belonging as it will educate the broader Australian community about their culture. Whil</w:t>
      </w:r>
      <w:r w:rsidR="00FF0BED">
        <w:rPr>
          <w:bCs/>
        </w:rPr>
        <w:t>e</w:t>
      </w:r>
      <w:r w:rsidR="00BD13FB">
        <w:rPr>
          <w:bCs/>
        </w:rPr>
        <w:t xml:space="preserve"> this may be true, students did not link specifically to traditions as specified by the question.</w:t>
      </w:r>
      <w:r w:rsidR="00747B03" w:rsidRPr="00747B03">
        <w:rPr>
          <w:bCs/>
        </w:rPr>
        <w:t xml:space="preserve"> </w:t>
      </w:r>
    </w:p>
    <w:p w14:paraId="25E9440A" w14:textId="51D2B924" w:rsidR="00D47CC8" w:rsidRDefault="00BD13FB" w:rsidP="00D47CC8">
      <w:pPr>
        <w:pStyle w:val="BodyText"/>
        <w:rPr>
          <w:bCs/>
        </w:rPr>
      </w:pPr>
      <w:r>
        <w:rPr>
          <w:bCs/>
        </w:rPr>
        <w:t>Many students defined community in this question, which was not a requirement</w:t>
      </w:r>
      <w:r w:rsidR="00FF0BED">
        <w:rPr>
          <w:bCs/>
        </w:rPr>
        <w:t>. T</w:t>
      </w:r>
      <w:r>
        <w:rPr>
          <w:bCs/>
        </w:rPr>
        <w:t xml:space="preserve">eachers are encouraged to work with students to help identify the key ideas in a question. </w:t>
      </w:r>
      <w:r w:rsidR="00EF2FBD">
        <w:rPr>
          <w:bCs/>
        </w:rPr>
        <w:t xml:space="preserve">They’re </w:t>
      </w:r>
      <w:r>
        <w:rPr>
          <w:bCs/>
        </w:rPr>
        <w:t>also encouraged to ensure that students know the difference between belonging (emotional experience of feeling secure and supported with</w:t>
      </w:r>
      <w:r w:rsidR="00EF2FBD">
        <w:rPr>
          <w:bCs/>
        </w:rPr>
        <w:t>in</w:t>
      </w:r>
      <w:r>
        <w:rPr>
          <w:bCs/>
        </w:rPr>
        <w:t xml:space="preserve"> a group) and inclusion (groups having resources, opportunities and capabilities to learn, work, engage and have a voice in society) as some students confused these concepts in their responses. </w:t>
      </w:r>
    </w:p>
    <w:p w14:paraId="00E40C34" w14:textId="77777777" w:rsidR="00D47CC8" w:rsidRDefault="00D47CC8" w:rsidP="00D47CC8">
      <w:pPr>
        <w:pStyle w:val="BodyText"/>
        <w:rPr>
          <w:bCs/>
        </w:rPr>
      </w:pPr>
      <w:r>
        <w:rPr>
          <w:bCs/>
        </w:rPr>
        <w:t>To be awarded full marks students were required to:</w:t>
      </w:r>
    </w:p>
    <w:p w14:paraId="47B4CED4" w14:textId="13A69941" w:rsidR="00D47CC8" w:rsidRPr="00BB1BD8" w:rsidRDefault="00EF2FBD" w:rsidP="00C23BDE">
      <w:pPr>
        <w:pStyle w:val="Bullet"/>
      </w:pPr>
      <w:r>
        <w:t>d</w:t>
      </w:r>
      <w:r w:rsidRPr="00BB1BD8">
        <w:t xml:space="preserve">emonstrate </w:t>
      </w:r>
      <w:r w:rsidR="00D47CC8" w:rsidRPr="00BB1BD8">
        <w:t>an understanding of belonging (emotional experience of feeling secure and supported with a group</w:t>
      </w:r>
      <w:r w:rsidR="00BD13FB" w:rsidRPr="00BB1BD8">
        <w:t>)</w:t>
      </w:r>
    </w:p>
    <w:p w14:paraId="7E6F6DBC" w14:textId="79520D47" w:rsidR="00D47CC8" w:rsidRPr="00BB1BD8" w:rsidRDefault="00EF2FBD" w:rsidP="00C23BDE">
      <w:pPr>
        <w:pStyle w:val="Bullet"/>
      </w:pPr>
      <w:r>
        <w:t>i</w:t>
      </w:r>
      <w:r w:rsidR="00BD13FB" w:rsidRPr="00BB1BD8">
        <w:t>dentify examples of traditions in the representation</w:t>
      </w:r>
    </w:p>
    <w:p w14:paraId="13D1BEFC" w14:textId="5BD4659C" w:rsidR="00D47CC8" w:rsidRPr="00BB1BD8" w:rsidRDefault="00EF2FBD" w:rsidP="00C23BDE">
      <w:pPr>
        <w:pStyle w:val="Bullet"/>
      </w:pPr>
      <w:r>
        <w:t>e</w:t>
      </w:r>
      <w:r w:rsidRPr="00BB1BD8">
        <w:t xml:space="preserve">xplain </w:t>
      </w:r>
      <w:r w:rsidR="00BD13FB" w:rsidRPr="00BB1BD8">
        <w:t>how the traditions identified could create a sense of belonging for the Polish community.</w:t>
      </w:r>
    </w:p>
    <w:p w14:paraId="24EA21E3" w14:textId="0723321B" w:rsidR="00D47CC8" w:rsidRDefault="00D47CC8" w:rsidP="00D47CC8">
      <w:pPr>
        <w:pStyle w:val="BodyText"/>
        <w:rPr>
          <w:bCs/>
        </w:rPr>
      </w:pPr>
      <w:r w:rsidRPr="00B7325D">
        <w:rPr>
          <w:bCs/>
          <w:lang w:val="en-US"/>
        </w:rPr>
        <w:t>The following is an example of a high-scoring response</w:t>
      </w:r>
      <w:r>
        <w:rPr>
          <w:bCs/>
          <w:lang w:val="en-US"/>
        </w:rPr>
        <w:t xml:space="preserve"> that has effectively </w:t>
      </w:r>
      <w:r w:rsidR="00C93B53">
        <w:rPr>
          <w:bCs/>
          <w:lang w:val="en-US"/>
        </w:rPr>
        <w:t xml:space="preserve">connected Polish traditions to </w:t>
      </w:r>
      <w:r w:rsidR="008B7381">
        <w:rPr>
          <w:bCs/>
          <w:lang w:val="en-US"/>
        </w:rPr>
        <w:t>a</w:t>
      </w:r>
      <w:r w:rsidR="00C93B53">
        <w:rPr>
          <w:bCs/>
          <w:lang w:val="en-US"/>
        </w:rPr>
        <w:t xml:space="preserve"> sense of belonging</w:t>
      </w:r>
      <w:r>
        <w:rPr>
          <w:bCs/>
        </w:rPr>
        <w:t>:</w:t>
      </w:r>
    </w:p>
    <w:p w14:paraId="7A678955" w14:textId="521909CC" w:rsidR="00BD05F6" w:rsidRPr="00C23BDE" w:rsidRDefault="00C93B53" w:rsidP="00C23BDE">
      <w:pPr>
        <w:pStyle w:val="studentresponse"/>
      </w:pPr>
      <w:r w:rsidRPr="00BB1BD8">
        <w:t xml:space="preserve">Eat Pierogi Make Love uses Polish traditions such as the “Eat Polska Sunday Sessions” which is a “Polish family Meal tradition” to create a sense of belonging for the </w:t>
      </w:r>
      <w:r w:rsidR="008C6FE8">
        <w:t>P</w:t>
      </w:r>
      <w:r w:rsidR="008C6FE8" w:rsidRPr="00BB1BD8">
        <w:t xml:space="preserve">olish </w:t>
      </w:r>
      <w:r w:rsidRPr="00BB1BD8">
        <w:t xml:space="preserve">community. </w:t>
      </w:r>
      <w:r w:rsidR="00EF2FBD">
        <w:t>T</w:t>
      </w:r>
      <w:r w:rsidRPr="00BB1BD8">
        <w:t>his Sunday session can create a sense of belonging for the Polish community by allowing those who are Polish to feel accepted and includ</w:t>
      </w:r>
      <w:r w:rsidR="00EF2FBD">
        <w:t>ed</w:t>
      </w:r>
      <w:r w:rsidRPr="00BB1BD8">
        <w:t xml:space="preserve"> within Melbourne…for it to be celebrated in the restaurant.</w:t>
      </w:r>
    </w:p>
    <w:p w14:paraId="24446A69" w14:textId="23090DAF" w:rsidR="0044346F" w:rsidRPr="00A56D26" w:rsidRDefault="0044346F" w:rsidP="00C23BDE">
      <w:pPr>
        <w:pStyle w:val="Head2"/>
      </w:pPr>
      <w:r>
        <w:t xml:space="preserve">Question </w:t>
      </w:r>
      <w:r w:rsidR="00D65ADB">
        <w:t>5</w:t>
      </w:r>
    </w:p>
    <w:tbl>
      <w:tblPr>
        <w:tblStyle w:val="VCAATableClosed"/>
        <w:tblW w:w="0" w:type="auto"/>
        <w:tblInd w:w="0" w:type="dxa"/>
        <w:tblLook w:val="01E0" w:firstRow="1" w:lastRow="1" w:firstColumn="1" w:lastColumn="1" w:noHBand="0" w:noVBand="0"/>
      </w:tblPr>
      <w:tblGrid>
        <w:gridCol w:w="720"/>
        <w:gridCol w:w="576"/>
        <w:gridCol w:w="576"/>
        <w:gridCol w:w="576"/>
        <w:gridCol w:w="576"/>
        <w:gridCol w:w="576"/>
        <w:gridCol w:w="1008"/>
      </w:tblGrid>
      <w:tr w:rsidR="0044346F" w:rsidRPr="00EA43FE" w14:paraId="7677DDD1" w14:textId="77777777" w:rsidTr="00591843">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6FB2FBE2" w14:textId="77777777" w:rsidR="0044346F" w:rsidRPr="00C23BDE" w:rsidRDefault="0044346F"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407600B7" w14:textId="77777777" w:rsidR="0044346F" w:rsidRPr="00C23BDE" w:rsidRDefault="0044346F"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0A0650D0" w14:textId="77777777" w:rsidR="0044346F" w:rsidRPr="00C23BDE" w:rsidRDefault="0044346F"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2F56F75B" w14:textId="77777777" w:rsidR="0044346F" w:rsidRPr="00C23BDE" w:rsidRDefault="0044346F"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365C35F3" w14:textId="77777777" w:rsidR="0044346F" w:rsidRPr="00C23BDE" w:rsidRDefault="0044346F"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0A8E8798" w14:textId="77777777" w:rsidR="0044346F" w:rsidRPr="00C23BDE" w:rsidRDefault="0044346F" w:rsidP="00C23BDE">
            <w:pPr>
              <w:pStyle w:val="Tablecondensed"/>
            </w:pPr>
            <w:r w:rsidRPr="00C23BDE">
              <w:t>4</w:t>
            </w:r>
          </w:p>
        </w:tc>
        <w:tc>
          <w:tcPr>
            <w:tcW w:w="1008" w:type="dxa"/>
            <w:tcBorders>
              <w:top w:val="single" w:sz="4" w:space="0" w:color="000000" w:themeColor="text1"/>
              <w:bottom w:val="single" w:sz="4" w:space="0" w:color="000000" w:themeColor="text1"/>
              <w:right w:val="single" w:sz="4" w:space="0" w:color="000000" w:themeColor="text1"/>
            </w:tcBorders>
            <w:hideMark/>
          </w:tcPr>
          <w:p w14:paraId="18F47D4E" w14:textId="77777777" w:rsidR="0044346F" w:rsidRPr="00C23BDE" w:rsidRDefault="0044346F" w:rsidP="00C23BDE">
            <w:pPr>
              <w:pStyle w:val="Tablecondensed"/>
            </w:pPr>
            <w:r w:rsidRPr="00C23BDE">
              <w:t>Average</w:t>
            </w:r>
          </w:p>
        </w:tc>
      </w:tr>
      <w:tr w:rsidR="0044346F" w:rsidRPr="00EA43FE" w14:paraId="4CFDB1C6" w14:textId="77777777" w:rsidTr="00591843">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59BE0" w14:textId="77777777" w:rsidR="0044346F" w:rsidRPr="00C23BDE" w:rsidRDefault="0044346F"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9D170" w14:textId="047ED1CA" w:rsidR="0044346F" w:rsidRPr="00C23BDE" w:rsidRDefault="0044346F" w:rsidP="00C23BDE">
            <w:pPr>
              <w:pStyle w:val="Tablecondensed"/>
            </w:pPr>
            <w:r w:rsidRPr="00C23BDE">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4B9A3" w14:textId="3BF4A1F3" w:rsidR="0044346F" w:rsidRPr="00C23BDE" w:rsidRDefault="0044346F" w:rsidP="00C23BDE">
            <w:pPr>
              <w:pStyle w:val="Tablecondensed"/>
            </w:pPr>
            <w:r w:rsidRPr="00C23BDE">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2771B" w14:textId="1A31FFBC" w:rsidR="0044346F" w:rsidRPr="00C23BDE" w:rsidRDefault="0044346F" w:rsidP="00C23BDE">
            <w:pPr>
              <w:pStyle w:val="Tablecondensed"/>
            </w:pPr>
            <w:r w:rsidRPr="00C23BDE">
              <w:t>33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03F4B" w14:textId="27D3BCC5" w:rsidR="0044346F" w:rsidRPr="00C23BDE" w:rsidRDefault="0044346F" w:rsidP="00C23BDE">
            <w:pPr>
              <w:pStyle w:val="Tablecondensed"/>
            </w:pPr>
            <w:r w:rsidRPr="00C23BDE">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FD15" w14:textId="1B3E8DA4" w:rsidR="0044346F" w:rsidRPr="00C23BDE" w:rsidRDefault="0044346F" w:rsidP="00C23BDE">
            <w:pPr>
              <w:pStyle w:val="Tablecondensed"/>
            </w:pPr>
            <w:r w:rsidRPr="00C23BDE">
              <w:t>4</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1EA7E" w14:textId="45FCEE7B" w:rsidR="0044346F" w:rsidRPr="00C23BDE" w:rsidRDefault="0044346F" w:rsidP="00C23BDE">
            <w:pPr>
              <w:pStyle w:val="Tablecondensed"/>
            </w:pPr>
            <w:r w:rsidRPr="00C23BDE">
              <w:t>1.6</w:t>
            </w:r>
          </w:p>
        </w:tc>
      </w:tr>
    </w:tbl>
    <w:p w14:paraId="17B8FB6C" w14:textId="4C4A7516" w:rsidR="0044346F" w:rsidRDefault="0044346F" w:rsidP="0044346F">
      <w:pPr>
        <w:pStyle w:val="BodyText"/>
        <w:rPr>
          <w:bCs/>
        </w:rPr>
      </w:pPr>
      <w:r>
        <w:rPr>
          <w:bCs/>
        </w:rPr>
        <w:t xml:space="preserve">This question required students to explain </w:t>
      </w:r>
      <w:r w:rsidR="00D65ADB">
        <w:rPr>
          <w:bCs/>
        </w:rPr>
        <w:t xml:space="preserve">Stuart Hall’s theory of cultural hybridity and its connection to experiences (positive or negative) of ethnicity in the representation. </w:t>
      </w:r>
      <w:r>
        <w:rPr>
          <w:bCs/>
        </w:rPr>
        <w:t xml:space="preserve"> </w:t>
      </w:r>
    </w:p>
    <w:p w14:paraId="2506BCBA" w14:textId="7BFC1FD4" w:rsidR="00D65ADB" w:rsidRPr="00C23BDE" w:rsidRDefault="00D65ADB" w:rsidP="0044346F">
      <w:pPr>
        <w:pStyle w:val="BodyText"/>
      </w:pPr>
      <w:r>
        <w:rPr>
          <w:bCs/>
        </w:rPr>
        <w:t xml:space="preserve">Many students were able to show an understanding of Hall’s theory of cultural hybridity, when </w:t>
      </w:r>
      <w:r w:rsidRPr="00C23BDE">
        <w:t>individuals develop connections across cultural groups to form a blended ethnic identity</w:t>
      </w:r>
      <w:r w:rsidR="00EF2FBD">
        <w:t>;</w:t>
      </w:r>
      <w:r w:rsidRPr="00C23BDE">
        <w:t xml:space="preserve"> however, when connecting this to the experience of ethnicity</w:t>
      </w:r>
      <w:r w:rsidR="00EF2FBD">
        <w:t>,</w:t>
      </w:r>
      <w:r w:rsidRPr="00C23BDE">
        <w:t xml:space="preserve"> many students’ explanations referred to feelings of belonging instead. </w:t>
      </w:r>
    </w:p>
    <w:p w14:paraId="67359B06" w14:textId="585FF61F" w:rsidR="00C117EC" w:rsidRDefault="00C117EC" w:rsidP="00C117EC">
      <w:pPr>
        <w:pStyle w:val="BodyText"/>
        <w:rPr>
          <w:bCs/>
        </w:rPr>
      </w:pPr>
      <w:r>
        <w:rPr>
          <w:bCs/>
        </w:rPr>
        <w:t>To be awarded full marks students were required to:</w:t>
      </w:r>
    </w:p>
    <w:p w14:paraId="56DAA81B" w14:textId="125DF377" w:rsidR="0044346F" w:rsidRPr="00BB1BD8" w:rsidRDefault="00EF2FBD" w:rsidP="00C23BDE">
      <w:pPr>
        <w:pStyle w:val="Bullet"/>
      </w:pPr>
      <w:r>
        <w:t>d</w:t>
      </w:r>
      <w:r w:rsidR="00D65ADB" w:rsidRPr="00BB1BD8">
        <w:t>emonstrate an understanding of Hall’s theory of hybridity</w:t>
      </w:r>
    </w:p>
    <w:p w14:paraId="00E97834" w14:textId="3951E1FD" w:rsidR="00D65ADB" w:rsidRPr="00BB1BD8" w:rsidRDefault="00EF2FBD" w:rsidP="00C23BDE">
      <w:pPr>
        <w:pStyle w:val="Bullet"/>
      </w:pPr>
      <w:r>
        <w:t>c</w:t>
      </w:r>
      <w:r w:rsidR="00D65ADB" w:rsidRPr="00BB1BD8">
        <w:t xml:space="preserve">onnect cultural hybridity to </w:t>
      </w:r>
      <w:r w:rsidR="00C117EC" w:rsidRPr="00BB1BD8">
        <w:t>the experience (positive or negative) of ethnicity</w:t>
      </w:r>
    </w:p>
    <w:p w14:paraId="104C8FD4" w14:textId="24155FFF" w:rsidR="00C117EC" w:rsidRPr="00CA13F3" w:rsidRDefault="00EF2FBD" w:rsidP="00C117EC">
      <w:pPr>
        <w:pStyle w:val="Bullet"/>
      </w:pPr>
      <w:r>
        <w:t>i</w:t>
      </w:r>
      <w:r w:rsidR="00C117EC" w:rsidRPr="00BB1BD8">
        <w:t>dentify examples of cultural hybridity from the representation</w:t>
      </w:r>
      <w:r>
        <w:t>.</w:t>
      </w:r>
    </w:p>
    <w:p w14:paraId="0C727274" w14:textId="77777777" w:rsidR="00CA13F3" w:rsidRDefault="00CA13F3">
      <w:pPr>
        <w:spacing w:line="276" w:lineRule="auto"/>
        <w:rPr>
          <w:rFonts w:ascii="Arial" w:hAnsi="Arial" w:cs="Arial"/>
          <w:bCs/>
          <w:color w:val="000000" w:themeColor="text1"/>
          <w:sz w:val="20"/>
          <w:lang w:eastAsia="en-AU"/>
        </w:rPr>
      </w:pPr>
      <w:r>
        <w:rPr>
          <w:bCs/>
        </w:rPr>
        <w:br w:type="page"/>
      </w:r>
    </w:p>
    <w:p w14:paraId="684ACF65" w14:textId="6310895C" w:rsidR="00C117EC" w:rsidRDefault="00C117EC" w:rsidP="00C117EC">
      <w:pPr>
        <w:pStyle w:val="BodyText"/>
        <w:rPr>
          <w:bCs/>
        </w:rPr>
      </w:pPr>
      <w:r w:rsidRPr="00B7325D">
        <w:rPr>
          <w:bCs/>
          <w:lang w:val="en-US"/>
        </w:rPr>
        <w:lastRenderedPageBreak/>
        <w:t>The following is an example of a high-scoring response</w:t>
      </w:r>
      <w:r>
        <w:rPr>
          <w:bCs/>
          <w:lang w:val="en-US"/>
        </w:rPr>
        <w:t xml:space="preserve"> that has effectively applied Hall’s concept of cultural hybridity to the representation</w:t>
      </w:r>
      <w:r>
        <w:rPr>
          <w:bCs/>
        </w:rPr>
        <w:t>:</w:t>
      </w:r>
    </w:p>
    <w:p w14:paraId="24F274F6" w14:textId="7EEFF9F1" w:rsidR="00C01706" w:rsidRPr="00BB1BD8" w:rsidRDefault="00C117EC" w:rsidP="00C23BDE">
      <w:pPr>
        <w:pStyle w:val="studentresponse"/>
      </w:pPr>
      <w:r w:rsidRPr="00BB1BD8">
        <w:t xml:space="preserve">Stuart Hall’s theory of cultural hybridity is a theory that seeks to encapsulate the sense of diversity seen in individuals who identify with two or more cultural origins. The experience of ethnicity is how individuals feel about, or perceive, their circumstances as a member of a particular ethnic group. Cultural hybridity can </w:t>
      </w:r>
      <w:proofErr w:type="gramStart"/>
      <w:r w:rsidRPr="00BB1BD8">
        <w:t>been</w:t>
      </w:r>
      <w:proofErr w:type="gramEnd"/>
      <w:r w:rsidRPr="00BB1BD8">
        <w:t xml:space="preserve"> seen in the restaurant’s marriage of the “pierogi”, a material culture for Polish people, with a “vegan offering”, which combines a traditionally Western diet. This example of cultural hybridity helps create a positive experience of ethnicity.</w:t>
      </w:r>
    </w:p>
    <w:p w14:paraId="040BF775" w14:textId="2F44D915" w:rsidR="00C01706" w:rsidRPr="00A56D26" w:rsidRDefault="00C01706" w:rsidP="00C23BDE">
      <w:pPr>
        <w:pStyle w:val="Head2"/>
      </w:pPr>
      <w:r>
        <w:t>Question 6</w:t>
      </w:r>
    </w:p>
    <w:tbl>
      <w:tblPr>
        <w:tblStyle w:val="VCAATableClosed1"/>
        <w:tblW w:w="0" w:type="auto"/>
        <w:tblInd w:w="0" w:type="dxa"/>
        <w:tblLook w:val="01E0" w:firstRow="1" w:lastRow="1" w:firstColumn="1" w:lastColumn="1" w:noHBand="0" w:noVBand="0"/>
      </w:tblPr>
      <w:tblGrid>
        <w:gridCol w:w="720"/>
        <w:gridCol w:w="576"/>
        <w:gridCol w:w="576"/>
        <w:gridCol w:w="576"/>
        <w:gridCol w:w="576"/>
        <w:gridCol w:w="576"/>
        <w:gridCol w:w="576"/>
        <w:gridCol w:w="576"/>
        <w:gridCol w:w="576"/>
        <w:gridCol w:w="576"/>
        <w:gridCol w:w="576"/>
        <w:gridCol w:w="576"/>
        <w:gridCol w:w="1008"/>
      </w:tblGrid>
      <w:tr w:rsidR="00C01706" w:rsidRPr="00EA43FE" w14:paraId="14383E0C" w14:textId="77777777" w:rsidTr="00591843">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A2106DD" w14:textId="77777777" w:rsidR="00C01706" w:rsidRPr="00C23BDE" w:rsidRDefault="00C01706"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40113170" w14:textId="77777777" w:rsidR="00C01706" w:rsidRPr="00C23BDE" w:rsidRDefault="00C01706"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6EA277C4" w14:textId="77777777" w:rsidR="00C01706" w:rsidRPr="00C23BDE" w:rsidRDefault="00C01706"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69D9917D" w14:textId="77777777" w:rsidR="00C01706" w:rsidRPr="00C23BDE" w:rsidRDefault="00C01706"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5AAF48D7" w14:textId="77777777" w:rsidR="00C01706" w:rsidRPr="00C23BDE" w:rsidRDefault="00C01706"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118A578B" w14:textId="77777777" w:rsidR="00C01706" w:rsidRPr="00C23BDE" w:rsidRDefault="00C01706" w:rsidP="00C23BDE">
            <w:pPr>
              <w:pStyle w:val="Tablecondensed"/>
            </w:pPr>
            <w:r w:rsidRPr="00C23BDE">
              <w:t>4</w:t>
            </w:r>
          </w:p>
        </w:tc>
        <w:tc>
          <w:tcPr>
            <w:tcW w:w="576" w:type="dxa"/>
            <w:tcBorders>
              <w:top w:val="single" w:sz="4" w:space="0" w:color="000000" w:themeColor="text1"/>
              <w:bottom w:val="single" w:sz="4" w:space="0" w:color="000000" w:themeColor="text1"/>
            </w:tcBorders>
            <w:hideMark/>
          </w:tcPr>
          <w:p w14:paraId="034D3782" w14:textId="77777777" w:rsidR="00C01706" w:rsidRPr="00C23BDE" w:rsidRDefault="00C01706" w:rsidP="00C23BDE">
            <w:pPr>
              <w:pStyle w:val="Tablecondensed"/>
            </w:pPr>
            <w:r w:rsidRPr="00C23BDE">
              <w:t>5</w:t>
            </w:r>
          </w:p>
        </w:tc>
        <w:tc>
          <w:tcPr>
            <w:tcW w:w="576" w:type="dxa"/>
            <w:tcBorders>
              <w:top w:val="single" w:sz="4" w:space="0" w:color="000000" w:themeColor="text1"/>
              <w:bottom w:val="single" w:sz="4" w:space="0" w:color="000000" w:themeColor="text1"/>
            </w:tcBorders>
            <w:hideMark/>
          </w:tcPr>
          <w:p w14:paraId="445718B2" w14:textId="77777777" w:rsidR="00C01706" w:rsidRPr="00C23BDE" w:rsidRDefault="00C01706" w:rsidP="00C23BDE">
            <w:pPr>
              <w:pStyle w:val="Tablecondensed"/>
            </w:pPr>
            <w:r w:rsidRPr="00C23BDE">
              <w:t>6</w:t>
            </w:r>
          </w:p>
        </w:tc>
        <w:tc>
          <w:tcPr>
            <w:tcW w:w="576" w:type="dxa"/>
            <w:tcBorders>
              <w:top w:val="single" w:sz="4" w:space="0" w:color="000000" w:themeColor="text1"/>
              <w:bottom w:val="single" w:sz="4" w:space="0" w:color="000000" w:themeColor="text1"/>
            </w:tcBorders>
            <w:hideMark/>
          </w:tcPr>
          <w:p w14:paraId="5C5B2D6C" w14:textId="77777777" w:rsidR="00C01706" w:rsidRPr="00C23BDE" w:rsidRDefault="00C01706" w:rsidP="00C23BDE">
            <w:pPr>
              <w:pStyle w:val="Tablecondensed"/>
            </w:pPr>
            <w:r w:rsidRPr="00C23BDE">
              <w:t>7</w:t>
            </w:r>
          </w:p>
        </w:tc>
        <w:tc>
          <w:tcPr>
            <w:tcW w:w="576" w:type="dxa"/>
            <w:tcBorders>
              <w:top w:val="single" w:sz="4" w:space="0" w:color="000000" w:themeColor="text1"/>
              <w:bottom w:val="single" w:sz="4" w:space="0" w:color="000000" w:themeColor="text1"/>
            </w:tcBorders>
            <w:hideMark/>
          </w:tcPr>
          <w:p w14:paraId="30EA6107" w14:textId="77777777" w:rsidR="00C01706" w:rsidRPr="00C23BDE" w:rsidRDefault="00C01706" w:rsidP="00C23BDE">
            <w:pPr>
              <w:pStyle w:val="Tablecondensed"/>
            </w:pPr>
            <w:r w:rsidRPr="00C23BDE">
              <w:t>8</w:t>
            </w:r>
          </w:p>
        </w:tc>
        <w:tc>
          <w:tcPr>
            <w:tcW w:w="576" w:type="dxa"/>
            <w:tcBorders>
              <w:top w:val="single" w:sz="4" w:space="0" w:color="000000" w:themeColor="text1"/>
              <w:bottom w:val="single" w:sz="4" w:space="0" w:color="000000" w:themeColor="text1"/>
            </w:tcBorders>
            <w:hideMark/>
          </w:tcPr>
          <w:p w14:paraId="2A990663" w14:textId="77777777" w:rsidR="00C01706" w:rsidRPr="00C23BDE" w:rsidRDefault="00C01706" w:rsidP="00C23BDE">
            <w:pPr>
              <w:pStyle w:val="Tablecondensed"/>
            </w:pPr>
            <w:r w:rsidRPr="00C23BDE">
              <w:t>9</w:t>
            </w:r>
          </w:p>
        </w:tc>
        <w:tc>
          <w:tcPr>
            <w:tcW w:w="576" w:type="dxa"/>
            <w:tcBorders>
              <w:top w:val="single" w:sz="4" w:space="0" w:color="000000" w:themeColor="text1"/>
              <w:bottom w:val="single" w:sz="4" w:space="0" w:color="000000" w:themeColor="text1"/>
            </w:tcBorders>
            <w:hideMark/>
          </w:tcPr>
          <w:p w14:paraId="4B96CA52" w14:textId="77777777" w:rsidR="00C01706" w:rsidRPr="00C23BDE" w:rsidRDefault="00C01706" w:rsidP="00C23BDE">
            <w:pPr>
              <w:pStyle w:val="Tablecondensed"/>
            </w:pPr>
            <w:r w:rsidRPr="00C23BDE">
              <w:t>10</w:t>
            </w:r>
          </w:p>
        </w:tc>
        <w:tc>
          <w:tcPr>
            <w:tcW w:w="1008" w:type="dxa"/>
            <w:tcBorders>
              <w:top w:val="single" w:sz="4" w:space="0" w:color="000000" w:themeColor="text1"/>
              <w:bottom w:val="single" w:sz="4" w:space="0" w:color="000000" w:themeColor="text1"/>
              <w:right w:val="single" w:sz="4" w:space="0" w:color="000000" w:themeColor="text1"/>
            </w:tcBorders>
            <w:hideMark/>
          </w:tcPr>
          <w:p w14:paraId="72DC9B21" w14:textId="77777777" w:rsidR="00C01706" w:rsidRPr="00C23BDE" w:rsidRDefault="00C01706" w:rsidP="00C23BDE">
            <w:pPr>
              <w:pStyle w:val="Tablecondensed"/>
            </w:pPr>
            <w:r w:rsidRPr="00C23BDE">
              <w:t>Average</w:t>
            </w:r>
          </w:p>
        </w:tc>
      </w:tr>
      <w:tr w:rsidR="00C01706" w:rsidRPr="00EA43FE" w14:paraId="44EE089A" w14:textId="77777777" w:rsidTr="00591843">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10BFB" w14:textId="77777777" w:rsidR="00C01706" w:rsidRPr="00C23BDE" w:rsidRDefault="00C01706"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2569CF" w14:textId="124C8363" w:rsidR="00C01706" w:rsidRPr="00C23BDE" w:rsidRDefault="00C01706" w:rsidP="00C23BDE">
            <w:pPr>
              <w:pStyle w:val="Tablecondensed"/>
            </w:pPr>
            <w:r w:rsidRPr="00C23BDE">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590AEF" w14:textId="77777777" w:rsidR="00C01706" w:rsidRPr="00C23BDE" w:rsidRDefault="00C01706" w:rsidP="00C23BDE">
            <w:pPr>
              <w:pStyle w:val="Tablecondensed"/>
            </w:pPr>
            <w:r w:rsidRPr="00C23BDE">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53969" w14:textId="23BF8F65" w:rsidR="00C01706" w:rsidRPr="00C23BDE" w:rsidRDefault="00C01706" w:rsidP="00C23BDE">
            <w:pPr>
              <w:pStyle w:val="Tablecondensed"/>
            </w:pPr>
            <w:r w:rsidRPr="00C23BDE">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828AB" w14:textId="77777777" w:rsidR="00C01706" w:rsidRPr="00C23BDE" w:rsidRDefault="00C01706" w:rsidP="00C23BDE">
            <w:pPr>
              <w:pStyle w:val="Tablecondensed"/>
            </w:pPr>
            <w:r w:rsidRPr="00C23BDE">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CF273" w14:textId="485820FA" w:rsidR="00C01706" w:rsidRPr="00C23BDE" w:rsidRDefault="00C01706" w:rsidP="00C23BDE">
            <w:pPr>
              <w:pStyle w:val="Tablecondensed"/>
            </w:pPr>
            <w:r w:rsidRPr="00C23BDE">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E06CE" w14:textId="77777777" w:rsidR="00C01706" w:rsidRPr="00C23BDE" w:rsidRDefault="00C01706" w:rsidP="00C23BDE">
            <w:pPr>
              <w:pStyle w:val="Tablecondensed"/>
            </w:pPr>
            <w:r w:rsidRPr="00C23BDE">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815A9" w14:textId="3306FF15" w:rsidR="00C01706" w:rsidRPr="00C23BDE" w:rsidRDefault="00C01706" w:rsidP="00C23BDE">
            <w:pPr>
              <w:pStyle w:val="Tablecondensed"/>
            </w:pPr>
            <w:r w:rsidRPr="00C23BDE">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9B95" w14:textId="77777777" w:rsidR="00C01706" w:rsidRPr="00C23BDE" w:rsidRDefault="00C01706" w:rsidP="00C23BDE">
            <w:pPr>
              <w:pStyle w:val="Tablecondensed"/>
            </w:pPr>
            <w:r w:rsidRPr="00C23BDE">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47CE4" w14:textId="77777777" w:rsidR="00C01706" w:rsidRPr="00C23BDE" w:rsidRDefault="00C01706" w:rsidP="00C23BDE">
            <w:pPr>
              <w:pStyle w:val="Tablecondensed"/>
            </w:pPr>
            <w:r w:rsidRPr="00C23BDE">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8335C" w14:textId="5449E732" w:rsidR="00C01706" w:rsidRPr="00C23BDE" w:rsidRDefault="00C01706" w:rsidP="00C23BDE">
            <w:pPr>
              <w:pStyle w:val="Tablecondensed"/>
            </w:pPr>
            <w:r w:rsidRPr="00C23BDE">
              <w:t>0.3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372611" w14:textId="6207ADDD" w:rsidR="00C01706" w:rsidRPr="00C23BDE" w:rsidRDefault="00C01706" w:rsidP="00C23BDE">
            <w:pPr>
              <w:pStyle w:val="Tablecondensed"/>
            </w:pPr>
            <w:r w:rsidRPr="00C23BDE">
              <w:t>0.7</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BC2541" w14:textId="5991304F" w:rsidR="00C01706" w:rsidRPr="00C23BDE" w:rsidRDefault="00C01706" w:rsidP="00C23BDE">
            <w:pPr>
              <w:pStyle w:val="Tablecondensed"/>
            </w:pPr>
            <w:r w:rsidRPr="00C23BDE">
              <w:t>3.</w:t>
            </w:r>
            <w:r w:rsidR="00FB13CE">
              <w:t>3</w:t>
            </w:r>
          </w:p>
        </w:tc>
      </w:tr>
    </w:tbl>
    <w:p w14:paraId="0C3012A3" w14:textId="0284717F" w:rsidR="003225B2" w:rsidRDefault="44064368" w:rsidP="00C01706">
      <w:pPr>
        <w:pStyle w:val="BodyText"/>
      </w:pPr>
      <w:r>
        <w:t>This question required students</w:t>
      </w:r>
      <w:r w:rsidR="14F9B405">
        <w:t xml:space="preserve"> to</w:t>
      </w:r>
      <w:r>
        <w:t xml:space="preserve"> provide a detailed description of a specific ethnic group, including how the group identifies itself. Stronger responses provided specific details about the ethnic group</w:t>
      </w:r>
      <w:r w:rsidR="00EF2FBD">
        <w:t>,</w:t>
      </w:r>
      <w:r>
        <w:t xml:space="preserve"> including material culture, non-material culture, cultural practices, shared history or experience of their chosen group, rather than broad references to food or clothing etc. </w:t>
      </w:r>
      <w:r w:rsidR="51F34FEF">
        <w:t>S</w:t>
      </w:r>
      <w:r>
        <w:t xml:space="preserve">tudents </w:t>
      </w:r>
      <w:r w:rsidR="51F34FEF">
        <w:t xml:space="preserve">were also required </w:t>
      </w:r>
      <w:r>
        <w:t xml:space="preserve">to </w:t>
      </w:r>
      <w:r w:rsidR="51F34FEF">
        <w:t>provide an analysis of the impact of the media on their selected ethnic group</w:t>
      </w:r>
      <w:r w:rsidR="00EF2FBD">
        <w:t>’</w:t>
      </w:r>
      <w:r w:rsidR="51F34FEF">
        <w:t xml:space="preserve">s experience in Australia’s multicultural society. </w:t>
      </w:r>
    </w:p>
    <w:p w14:paraId="145403E2" w14:textId="77777777" w:rsidR="00C01706" w:rsidRDefault="00C01706" w:rsidP="00C01706">
      <w:pPr>
        <w:pStyle w:val="BodyText"/>
        <w:rPr>
          <w:bCs/>
        </w:rPr>
      </w:pPr>
      <w:r>
        <w:rPr>
          <w:bCs/>
        </w:rPr>
        <w:t>To be awarded full marks students needed to:</w:t>
      </w:r>
    </w:p>
    <w:p w14:paraId="7625AE6B" w14:textId="326386C3" w:rsidR="00C01706" w:rsidRPr="00C23BDE" w:rsidRDefault="00EF2FBD" w:rsidP="00C23BDE">
      <w:pPr>
        <w:pStyle w:val="Bullet"/>
      </w:pPr>
      <w:r>
        <w:t>p</w:t>
      </w:r>
      <w:r w:rsidR="00145E6C" w:rsidRPr="00C23BDE">
        <w:t>rovide a detailed description of one ethnic group including how the group identifies itself</w:t>
      </w:r>
    </w:p>
    <w:p w14:paraId="47E10CC8" w14:textId="2F35A33C" w:rsidR="006F6C0D" w:rsidRPr="00C23BDE" w:rsidRDefault="00EF2FBD" w:rsidP="00C23BDE">
      <w:pPr>
        <w:pStyle w:val="Bullet"/>
      </w:pPr>
      <w:r>
        <w:t>p</w:t>
      </w:r>
      <w:r w:rsidR="006F6C0D" w:rsidRPr="00C23BDE">
        <w:t>rovide a contention about the role of the media on the group</w:t>
      </w:r>
      <w:r w:rsidR="006046A5" w:rsidRPr="00C23BDE">
        <w:t>’</w:t>
      </w:r>
      <w:r w:rsidR="006F6C0D" w:rsidRPr="00C23BDE">
        <w:t>s experience</w:t>
      </w:r>
    </w:p>
    <w:p w14:paraId="1EA13D5A" w14:textId="7402BC75" w:rsidR="00C01706" w:rsidRPr="00C23BDE" w:rsidRDefault="00EF2FBD" w:rsidP="00C23BDE">
      <w:pPr>
        <w:pStyle w:val="Bullet"/>
      </w:pPr>
      <w:r>
        <w:t>a</w:t>
      </w:r>
      <w:r w:rsidR="006F6C0D" w:rsidRPr="00C23BDE">
        <w:t>nalyse the impact of the media on the group</w:t>
      </w:r>
      <w:r w:rsidR="006046A5" w:rsidRPr="00C23BDE">
        <w:t>’</w:t>
      </w:r>
      <w:r w:rsidR="006F6C0D" w:rsidRPr="00C23BDE">
        <w:t xml:space="preserve">s experience </w:t>
      </w:r>
    </w:p>
    <w:p w14:paraId="6E776C8B" w14:textId="09AC4A5F" w:rsidR="00747B03" w:rsidRPr="00C23BDE" w:rsidRDefault="001D0C8B" w:rsidP="00C23BDE">
      <w:pPr>
        <w:pStyle w:val="Bullet"/>
      </w:pPr>
      <w:r>
        <w:t>s</w:t>
      </w:r>
      <w:r w:rsidR="00747B03" w:rsidRPr="00C23BDE">
        <w:t>ynthesis</w:t>
      </w:r>
      <w:r w:rsidR="00561CE3">
        <w:t>e</w:t>
      </w:r>
      <w:r w:rsidR="00C01706" w:rsidRPr="00C23BDE">
        <w:t xml:space="preserve"> a range of relevant evidence/sources</w:t>
      </w:r>
      <w:r w:rsidR="00747B03" w:rsidRPr="00C23BDE">
        <w:t xml:space="preserve"> to draw conclusions</w:t>
      </w:r>
      <w:r>
        <w:t>.</w:t>
      </w:r>
    </w:p>
    <w:p w14:paraId="62E6AC49" w14:textId="2599CB7A" w:rsidR="00EF2FBD" w:rsidRDefault="00EF2FBD" w:rsidP="00EF2FBD">
      <w:pPr>
        <w:pStyle w:val="BodyText"/>
        <w:rPr>
          <w:bCs/>
        </w:rPr>
      </w:pPr>
      <w:r>
        <w:rPr>
          <w:bCs/>
        </w:rPr>
        <w:t>Higher</w:t>
      </w:r>
      <w:r w:rsidR="002754A8">
        <w:rPr>
          <w:bCs/>
        </w:rPr>
        <w:t>-</w:t>
      </w:r>
      <w:r>
        <w:rPr>
          <w:bCs/>
        </w:rPr>
        <w:t>scoring responses:</w:t>
      </w:r>
    </w:p>
    <w:p w14:paraId="466C6A06" w14:textId="181FBE2C" w:rsidR="00EF2FBD" w:rsidRPr="00C23BDE" w:rsidRDefault="00EF2FBD" w:rsidP="00EF2FBD">
      <w:pPr>
        <w:pStyle w:val="Bullet"/>
      </w:pPr>
      <w:r w:rsidRPr="00C23BDE">
        <w:t>drew on primary and secondary evidence from their case study to draw conclusions about the media’s influence on the experience</w:t>
      </w:r>
      <w:r w:rsidR="00B56C9B">
        <w:t>s</w:t>
      </w:r>
      <w:r w:rsidRPr="00C23BDE">
        <w:t xml:space="preserve"> </w:t>
      </w:r>
      <w:r w:rsidR="00B56C9B">
        <w:t>of</w:t>
      </w:r>
      <w:r w:rsidRPr="00C23BDE">
        <w:t xml:space="preserve"> Australia’s multicultural society </w:t>
      </w:r>
    </w:p>
    <w:p w14:paraId="482C4B89" w14:textId="3271A66E" w:rsidR="00EF2FBD" w:rsidRPr="00C23BDE" w:rsidRDefault="00EF2FBD" w:rsidP="00EF2FBD">
      <w:pPr>
        <w:pStyle w:val="Bullet"/>
      </w:pPr>
      <w:r w:rsidRPr="00C23BDE">
        <w:t xml:space="preserve">drew on contemporary examples to support their analysis </w:t>
      </w:r>
    </w:p>
    <w:p w14:paraId="665A9B10" w14:textId="2A591B1C" w:rsidR="00EF2FBD" w:rsidRPr="00C23BDE" w:rsidRDefault="00EF2FBD" w:rsidP="00EF2FBD">
      <w:pPr>
        <w:pStyle w:val="Bullet"/>
      </w:pPr>
      <w:r w:rsidRPr="00C23BDE">
        <w:t>connect</w:t>
      </w:r>
      <w:r w:rsidR="002754A8">
        <w:t>ed</w:t>
      </w:r>
      <w:r w:rsidRPr="00C23BDE">
        <w:t xml:space="preserve"> their evidence to the experience of </w:t>
      </w:r>
      <w:r w:rsidR="00AA24AE">
        <w:t>ethnicity</w:t>
      </w:r>
    </w:p>
    <w:p w14:paraId="3CFB9BEA" w14:textId="12EB11E6" w:rsidR="00EF2FBD" w:rsidRPr="00C23BDE" w:rsidRDefault="00EF2FBD" w:rsidP="00EF2FBD">
      <w:pPr>
        <w:pStyle w:val="Bullet"/>
      </w:pPr>
      <w:r w:rsidRPr="00C23BDE">
        <w:t>used specific examples</w:t>
      </w:r>
      <w:r w:rsidR="001D0C8B">
        <w:t>.</w:t>
      </w:r>
    </w:p>
    <w:p w14:paraId="53B22AB1" w14:textId="33495AB6" w:rsidR="00C01706" w:rsidRPr="00747B03" w:rsidRDefault="00C01706" w:rsidP="000135A5">
      <w:pPr>
        <w:pStyle w:val="BodyText"/>
        <w:rPr>
          <w:bCs/>
        </w:rPr>
      </w:pPr>
      <w:r w:rsidRPr="00747B03">
        <w:rPr>
          <w:bCs/>
          <w:lang w:val="en-US"/>
        </w:rPr>
        <w:t xml:space="preserve">The following </w:t>
      </w:r>
      <w:r w:rsidR="006F6C0D" w:rsidRPr="00747B03">
        <w:rPr>
          <w:bCs/>
          <w:lang w:val="en-US"/>
        </w:rPr>
        <w:t>is an</w:t>
      </w:r>
      <w:r w:rsidRPr="00747B03">
        <w:rPr>
          <w:bCs/>
          <w:lang w:val="en-US"/>
        </w:rPr>
        <w:t xml:space="preserve"> example of </w:t>
      </w:r>
      <w:r w:rsidR="000150FD">
        <w:rPr>
          <w:bCs/>
          <w:lang w:val="en-US"/>
        </w:rPr>
        <w:t xml:space="preserve">a </w:t>
      </w:r>
      <w:r w:rsidRPr="00747B03">
        <w:rPr>
          <w:bCs/>
          <w:lang w:val="en-US"/>
        </w:rPr>
        <w:t>high-scoring response that provided</w:t>
      </w:r>
      <w:r w:rsidR="006F6C0D" w:rsidRPr="00747B03">
        <w:rPr>
          <w:bCs/>
          <w:lang w:val="en-US"/>
        </w:rPr>
        <w:t xml:space="preserve"> a detailed description of their chosen ethnic group</w:t>
      </w:r>
      <w:r w:rsidRPr="00747B03">
        <w:rPr>
          <w:bCs/>
          <w:lang w:val="en-US"/>
        </w:rPr>
        <w:t>:</w:t>
      </w:r>
    </w:p>
    <w:p w14:paraId="5BE20611" w14:textId="7E4118E3" w:rsidR="006F6C0D" w:rsidRPr="00C23BDE" w:rsidRDefault="006F6C0D" w:rsidP="00C23BDE">
      <w:pPr>
        <w:pStyle w:val="studentresponse"/>
      </w:pPr>
      <w:r w:rsidRPr="00C23BDE">
        <w:t xml:space="preserve">Chinese Australians are an ethnic group in Australian </w:t>
      </w:r>
      <w:r w:rsidR="00701935" w:rsidRPr="00C23BDE">
        <w:t>society</w:t>
      </w:r>
      <w:proofErr w:type="gramStart"/>
      <w:r w:rsidR="00701935" w:rsidRPr="00C23BDE">
        <w:t>….Chinese</w:t>
      </w:r>
      <w:proofErr w:type="gramEnd"/>
      <w:r w:rsidR="00701935" w:rsidRPr="00C23BDE">
        <w:t xml:space="preserve"> Australians take part in many important cultural practices and traditions, such as holidays like Lunar New Year, traditional Chinese medicine and norms like filial piety (respecting elders). These practices take place in their personal lives and are facilitated by organisations such as the </w:t>
      </w:r>
      <w:r w:rsidR="002641B8" w:rsidRPr="00C23BDE">
        <w:t>Chinese Youth League of Australia.</w:t>
      </w:r>
    </w:p>
    <w:p w14:paraId="40E10DD0" w14:textId="2314616A" w:rsidR="006F6C0D" w:rsidRDefault="006F6C0D" w:rsidP="006F6C0D">
      <w:pPr>
        <w:pStyle w:val="BodyText"/>
        <w:rPr>
          <w:bCs/>
          <w:lang w:val="en-US"/>
        </w:rPr>
      </w:pPr>
      <w:r w:rsidRPr="00B7325D">
        <w:rPr>
          <w:bCs/>
          <w:lang w:val="en-US"/>
        </w:rPr>
        <w:t xml:space="preserve">The following </w:t>
      </w:r>
      <w:r>
        <w:rPr>
          <w:bCs/>
          <w:lang w:val="en-US"/>
        </w:rPr>
        <w:t xml:space="preserve">is an </w:t>
      </w:r>
      <w:r w:rsidRPr="00B7325D">
        <w:rPr>
          <w:bCs/>
          <w:lang w:val="en-US"/>
        </w:rPr>
        <w:t>example of</w:t>
      </w:r>
      <w:r>
        <w:rPr>
          <w:bCs/>
          <w:lang w:val="en-US"/>
        </w:rPr>
        <w:t xml:space="preserve"> </w:t>
      </w:r>
      <w:r w:rsidR="001D0C8B">
        <w:rPr>
          <w:bCs/>
          <w:lang w:val="en-US"/>
        </w:rPr>
        <w:t xml:space="preserve">a </w:t>
      </w:r>
      <w:r w:rsidRPr="00B7325D">
        <w:rPr>
          <w:bCs/>
          <w:lang w:val="en-US"/>
        </w:rPr>
        <w:t>high-scoring response</w:t>
      </w:r>
      <w:r>
        <w:rPr>
          <w:bCs/>
          <w:lang w:val="en-US"/>
        </w:rPr>
        <w:t xml:space="preserve"> that has effectively used primary and secondary sources to support their analysis:</w:t>
      </w:r>
    </w:p>
    <w:p w14:paraId="6A6DC6BB" w14:textId="1DCF53DF" w:rsidR="006F6C0D" w:rsidRPr="00C23BDE" w:rsidRDefault="006F6C0D" w:rsidP="00C23BDE">
      <w:pPr>
        <w:pStyle w:val="studentresponse"/>
      </w:pPr>
      <w:proofErr w:type="gramStart"/>
      <w:r w:rsidRPr="00C23BDE">
        <w:t>…‘</w:t>
      </w:r>
      <w:proofErr w:type="gramEnd"/>
      <w:r w:rsidRPr="00C23BDE">
        <w:t>who gets to tell Australian stories’ report (Screen Australia 2021) identified only 6% of on-screen TV appearances as non-European despite them making up 25% of the Australian population. Another survey participant stated how a lack of Iranian representation made her feel ‘disconnected from’ her culture and ‘not good enough’ thus not reflecting Australia’s multicultural society and leading to less positive experiences of belonging and inclusion for making Iranian Australians feel they ‘don’t fit.’</w:t>
      </w:r>
    </w:p>
    <w:p w14:paraId="2CBC898B" w14:textId="77777777" w:rsidR="00572AF1" w:rsidRDefault="00572AF1">
      <w:pPr>
        <w:spacing w:line="276" w:lineRule="auto"/>
        <w:rPr>
          <w:rFonts w:ascii="Arial" w:hAnsi="Arial" w:cs="Arial"/>
          <w:color w:val="0F7EB4"/>
          <w:sz w:val="40"/>
          <w:szCs w:val="28"/>
          <w:lang w:val="en-AU"/>
        </w:rPr>
      </w:pPr>
      <w:r>
        <w:br w:type="page"/>
      </w:r>
    </w:p>
    <w:p w14:paraId="3ACE67F5" w14:textId="2BB07D1D" w:rsidR="00BD13FB" w:rsidRPr="00C23BDE" w:rsidRDefault="00F42F9B" w:rsidP="00C23BDE">
      <w:pPr>
        <w:pStyle w:val="Head2"/>
      </w:pPr>
      <w:r>
        <w:lastRenderedPageBreak/>
        <w:t>Question 7</w:t>
      </w:r>
    </w:p>
    <w:tbl>
      <w:tblPr>
        <w:tblStyle w:val="VCAATableClosed"/>
        <w:tblW w:w="0" w:type="auto"/>
        <w:tblInd w:w="0" w:type="dxa"/>
        <w:tblLook w:val="01E0" w:firstRow="1" w:lastRow="1" w:firstColumn="1" w:lastColumn="1" w:noHBand="0" w:noVBand="0"/>
      </w:tblPr>
      <w:tblGrid>
        <w:gridCol w:w="720"/>
        <w:gridCol w:w="576"/>
        <w:gridCol w:w="576"/>
        <w:gridCol w:w="576"/>
        <w:gridCol w:w="576"/>
        <w:gridCol w:w="576"/>
        <w:gridCol w:w="1008"/>
      </w:tblGrid>
      <w:tr w:rsidR="00F42F9B" w:rsidRPr="00EA43FE" w14:paraId="5091BB04" w14:textId="77777777" w:rsidTr="00591843">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436CED7C" w14:textId="77777777" w:rsidR="00F42F9B" w:rsidRPr="00C23BDE" w:rsidRDefault="00F42F9B"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44DF9646" w14:textId="77777777" w:rsidR="00F42F9B" w:rsidRPr="00C23BDE" w:rsidRDefault="00F42F9B"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5094C84E" w14:textId="77777777" w:rsidR="00F42F9B" w:rsidRPr="00C23BDE" w:rsidRDefault="00F42F9B"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76D5401C" w14:textId="77777777" w:rsidR="00F42F9B" w:rsidRPr="00C23BDE" w:rsidRDefault="00F42F9B"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6E0961F6" w14:textId="77777777" w:rsidR="00F42F9B" w:rsidRPr="00C23BDE" w:rsidRDefault="00F42F9B"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79001ADE" w14:textId="77777777" w:rsidR="00F42F9B" w:rsidRPr="00C23BDE" w:rsidRDefault="00F42F9B" w:rsidP="00C23BDE">
            <w:pPr>
              <w:pStyle w:val="Tablecondensed"/>
            </w:pPr>
            <w:r w:rsidRPr="00C23BDE">
              <w:t>4</w:t>
            </w:r>
          </w:p>
        </w:tc>
        <w:tc>
          <w:tcPr>
            <w:tcW w:w="1008" w:type="dxa"/>
            <w:tcBorders>
              <w:top w:val="single" w:sz="4" w:space="0" w:color="000000" w:themeColor="text1"/>
              <w:bottom w:val="single" w:sz="4" w:space="0" w:color="000000" w:themeColor="text1"/>
              <w:right w:val="single" w:sz="4" w:space="0" w:color="000000" w:themeColor="text1"/>
            </w:tcBorders>
            <w:hideMark/>
          </w:tcPr>
          <w:p w14:paraId="1413A446" w14:textId="77777777" w:rsidR="00F42F9B" w:rsidRPr="00C23BDE" w:rsidRDefault="00F42F9B" w:rsidP="00C23BDE">
            <w:pPr>
              <w:pStyle w:val="Tablecondensed"/>
            </w:pPr>
            <w:r w:rsidRPr="00C23BDE">
              <w:t>Average</w:t>
            </w:r>
          </w:p>
        </w:tc>
      </w:tr>
      <w:tr w:rsidR="00F42F9B" w:rsidRPr="00EA43FE" w14:paraId="75C86D22" w14:textId="77777777" w:rsidTr="00591843">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05B07" w14:textId="77777777" w:rsidR="00F42F9B" w:rsidRPr="00C23BDE" w:rsidRDefault="00F42F9B"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0D576" w14:textId="2D8E7880" w:rsidR="00F42F9B" w:rsidRPr="00C23BDE" w:rsidRDefault="00F42F9B" w:rsidP="00C23BDE">
            <w:pPr>
              <w:pStyle w:val="Tablecondensed"/>
            </w:pPr>
            <w:r w:rsidRPr="00C23BDE">
              <w:t>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9F95E" w14:textId="457ECD1D" w:rsidR="00F42F9B" w:rsidRPr="00C23BDE" w:rsidRDefault="00F42F9B" w:rsidP="00C23BDE">
            <w:pPr>
              <w:pStyle w:val="Tablecondensed"/>
            </w:pPr>
            <w:r w:rsidRPr="00C23BDE">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07266" w14:textId="207A3EDB" w:rsidR="00F42F9B" w:rsidRPr="00C23BDE" w:rsidRDefault="00F42F9B" w:rsidP="00C23BDE">
            <w:pPr>
              <w:pStyle w:val="Tablecondensed"/>
            </w:pPr>
            <w:r w:rsidRPr="00C23BDE">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1986E" w14:textId="42B0B4EB" w:rsidR="00F42F9B" w:rsidRPr="00C23BDE" w:rsidRDefault="00F42F9B" w:rsidP="00C23BDE">
            <w:pPr>
              <w:pStyle w:val="Tablecondensed"/>
            </w:pPr>
            <w:r w:rsidRPr="00C23BDE">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1AB05" w14:textId="36F0DD56" w:rsidR="00F42F9B" w:rsidRPr="00C23BDE" w:rsidRDefault="00F42F9B" w:rsidP="00C23BDE">
            <w:pPr>
              <w:pStyle w:val="Tablecondensed"/>
            </w:pPr>
            <w:r w:rsidRPr="00C23BDE">
              <w:t>23</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AD0C8" w14:textId="562598F2" w:rsidR="00F42F9B" w:rsidRPr="00C23BDE" w:rsidRDefault="00F42F9B" w:rsidP="00C23BDE">
            <w:pPr>
              <w:pStyle w:val="Tablecondensed"/>
            </w:pPr>
            <w:r w:rsidRPr="00C23BDE">
              <w:t>2.</w:t>
            </w:r>
            <w:r w:rsidR="00FB13CE">
              <w:t>3</w:t>
            </w:r>
          </w:p>
        </w:tc>
      </w:tr>
    </w:tbl>
    <w:p w14:paraId="0EE9CF2A" w14:textId="537F7AF0" w:rsidR="006F6C0D" w:rsidRDefault="6F9A67C1" w:rsidP="00C23BDE">
      <w:pPr>
        <w:pStyle w:val="BodyText"/>
      </w:pPr>
      <w:r w:rsidRPr="1AD59A0D">
        <w:t>This question required students to describe two components of ethical methodology and explain how these would be applied when conducting sociological research. Students were generally able to describe two elements of ethical methodology, but many did not provide an explanation of how these would be applied. Many students mistakenly combined the methodologies of privacy and confidentiality of data</w:t>
      </w:r>
      <w:r w:rsidR="1E518D3D" w:rsidRPr="1AD59A0D">
        <w:t xml:space="preserve"> although these are two separate </w:t>
      </w:r>
      <w:proofErr w:type="gramStart"/>
      <w:r w:rsidR="1E518D3D" w:rsidRPr="1AD59A0D">
        <w:t>methodologies</w:t>
      </w:r>
      <w:r w:rsidR="00B56C9B">
        <w:t xml:space="preserve">  ̶</w:t>
      </w:r>
      <w:proofErr w:type="gramEnd"/>
      <w:r w:rsidR="00B56C9B">
        <w:t xml:space="preserve"> </w:t>
      </w:r>
      <w:r w:rsidR="1E518D3D" w:rsidRPr="1AD59A0D">
        <w:t xml:space="preserve"> </w:t>
      </w:r>
      <w:r w:rsidR="1A3DD223" w:rsidRPr="1AD59A0D">
        <w:t>privacy (the methods used to protect the identity of participants</w:t>
      </w:r>
      <w:r w:rsidR="002754A8">
        <w:t>,</w:t>
      </w:r>
      <w:r w:rsidR="1A3DD223" w:rsidRPr="1AD59A0D">
        <w:t xml:space="preserve"> </w:t>
      </w:r>
      <w:r w:rsidR="00B56C9B">
        <w:t xml:space="preserve">e.g. </w:t>
      </w:r>
      <w:r w:rsidR="1A3DD223" w:rsidRPr="1AD59A0D">
        <w:t xml:space="preserve"> pseudonyms) and confidentiality of data (means of protecting data gathered from researchers and storing it carefully and securely</w:t>
      </w:r>
      <w:r w:rsidR="00FB13CE">
        <w:t>,</w:t>
      </w:r>
      <w:r w:rsidR="1A3DD223" w:rsidRPr="1AD59A0D">
        <w:t xml:space="preserve"> </w:t>
      </w:r>
      <w:r w:rsidR="00B56C9B">
        <w:t>e.g.</w:t>
      </w:r>
      <w:r w:rsidR="1A3DD223" w:rsidRPr="1AD59A0D">
        <w:t xml:space="preserve"> in a password protected document</w:t>
      </w:r>
      <w:r w:rsidR="122184CC" w:rsidRPr="1AD59A0D">
        <w:t>)</w:t>
      </w:r>
      <w:r w:rsidR="1A3DD223" w:rsidRPr="1AD59A0D">
        <w:t>.</w:t>
      </w:r>
    </w:p>
    <w:p w14:paraId="3A2CC1C1" w14:textId="77777777" w:rsidR="00C676BD" w:rsidRDefault="00C676BD" w:rsidP="00C676BD">
      <w:pPr>
        <w:pStyle w:val="BodyText"/>
        <w:rPr>
          <w:bCs/>
        </w:rPr>
      </w:pPr>
      <w:r>
        <w:rPr>
          <w:bCs/>
        </w:rPr>
        <w:t>To be awarded full marks students needed to:</w:t>
      </w:r>
    </w:p>
    <w:p w14:paraId="6211CBF3" w14:textId="28691C2F" w:rsidR="00C676BD" w:rsidRPr="00C23BDE" w:rsidRDefault="00FB13CE" w:rsidP="00C23BDE">
      <w:pPr>
        <w:pStyle w:val="Bullet"/>
      </w:pPr>
      <w:r>
        <w:t>d</w:t>
      </w:r>
      <w:r w:rsidR="00C676BD" w:rsidRPr="00C23BDE">
        <w:t>escribe two ethical methodologies</w:t>
      </w:r>
    </w:p>
    <w:p w14:paraId="5732A923" w14:textId="7EC271D0" w:rsidR="00C676BD" w:rsidRPr="00C23BDE" w:rsidRDefault="00FB13CE" w:rsidP="00C23BDE">
      <w:pPr>
        <w:pStyle w:val="Bullet"/>
      </w:pPr>
      <w:r>
        <w:t>e</w:t>
      </w:r>
      <w:r w:rsidR="00C676BD" w:rsidRPr="00C23BDE">
        <w:t>xplain how each ethical methodology could be implemented in sociological research</w:t>
      </w:r>
      <w:r w:rsidR="002754A8">
        <w:t>.</w:t>
      </w:r>
      <w:r w:rsidR="00C676BD" w:rsidRPr="00C23BDE">
        <w:t xml:space="preserve"> </w:t>
      </w:r>
    </w:p>
    <w:p w14:paraId="6D6C5EE6" w14:textId="2D08969C" w:rsidR="000135A5" w:rsidRDefault="000135A5" w:rsidP="00C23BDE">
      <w:pPr>
        <w:pStyle w:val="BodyText"/>
        <w:rPr>
          <w:bCs/>
          <w:lang w:val="en-US"/>
        </w:rPr>
      </w:pPr>
      <w:r w:rsidRPr="00747B03">
        <w:rPr>
          <w:bCs/>
          <w:lang w:val="en-US"/>
        </w:rPr>
        <w:t xml:space="preserve">The following is an example of </w:t>
      </w:r>
      <w:r w:rsidR="002754A8">
        <w:rPr>
          <w:bCs/>
          <w:lang w:val="en-US"/>
        </w:rPr>
        <w:t xml:space="preserve">a </w:t>
      </w:r>
      <w:r w:rsidRPr="00747B03">
        <w:rPr>
          <w:bCs/>
          <w:lang w:val="en-US"/>
        </w:rPr>
        <w:t xml:space="preserve">high-scoring response that </w:t>
      </w:r>
      <w:r w:rsidR="002754A8">
        <w:rPr>
          <w:bCs/>
          <w:lang w:val="en-US"/>
        </w:rPr>
        <w:t>explained</w:t>
      </w:r>
      <w:r>
        <w:rPr>
          <w:bCs/>
          <w:lang w:val="en-US"/>
        </w:rPr>
        <w:t xml:space="preserve"> how ethical methodologies could be implemented</w:t>
      </w:r>
      <w:r w:rsidRPr="00747B03">
        <w:rPr>
          <w:bCs/>
          <w:lang w:val="en-US"/>
        </w:rPr>
        <w:t>:</w:t>
      </w:r>
    </w:p>
    <w:p w14:paraId="12FB7F55" w14:textId="7198A249" w:rsidR="000135A5" w:rsidRPr="00C23BDE" w:rsidRDefault="000135A5" w:rsidP="00C23BDE">
      <w:pPr>
        <w:pStyle w:val="studentresponse"/>
      </w:pPr>
      <w:r w:rsidRPr="00C23BDE">
        <w:t xml:space="preserve">Confidentiality of data refers to the protection and safe storage of collected research data from participants. This can be achieved by electronic password protection, destruction of data after collection or ensuring that multiple copies are not shared. </w:t>
      </w:r>
    </w:p>
    <w:p w14:paraId="4CF42BEB" w14:textId="645D72CE" w:rsidR="00BD13FB" w:rsidRPr="00C23BDE" w:rsidRDefault="000135A5" w:rsidP="00C23BDE">
      <w:pPr>
        <w:pStyle w:val="studentresponse"/>
      </w:pPr>
      <w:r w:rsidRPr="00C23BDE">
        <w:t>Privacy refers to the protection of personal information obtained from research participants, such as name and addresse</w:t>
      </w:r>
      <w:r w:rsidR="008F2260">
        <w:t>s</w:t>
      </w:r>
      <w:r w:rsidRPr="00C23BDE">
        <w:t>. This can be achieved via the use of pseudonyms when reporting findings (e.g. ‘participant 1’).</w:t>
      </w:r>
    </w:p>
    <w:p w14:paraId="014347DD" w14:textId="0BB35455" w:rsidR="00C676BD" w:rsidRPr="00A56D26" w:rsidRDefault="00C676BD" w:rsidP="00C23BDE">
      <w:pPr>
        <w:pStyle w:val="Head2"/>
      </w:pPr>
      <w:r>
        <w:t>Question 8</w:t>
      </w:r>
    </w:p>
    <w:tbl>
      <w:tblPr>
        <w:tblStyle w:val="VCAATableClosed"/>
        <w:tblW w:w="0" w:type="auto"/>
        <w:tblInd w:w="0" w:type="dxa"/>
        <w:tblLook w:val="01E0" w:firstRow="1" w:lastRow="1" w:firstColumn="1" w:lastColumn="1" w:noHBand="0" w:noVBand="0"/>
      </w:tblPr>
      <w:tblGrid>
        <w:gridCol w:w="720"/>
        <w:gridCol w:w="576"/>
        <w:gridCol w:w="576"/>
        <w:gridCol w:w="576"/>
        <w:gridCol w:w="576"/>
        <w:gridCol w:w="576"/>
        <w:gridCol w:w="576"/>
        <w:gridCol w:w="576"/>
        <w:gridCol w:w="1008"/>
      </w:tblGrid>
      <w:tr w:rsidR="00C676BD" w:rsidRPr="00A56D26" w14:paraId="00BDB9A6" w14:textId="77777777" w:rsidTr="00591843">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0D2897F8" w14:textId="77777777" w:rsidR="00C676BD" w:rsidRPr="00A56D26" w:rsidRDefault="00C676BD" w:rsidP="00C23BDE">
            <w:pPr>
              <w:pStyle w:val="Tablecondensed"/>
              <w:rPr>
                <w:lang w:val="en-AU"/>
              </w:rPr>
            </w:pPr>
            <w:r w:rsidRPr="00A56D26">
              <w:rPr>
                <w:lang w:val="en-AU"/>
              </w:rPr>
              <w:t>Marks</w:t>
            </w:r>
          </w:p>
        </w:tc>
        <w:tc>
          <w:tcPr>
            <w:tcW w:w="576" w:type="dxa"/>
            <w:tcBorders>
              <w:top w:val="single" w:sz="4" w:space="0" w:color="000000" w:themeColor="text1"/>
              <w:bottom w:val="single" w:sz="4" w:space="0" w:color="000000" w:themeColor="text1"/>
            </w:tcBorders>
            <w:hideMark/>
          </w:tcPr>
          <w:p w14:paraId="695ABECA" w14:textId="77777777" w:rsidR="00C676BD" w:rsidRPr="00A56D26" w:rsidRDefault="00C676BD" w:rsidP="00C23BDE">
            <w:pPr>
              <w:pStyle w:val="Tablecondensed"/>
              <w:rPr>
                <w:lang w:val="en-AU"/>
              </w:rPr>
            </w:pPr>
            <w:r w:rsidRPr="00A56D26">
              <w:rPr>
                <w:lang w:val="en-AU"/>
              </w:rPr>
              <w:t>0</w:t>
            </w:r>
          </w:p>
        </w:tc>
        <w:tc>
          <w:tcPr>
            <w:tcW w:w="576" w:type="dxa"/>
            <w:tcBorders>
              <w:top w:val="single" w:sz="4" w:space="0" w:color="000000" w:themeColor="text1"/>
              <w:bottom w:val="single" w:sz="4" w:space="0" w:color="000000" w:themeColor="text1"/>
            </w:tcBorders>
            <w:hideMark/>
          </w:tcPr>
          <w:p w14:paraId="59562B7A" w14:textId="77777777" w:rsidR="00C676BD" w:rsidRPr="00A56D26" w:rsidRDefault="00C676BD" w:rsidP="00C23BDE">
            <w:pPr>
              <w:pStyle w:val="Tablecondensed"/>
              <w:rPr>
                <w:lang w:val="en-AU"/>
              </w:rPr>
            </w:pPr>
            <w:r w:rsidRPr="00A56D26">
              <w:rPr>
                <w:lang w:val="en-AU"/>
              </w:rPr>
              <w:t>1</w:t>
            </w:r>
          </w:p>
        </w:tc>
        <w:tc>
          <w:tcPr>
            <w:tcW w:w="576" w:type="dxa"/>
            <w:tcBorders>
              <w:top w:val="single" w:sz="4" w:space="0" w:color="000000" w:themeColor="text1"/>
              <w:bottom w:val="single" w:sz="4" w:space="0" w:color="000000" w:themeColor="text1"/>
            </w:tcBorders>
            <w:hideMark/>
          </w:tcPr>
          <w:p w14:paraId="59CED29E" w14:textId="77777777" w:rsidR="00C676BD" w:rsidRPr="00A56D26" w:rsidRDefault="00C676BD" w:rsidP="00C23BDE">
            <w:pPr>
              <w:pStyle w:val="Tablecondensed"/>
              <w:rPr>
                <w:lang w:val="en-AU"/>
              </w:rPr>
            </w:pPr>
            <w:r w:rsidRPr="00A56D26">
              <w:rPr>
                <w:lang w:val="en-AU"/>
              </w:rPr>
              <w:t>2</w:t>
            </w:r>
          </w:p>
        </w:tc>
        <w:tc>
          <w:tcPr>
            <w:tcW w:w="576" w:type="dxa"/>
            <w:tcBorders>
              <w:top w:val="single" w:sz="4" w:space="0" w:color="000000" w:themeColor="text1"/>
              <w:bottom w:val="single" w:sz="4" w:space="0" w:color="000000" w:themeColor="text1"/>
            </w:tcBorders>
            <w:hideMark/>
          </w:tcPr>
          <w:p w14:paraId="6E72D56E" w14:textId="77777777" w:rsidR="00C676BD" w:rsidRPr="00A56D26" w:rsidRDefault="00C676BD" w:rsidP="00C23BDE">
            <w:pPr>
              <w:pStyle w:val="Tablecondensed"/>
              <w:rPr>
                <w:lang w:val="en-AU"/>
              </w:rPr>
            </w:pPr>
            <w:r w:rsidRPr="00A56D26">
              <w:rPr>
                <w:lang w:val="en-AU"/>
              </w:rPr>
              <w:t>3</w:t>
            </w:r>
          </w:p>
        </w:tc>
        <w:tc>
          <w:tcPr>
            <w:tcW w:w="576" w:type="dxa"/>
            <w:tcBorders>
              <w:top w:val="single" w:sz="4" w:space="0" w:color="000000" w:themeColor="text1"/>
              <w:bottom w:val="single" w:sz="4" w:space="0" w:color="000000" w:themeColor="text1"/>
            </w:tcBorders>
            <w:hideMark/>
          </w:tcPr>
          <w:p w14:paraId="4672DB97" w14:textId="77777777" w:rsidR="00C676BD" w:rsidRPr="00A56D26" w:rsidRDefault="00C676BD" w:rsidP="00C23BDE">
            <w:pPr>
              <w:pStyle w:val="Tablecondensed"/>
              <w:rPr>
                <w:lang w:val="en-AU"/>
              </w:rPr>
            </w:pPr>
            <w:r w:rsidRPr="00A56D26">
              <w:rPr>
                <w:lang w:val="en-AU"/>
              </w:rPr>
              <w:t>4</w:t>
            </w:r>
          </w:p>
        </w:tc>
        <w:tc>
          <w:tcPr>
            <w:tcW w:w="576" w:type="dxa"/>
            <w:tcBorders>
              <w:top w:val="single" w:sz="4" w:space="0" w:color="000000" w:themeColor="text1"/>
              <w:bottom w:val="single" w:sz="4" w:space="0" w:color="000000" w:themeColor="text1"/>
            </w:tcBorders>
            <w:hideMark/>
          </w:tcPr>
          <w:p w14:paraId="3F5F08CC" w14:textId="77777777" w:rsidR="00C676BD" w:rsidRPr="00A56D26" w:rsidRDefault="00C676BD" w:rsidP="00C23BDE">
            <w:pPr>
              <w:pStyle w:val="Tablecondensed"/>
              <w:rPr>
                <w:lang w:val="en-AU"/>
              </w:rPr>
            </w:pPr>
            <w:r w:rsidRPr="00A56D26">
              <w:rPr>
                <w:lang w:val="en-AU"/>
              </w:rPr>
              <w:t>5</w:t>
            </w:r>
          </w:p>
        </w:tc>
        <w:tc>
          <w:tcPr>
            <w:tcW w:w="576" w:type="dxa"/>
            <w:tcBorders>
              <w:top w:val="single" w:sz="4" w:space="0" w:color="000000" w:themeColor="text1"/>
              <w:bottom w:val="single" w:sz="4" w:space="0" w:color="000000" w:themeColor="text1"/>
            </w:tcBorders>
            <w:hideMark/>
          </w:tcPr>
          <w:p w14:paraId="3BE144E3" w14:textId="77777777" w:rsidR="00C676BD" w:rsidRPr="00A56D26" w:rsidRDefault="00C676BD" w:rsidP="00C23BDE">
            <w:pPr>
              <w:pStyle w:val="Tablecondensed"/>
              <w:rPr>
                <w:lang w:val="en-AU"/>
              </w:rPr>
            </w:pPr>
            <w:r w:rsidRPr="00A56D26">
              <w:rPr>
                <w:lang w:val="en-AU"/>
              </w:rPr>
              <w:t>6</w:t>
            </w:r>
          </w:p>
        </w:tc>
        <w:tc>
          <w:tcPr>
            <w:tcW w:w="1008" w:type="dxa"/>
            <w:tcBorders>
              <w:top w:val="single" w:sz="4" w:space="0" w:color="000000" w:themeColor="text1"/>
              <w:bottom w:val="single" w:sz="4" w:space="0" w:color="000000" w:themeColor="text1"/>
              <w:right w:val="single" w:sz="4" w:space="0" w:color="000000" w:themeColor="text1"/>
            </w:tcBorders>
            <w:hideMark/>
          </w:tcPr>
          <w:p w14:paraId="4C1C9CF1" w14:textId="77777777" w:rsidR="00C676BD" w:rsidRPr="00A56D26" w:rsidRDefault="00C676BD" w:rsidP="00C23BDE">
            <w:pPr>
              <w:pStyle w:val="Tablecondensed"/>
              <w:rPr>
                <w:lang w:val="en-AU"/>
              </w:rPr>
            </w:pPr>
            <w:r w:rsidRPr="00A56D26">
              <w:rPr>
                <w:lang w:val="en-AU"/>
              </w:rPr>
              <w:t>Average</w:t>
            </w:r>
          </w:p>
        </w:tc>
      </w:tr>
      <w:tr w:rsidR="00C676BD" w:rsidRPr="00A56D26" w14:paraId="25E60D74" w14:textId="77777777" w:rsidTr="00591843">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7BE98" w14:textId="77777777" w:rsidR="00C676BD" w:rsidRPr="00A56D26" w:rsidRDefault="00C676BD" w:rsidP="00C23BDE">
            <w:pPr>
              <w:pStyle w:val="Tablecondensed"/>
              <w:rPr>
                <w:lang w:val="en-AU"/>
              </w:rPr>
            </w:pPr>
            <w:r w:rsidRPr="00A56D26">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783EB" w14:textId="7017AE2A" w:rsidR="00C676BD" w:rsidRPr="00A56D26" w:rsidRDefault="00C676BD" w:rsidP="00C23BDE">
            <w:pPr>
              <w:pStyle w:val="Tablecondensed"/>
              <w:rPr>
                <w:lang w:val="en-AU"/>
              </w:rPr>
            </w:pPr>
            <w:r>
              <w:rPr>
                <w:lang w:val="en-AU"/>
              </w:rP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CA447" w14:textId="43F5654C" w:rsidR="00C676BD" w:rsidRPr="00A56D26" w:rsidRDefault="00C676BD" w:rsidP="00C23BDE">
            <w:pPr>
              <w:pStyle w:val="Tablecondensed"/>
              <w:rPr>
                <w:lang w:val="en-AU"/>
              </w:rPr>
            </w:pPr>
            <w:r>
              <w:rPr>
                <w:lang w:val="en-AU"/>
              </w:rP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7081E" w14:textId="27D31B84" w:rsidR="00C676BD" w:rsidRPr="00A56D26" w:rsidRDefault="00C676BD" w:rsidP="00C23BDE">
            <w:pPr>
              <w:pStyle w:val="Tablecondensed"/>
              <w:rPr>
                <w:lang w:val="en-AU"/>
              </w:rPr>
            </w:pPr>
            <w:r>
              <w:rPr>
                <w:lang w:val="en-AU"/>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F35F2" w14:textId="0A71B75E" w:rsidR="00C676BD" w:rsidRPr="00A56D26" w:rsidRDefault="00C676BD" w:rsidP="00C23BDE">
            <w:pPr>
              <w:pStyle w:val="Tablecondensed"/>
              <w:rPr>
                <w:lang w:val="en-AU"/>
              </w:rPr>
            </w:pPr>
            <w:r>
              <w:rPr>
                <w:lang w:val="en-AU"/>
              </w:rPr>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76F5" w14:textId="1C8711E8" w:rsidR="00C676BD" w:rsidRPr="00A56D26" w:rsidRDefault="00C676BD" w:rsidP="00C23BDE">
            <w:pPr>
              <w:pStyle w:val="Tablecondensed"/>
              <w:rPr>
                <w:lang w:val="en-AU"/>
              </w:rPr>
            </w:pPr>
            <w:r>
              <w:rPr>
                <w:lang w:val="en-AU"/>
              </w:rPr>
              <w:t>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15A03" w14:textId="53D3B656" w:rsidR="00C676BD" w:rsidRPr="00A56D26" w:rsidRDefault="00C676BD" w:rsidP="00C23BDE">
            <w:pPr>
              <w:pStyle w:val="Tablecondensed"/>
              <w:rPr>
                <w:lang w:val="en-AU"/>
              </w:rPr>
            </w:pPr>
            <w:r>
              <w:rPr>
                <w:lang w:val="en-AU"/>
              </w:rPr>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70A19" w14:textId="78D6A665" w:rsidR="00C676BD" w:rsidRPr="00A56D26" w:rsidRDefault="00C676BD" w:rsidP="00C23BDE">
            <w:pPr>
              <w:pStyle w:val="Tablecondensed"/>
              <w:rPr>
                <w:lang w:val="en-AU"/>
              </w:rPr>
            </w:pPr>
            <w:r>
              <w:rPr>
                <w:lang w:val="en-AU"/>
              </w:rPr>
              <w:t>9</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B0EDE" w14:textId="3C7C4127" w:rsidR="00C676BD" w:rsidRPr="00A56D26" w:rsidRDefault="00C676BD" w:rsidP="00C23BDE">
            <w:pPr>
              <w:pStyle w:val="Tablecondensed"/>
              <w:rPr>
                <w:lang w:val="en-AU"/>
              </w:rPr>
            </w:pPr>
            <w:r>
              <w:rPr>
                <w:lang w:val="en-AU"/>
              </w:rPr>
              <w:t>3.2</w:t>
            </w:r>
          </w:p>
        </w:tc>
      </w:tr>
    </w:tbl>
    <w:p w14:paraId="0EBA45B1" w14:textId="70E0739C" w:rsidR="00C676BD" w:rsidRDefault="00C676BD" w:rsidP="00C676BD">
      <w:pPr>
        <w:pStyle w:val="BodyText"/>
        <w:rPr>
          <w:bCs/>
        </w:rPr>
      </w:pPr>
      <w:r>
        <w:rPr>
          <w:bCs/>
        </w:rPr>
        <w:t>This question required students to identify one economic and one social factor from the representation and suggest how these might influence the experience of the community in Camden. Higher</w:t>
      </w:r>
      <w:r w:rsidR="002754A8">
        <w:rPr>
          <w:bCs/>
        </w:rPr>
        <w:t>-</w:t>
      </w:r>
      <w:r>
        <w:rPr>
          <w:bCs/>
        </w:rPr>
        <w:t xml:space="preserve">scoring responses </w:t>
      </w:r>
      <w:r w:rsidR="005E0EB2">
        <w:rPr>
          <w:bCs/>
        </w:rPr>
        <w:t xml:space="preserve">explicitly stated which factor was economic and which was </w:t>
      </w:r>
      <w:proofErr w:type="gramStart"/>
      <w:r w:rsidR="005E0EB2">
        <w:rPr>
          <w:bCs/>
        </w:rPr>
        <w:t>social</w:t>
      </w:r>
      <w:r w:rsidR="002754A8">
        <w:rPr>
          <w:bCs/>
        </w:rPr>
        <w:t>,</w:t>
      </w:r>
      <w:r w:rsidR="005E0EB2">
        <w:rPr>
          <w:bCs/>
        </w:rPr>
        <w:t xml:space="preserve"> and</w:t>
      </w:r>
      <w:proofErr w:type="gramEnd"/>
      <w:r w:rsidR="005E0EB2">
        <w:rPr>
          <w:bCs/>
        </w:rPr>
        <w:t xml:space="preserve"> </w:t>
      </w:r>
      <w:r>
        <w:rPr>
          <w:bCs/>
        </w:rPr>
        <w:t>were able to elaborate on their suggested influence</w:t>
      </w:r>
      <w:r w:rsidR="005E0EB2">
        <w:rPr>
          <w:bCs/>
        </w:rPr>
        <w:t xml:space="preserve"> to provide justifications for their suggestions. </w:t>
      </w:r>
    </w:p>
    <w:p w14:paraId="601858A2" w14:textId="23134D2E" w:rsidR="005E0EB2" w:rsidRDefault="005E0EB2" w:rsidP="00C676BD">
      <w:pPr>
        <w:pStyle w:val="BodyText"/>
        <w:rPr>
          <w:bCs/>
        </w:rPr>
      </w:pPr>
      <w:r>
        <w:rPr>
          <w:bCs/>
        </w:rPr>
        <w:t xml:space="preserve">Students are reminded to pay attention to the limiting terms in questions, as additional factors identified could not be awarded marks. </w:t>
      </w:r>
    </w:p>
    <w:p w14:paraId="429307F4" w14:textId="77777777" w:rsidR="005E0EB2" w:rsidRDefault="005E0EB2" w:rsidP="005E0EB2">
      <w:pPr>
        <w:pStyle w:val="BodyText"/>
        <w:rPr>
          <w:bCs/>
        </w:rPr>
      </w:pPr>
      <w:r>
        <w:rPr>
          <w:bCs/>
        </w:rPr>
        <w:t>To be awarded full marks students needed to:</w:t>
      </w:r>
    </w:p>
    <w:p w14:paraId="05FD8885" w14:textId="03966DE6" w:rsidR="005E0EB2" w:rsidRPr="00C23BDE" w:rsidRDefault="00FB13CE" w:rsidP="00C23BDE">
      <w:pPr>
        <w:pStyle w:val="Bullet"/>
      </w:pPr>
      <w:r>
        <w:t>i</w:t>
      </w:r>
      <w:r w:rsidR="005E0EB2" w:rsidRPr="00C23BDE">
        <w:t>dentify one social and one economic factor from the representation</w:t>
      </w:r>
    </w:p>
    <w:p w14:paraId="47A05D07" w14:textId="3D02BEF0" w:rsidR="005E0EB2" w:rsidRPr="00C23BDE" w:rsidRDefault="00FB13CE" w:rsidP="00C23BDE">
      <w:pPr>
        <w:pStyle w:val="Bullet"/>
      </w:pPr>
      <w:r>
        <w:t>s</w:t>
      </w:r>
      <w:r w:rsidR="005E0EB2" w:rsidRPr="00C23BDE">
        <w:t xml:space="preserve">uggest the impact of the identified factors on the community </w:t>
      </w:r>
    </w:p>
    <w:p w14:paraId="0CFB0AA3" w14:textId="2D63C160" w:rsidR="00C676BD" w:rsidRPr="00C23BDE" w:rsidRDefault="00FB13CE" w:rsidP="00C23BDE">
      <w:pPr>
        <w:pStyle w:val="Bullet"/>
      </w:pPr>
      <w:r>
        <w:t>j</w:t>
      </w:r>
      <w:r w:rsidR="005E0EB2" w:rsidRPr="00C23BDE">
        <w:t>ustify their suggestions</w:t>
      </w:r>
      <w:r>
        <w:t>.</w:t>
      </w:r>
    </w:p>
    <w:p w14:paraId="7E282F63" w14:textId="6DC014D7" w:rsidR="005E0EB2" w:rsidRPr="00C23BDE" w:rsidRDefault="00C676BD" w:rsidP="00C23BDE">
      <w:pPr>
        <w:pStyle w:val="BodyText"/>
      </w:pPr>
      <w:r w:rsidRPr="00C23BDE">
        <w:t>The following is an example of a high-scoring response that has effectively</w:t>
      </w:r>
      <w:r w:rsidR="005E0EB2" w:rsidRPr="00C23BDE">
        <w:t xml:space="preserve"> justified </w:t>
      </w:r>
      <w:r w:rsidR="002754A8" w:rsidRPr="00C23BDE">
        <w:t>the</w:t>
      </w:r>
      <w:r w:rsidR="002754A8">
        <w:t xml:space="preserve"> student’s</w:t>
      </w:r>
      <w:r w:rsidR="002754A8" w:rsidRPr="00C23BDE">
        <w:t xml:space="preserve"> </w:t>
      </w:r>
      <w:r w:rsidR="005E0EB2" w:rsidRPr="00C23BDE">
        <w:t>suggestion</w:t>
      </w:r>
      <w:r w:rsidRPr="00C23BDE">
        <w:t>:</w:t>
      </w:r>
    </w:p>
    <w:p w14:paraId="3B6AD89F" w14:textId="0C6E89C2" w:rsidR="00F52F68" w:rsidRPr="00C23BDE" w:rsidRDefault="005E0EB2" w:rsidP="00C23BDE">
      <w:pPr>
        <w:pStyle w:val="studentresponse"/>
      </w:pPr>
      <w:r w:rsidRPr="00C23BDE">
        <w:t xml:space="preserve">One economic factor, as indicated in Representation 3, is the “struggle of stiff competition” for community members due to the proximity of “large-scale shopping centres”. This affected the experience of community…by making it more </w:t>
      </w:r>
      <w:r w:rsidR="003225B2" w:rsidRPr="00C23BDE">
        <w:t xml:space="preserve">difficult for business owners within the community of Camden to sustain themselves. This may lead to business closures and a struggling economy, which will worsen the quality of life, </w:t>
      </w:r>
      <w:proofErr w:type="gramStart"/>
      <w:r w:rsidR="003225B2" w:rsidRPr="00C23BDE">
        <w:t>and,</w:t>
      </w:r>
      <w:proofErr w:type="gramEnd"/>
      <w:r w:rsidR="003225B2" w:rsidRPr="00C23BDE">
        <w:t xml:space="preserve"> subsequently the experience of community.</w:t>
      </w:r>
    </w:p>
    <w:p w14:paraId="7D5D2969" w14:textId="507D4D3E" w:rsidR="003225B2" w:rsidRPr="00A56D26" w:rsidRDefault="003225B2" w:rsidP="00C23BDE">
      <w:pPr>
        <w:pStyle w:val="Head2"/>
      </w:pPr>
      <w:r>
        <w:lastRenderedPageBreak/>
        <w:t>Question 9</w:t>
      </w:r>
    </w:p>
    <w:tbl>
      <w:tblPr>
        <w:tblStyle w:val="VCAATableClosed1"/>
        <w:tblW w:w="0" w:type="auto"/>
        <w:tblInd w:w="0" w:type="dxa"/>
        <w:tblLook w:val="01E0" w:firstRow="1" w:lastRow="1" w:firstColumn="1" w:lastColumn="1" w:noHBand="0" w:noVBand="0"/>
      </w:tblPr>
      <w:tblGrid>
        <w:gridCol w:w="720"/>
        <w:gridCol w:w="576"/>
        <w:gridCol w:w="576"/>
        <w:gridCol w:w="576"/>
        <w:gridCol w:w="576"/>
        <w:gridCol w:w="576"/>
        <w:gridCol w:w="576"/>
        <w:gridCol w:w="576"/>
        <w:gridCol w:w="576"/>
        <w:gridCol w:w="576"/>
        <w:gridCol w:w="576"/>
        <w:gridCol w:w="576"/>
        <w:gridCol w:w="1008"/>
      </w:tblGrid>
      <w:tr w:rsidR="003225B2" w:rsidRPr="00EA43FE" w14:paraId="557EE6C5" w14:textId="77777777" w:rsidTr="00591843">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7A0AA756" w14:textId="77777777" w:rsidR="003225B2" w:rsidRPr="00C23BDE" w:rsidRDefault="003225B2"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05C29ABD" w14:textId="77777777" w:rsidR="003225B2" w:rsidRPr="00C23BDE" w:rsidRDefault="003225B2"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15B6E7F4" w14:textId="77777777" w:rsidR="003225B2" w:rsidRPr="00C23BDE" w:rsidRDefault="003225B2"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24ED4453" w14:textId="77777777" w:rsidR="003225B2" w:rsidRPr="00C23BDE" w:rsidRDefault="003225B2"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3D62DEF9" w14:textId="77777777" w:rsidR="003225B2" w:rsidRPr="00C23BDE" w:rsidRDefault="003225B2"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1510C07D" w14:textId="77777777" w:rsidR="003225B2" w:rsidRPr="00C23BDE" w:rsidRDefault="003225B2" w:rsidP="00C23BDE">
            <w:pPr>
              <w:pStyle w:val="Tablecondensed"/>
            </w:pPr>
            <w:r w:rsidRPr="00C23BDE">
              <w:t>4</w:t>
            </w:r>
          </w:p>
        </w:tc>
        <w:tc>
          <w:tcPr>
            <w:tcW w:w="576" w:type="dxa"/>
            <w:tcBorders>
              <w:top w:val="single" w:sz="4" w:space="0" w:color="000000" w:themeColor="text1"/>
              <w:bottom w:val="single" w:sz="4" w:space="0" w:color="000000" w:themeColor="text1"/>
            </w:tcBorders>
            <w:hideMark/>
          </w:tcPr>
          <w:p w14:paraId="3EB54092" w14:textId="77777777" w:rsidR="003225B2" w:rsidRPr="00C23BDE" w:rsidRDefault="003225B2" w:rsidP="00C23BDE">
            <w:pPr>
              <w:pStyle w:val="Tablecondensed"/>
            </w:pPr>
            <w:r w:rsidRPr="00C23BDE">
              <w:t>5</w:t>
            </w:r>
          </w:p>
        </w:tc>
        <w:tc>
          <w:tcPr>
            <w:tcW w:w="576" w:type="dxa"/>
            <w:tcBorders>
              <w:top w:val="single" w:sz="4" w:space="0" w:color="000000" w:themeColor="text1"/>
              <w:bottom w:val="single" w:sz="4" w:space="0" w:color="000000" w:themeColor="text1"/>
            </w:tcBorders>
            <w:hideMark/>
          </w:tcPr>
          <w:p w14:paraId="4A7AED9E" w14:textId="77777777" w:rsidR="003225B2" w:rsidRPr="00C23BDE" w:rsidRDefault="003225B2" w:rsidP="00C23BDE">
            <w:pPr>
              <w:pStyle w:val="Tablecondensed"/>
            </w:pPr>
            <w:r w:rsidRPr="00C23BDE">
              <w:t>6</w:t>
            </w:r>
          </w:p>
        </w:tc>
        <w:tc>
          <w:tcPr>
            <w:tcW w:w="576" w:type="dxa"/>
            <w:tcBorders>
              <w:top w:val="single" w:sz="4" w:space="0" w:color="000000" w:themeColor="text1"/>
              <w:bottom w:val="single" w:sz="4" w:space="0" w:color="000000" w:themeColor="text1"/>
            </w:tcBorders>
            <w:hideMark/>
          </w:tcPr>
          <w:p w14:paraId="68FA924C" w14:textId="77777777" w:rsidR="003225B2" w:rsidRPr="00C23BDE" w:rsidRDefault="003225B2" w:rsidP="00C23BDE">
            <w:pPr>
              <w:pStyle w:val="Tablecondensed"/>
            </w:pPr>
            <w:r w:rsidRPr="00C23BDE">
              <w:t>7</w:t>
            </w:r>
          </w:p>
        </w:tc>
        <w:tc>
          <w:tcPr>
            <w:tcW w:w="576" w:type="dxa"/>
            <w:tcBorders>
              <w:top w:val="single" w:sz="4" w:space="0" w:color="000000" w:themeColor="text1"/>
              <w:bottom w:val="single" w:sz="4" w:space="0" w:color="000000" w:themeColor="text1"/>
            </w:tcBorders>
            <w:hideMark/>
          </w:tcPr>
          <w:p w14:paraId="6FCB6DE2" w14:textId="77777777" w:rsidR="003225B2" w:rsidRPr="00C23BDE" w:rsidRDefault="003225B2" w:rsidP="00C23BDE">
            <w:pPr>
              <w:pStyle w:val="Tablecondensed"/>
            </w:pPr>
            <w:r w:rsidRPr="00C23BDE">
              <w:t>8</w:t>
            </w:r>
          </w:p>
        </w:tc>
        <w:tc>
          <w:tcPr>
            <w:tcW w:w="576" w:type="dxa"/>
            <w:tcBorders>
              <w:top w:val="single" w:sz="4" w:space="0" w:color="000000" w:themeColor="text1"/>
              <w:bottom w:val="single" w:sz="4" w:space="0" w:color="000000" w:themeColor="text1"/>
            </w:tcBorders>
            <w:hideMark/>
          </w:tcPr>
          <w:p w14:paraId="6A43761A" w14:textId="77777777" w:rsidR="003225B2" w:rsidRPr="00C23BDE" w:rsidRDefault="003225B2" w:rsidP="00C23BDE">
            <w:pPr>
              <w:pStyle w:val="Tablecondensed"/>
            </w:pPr>
            <w:r w:rsidRPr="00C23BDE">
              <w:t>9</w:t>
            </w:r>
          </w:p>
        </w:tc>
        <w:tc>
          <w:tcPr>
            <w:tcW w:w="576" w:type="dxa"/>
            <w:tcBorders>
              <w:top w:val="single" w:sz="4" w:space="0" w:color="000000" w:themeColor="text1"/>
              <w:bottom w:val="single" w:sz="4" w:space="0" w:color="000000" w:themeColor="text1"/>
            </w:tcBorders>
            <w:hideMark/>
          </w:tcPr>
          <w:p w14:paraId="3916BF27" w14:textId="77777777" w:rsidR="003225B2" w:rsidRPr="00C23BDE" w:rsidRDefault="003225B2" w:rsidP="00C23BDE">
            <w:pPr>
              <w:pStyle w:val="Tablecondensed"/>
            </w:pPr>
            <w:r w:rsidRPr="00C23BDE">
              <w:t>10</w:t>
            </w:r>
          </w:p>
        </w:tc>
        <w:tc>
          <w:tcPr>
            <w:tcW w:w="1008" w:type="dxa"/>
            <w:tcBorders>
              <w:top w:val="single" w:sz="4" w:space="0" w:color="000000" w:themeColor="text1"/>
              <w:bottom w:val="single" w:sz="4" w:space="0" w:color="000000" w:themeColor="text1"/>
              <w:right w:val="single" w:sz="4" w:space="0" w:color="000000" w:themeColor="text1"/>
            </w:tcBorders>
            <w:hideMark/>
          </w:tcPr>
          <w:p w14:paraId="38B010BD" w14:textId="77777777" w:rsidR="003225B2" w:rsidRPr="00C23BDE" w:rsidRDefault="003225B2" w:rsidP="00C23BDE">
            <w:pPr>
              <w:pStyle w:val="Tablecondensed"/>
            </w:pPr>
            <w:r w:rsidRPr="00C23BDE">
              <w:t>Average</w:t>
            </w:r>
          </w:p>
        </w:tc>
      </w:tr>
      <w:tr w:rsidR="003225B2" w:rsidRPr="00EA43FE" w14:paraId="4CBC1272" w14:textId="77777777" w:rsidTr="00591843">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F1AE" w14:textId="77777777" w:rsidR="003225B2" w:rsidRPr="00C23BDE" w:rsidRDefault="003225B2"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AF5915" w14:textId="5C5FB138" w:rsidR="003225B2" w:rsidRPr="00C23BDE" w:rsidRDefault="003225B2" w:rsidP="00C23BDE">
            <w:pPr>
              <w:pStyle w:val="Tablecondensed"/>
            </w:pPr>
            <w:r w:rsidRPr="00C23BDE">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94F4D" w14:textId="4E9BFAFA" w:rsidR="003225B2" w:rsidRPr="00C23BDE" w:rsidRDefault="003225B2" w:rsidP="00C23BDE">
            <w:pPr>
              <w:pStyle w:val="Tablecondensed"/>
            </w:pPr>
            <w:r w:rsidRPr="00C23BDE">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40893" w14:textId="7CEC6EF8" w:rsidR="003225B2" w:rsidRPr="00C23BDE" w:rsidRDefault="003225B2" w:rsidP="00C23BDE">
            <w:pPr>
              <w:pStyle w:val="Tablecondensed"/>
            </w:pPr>
            <w:r w:rsidRPr="00C23BDE">
              <w:t>1</w:t>
            </w:r>
            <w:r w:rsidR="000F3E04">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9D3CE" w14:textId="6D091534" w:rsidR="003225B2" w:rsidRPr="00C23BDE" w:rsidRDefault="003225B2" w:rsidP="00C23BDE">
            <w:pPr>
              <w:pStyle w:val="Tablecondensed"/>
            </w:pPr>
            <w:r w:rsidRPr="00C23BDE">
              <w:t>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F6EF6" w14:textId="64703AA9" w:rsidR="003225B2" w:rsidRPr="00C23BDE" w:rsidRDefault="003225B2" w:rsidP="00C23BDE">
            <w:pPr>
              <w:pStyle w:val="Tablecondensed"/>
            </w:pPr>
            <w:r w:rsidRPr="00C23BDE">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0A723" w14:textId="22B68E42" w:rsidR="003225B2" w:rsidRPr="00C23BDE" w:rsidRDefault="003225B2" w:rsidP="00C23BDE">
            <w:pPr>
              <w:pStyle w:val="Tablecondensed"/>
            </w:pPr>
            <w:r w:rsidRPr="00C23BDE">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8C666" w14:textId="156A0B78" w:rsidR="003225B2" w:rsidRPr="00C23BDE" w:rsidRDefault="000F3E04" w:rsidP="00C23BDE">
            <w:pPr>
              <w:pStyle w:val="Tablecondensed"/>
            </w:pPr>
            <w: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02B58" w14:textId="53A2BD5B" w:rsidR="003225B2" w:rsidRPr="00C23BDE" w:rsidRDefault="003225B2" w:rsidP="00C23BDE">
            <w:pPr>
              <w:pStyle w:val="Tablecondensed"/>
            </w:pPr>
            <w:r w:rsidRPr="00C23BDE">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BA536" w14:textId="34B103CC" w:rsidR="003225B2" w:rsidRPr="00C23BDE" w:rsidRDefault="003225B2" w:rsidP="00C23BDE">
            <w:pPr>
              <w:pStyle w:val="Tablecondensed"/>
            </w:pPr>
            <w:r w:rsidRPr="00C23BDE">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DE515" w14:textId="36AF7A17" w:rsidR="003225B2" w:rsidRPr="00C23BDE" w:rsidRDefault="003225B2" w:rsidP="00C23BDE">
            <w:pPr>
              <w:pStyle w:val="Tablecondensed"/>
            </w:pPr>
            <w:r w:rsidRPr="00C23BDE">
              <w:t>0.7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A0FA6" w14:textId="06BAC616" w:rsidR="003225B2" w:rsidRPr="00C23BDE" w:rsidRDefault="003225B2" w:rsidP="00C23BDE">
            <w:pPr>
              <w:pStyle w:val="Tablecondensed"/>
            </w:pPr>
            <w:r w:rsidRPr="00C23BDE">
              <w:t>0.1</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735EA" w14:textId="4F37E40F" w:rsidR="003225B2" w:rsidRPr="00C23BDE" w:rsidRDefault="003225B2" w:rsidP="00C23BDE">
            <w:pPr>
              <w:pStyle w:val="Tablecondensed"/>
            </w:pPr>
            <w:r w:rsidRPr="00C23BDE">
              <w:t>3.5</w:t>
            </w:r>
          </w:p>
        </w:tc>
      </w:tr>
    </w:tbl>
    <w:p w14:paraId="3D171A6B" w14:textId="66FE3E97" w:rsidR="00860775" w:rsidRDefault="003225B2" w:rsidP="00860775">
      <w:pPr>
        <w:pStyle w:val="BodyText"/>
        <w:rPr>
          <w:bCs/>
        </w:rPr>
      </w:pPr>
      <w:r>
        <w:rPr>
          <w:bCs/>
        </w:rPr>
        <w:t>This question required students to examine how the concept of community has changed over time</w:t>
      </w:r>
      <w:r w:rsidR="00FB13CE">
        <w:rPr>
          <w:bCs/>
        </w:rPr>
        <w:t>,</w:t>
      </w:r>
      <w:r>
        <w:rPr>
          <w:bCs/>
        </w:rPr>
        <w:t xml:space="preserve"> drawing on the theories of Ferdinand T</w:t>
      </w:r>
      <w:r w:rsidR="001F3821">
        <w:rPr>
          <w:bCs/>
        </w:rPr>
        <w:t>ö</w:t>
      </w:r>
      <w:r>
        <w:rPr>
          <w:bCs/>
        </w:rPr>
        <w:t>nnies and Michel Maffesoli. Students were also required to use illustrative examples to demonstrate these changes.</w:t>
      </w:r>
    </w:p>
    <w:p w14:paraId="02AF82D5" w14:textId="31ADCB65" w:rsidR="009F0B37" w:rsidRDefault="009F0B37" w:rsidP="009F0B37">
      <w:pPr>
        <w:pStyle w:val="BodyText"/>
        <w:rPr>
          <w:bCs/>
        </w:rPr>
      </w:pPr>
      <w:r>
        <w:rPr>
          <w:bCs/>
        </w:rPr>
        <w:t>Teachers are reminded to use the study design</w:t>
      </w:r>
      <w:r w:rsidR="00F844F8">
        <w:rPr>
          <w:bCs/>
        </w:rPr>
        <w:t>’s</w:t>
      </w:r>
      <w:r>
        <w:rPr>
          <w:bCs/>
        </w:rPr>
        <w:t xml:space="preserve"> definition of community </w:t>
      </w:r>
      <w:r w:rsidR="00F844F8">
        <w:rPr>
          <w:bCs/>
        </w:rPr>
        <w:t>when</w:t>
      </w:r>
      <w:r>
        <w:rPr>
          <w:bCs/>
        </w:rPr>
        <w:t xml:space="preserve"> teaching </w:t>
      </w:r>
      <w:r w:rsidR="001F3821">
        <w:rPr>
          <w:bCs/>
        </w:rPr>
        <w:t>‘</w:t>
      </w:r>
      <w:r w:rsidRPr="009D464A">
        <w:rPr>
          <w:lang w:val="en-GB"/>
        </w:rPr>
        <w:t>community as a group of people who share social relationships through being geographically close to each other and/or being in regular contact with each other, and through having similarities such as mutual interests and/or shared ideology</w:t>
      </w:r>
      <w:r w:rsidR="00F844F8">
        <w:rPr>
          <w:lang w:val="en-GB"/>
        </w:rPr>
        <w:t>’</w:t>
      </w:r>
      <w:r w:rsidR="00561CE3">
        <w:rPr>
          <w:lang w:val="en-GB"/>
        </w:rPr>
        <w:t>.</w:t>
      </w:r>
      <w:r>
        <w:rPr>
          <w:lang w:val="en-GB"/>
        </w:rPr>
        <w:t xml:space="preserve"> </w:t>
      </w:r>
    </w:p>
    <w:p w14:paraId="38061BFF" w14:textId="0037D9E0" w:rsidR="006963B4" w:rsidRDefault="003225B2" w:rsidP="006963B4">
      <w:pPr>
        <w:pStyle w:val="BodyText"/>
        <w:rPr>
          <w:bCs/>
        </w:rPr>
      </w:pPr>
      <w:r>
        <w:rPr>
          <w:bCs/>
        </w:rPr>
        <w:t>To be awarded full marks students needed to:</w:t>
      </w:r>
    </w:p>
    <w:p w14:paraId="12537B75" w14:textId="32837E4E" w:rsidR="006963B4" w:rsidRPr="00C23BDE" w:rsidRDefault="001F3821" w:rsidP="00C23BDE">
      <w:pPr>
        <w:pStyle w:val="Bullet"/>
      </w:pPr>
      <w:r>
        <w:t>p</w:t>
      </w:r>
      <w:r w:rsidR="00860775" w:rsidRPr="00C23BDE">
        <w:t>rovide a de</w:t>
      </w:r>
      <w:r w:rsidR="006963B4" w:rsidRPr="00C23BDE">
        <w:t>fin</w:t>
      </w:r>
      <w:r w:rsidR="00860775" w:rsidRPr="00C23BDE">
        <w:t>ition of</w:t>
      </w:r>
      <w:r w:rsidR="006963B4" w:rsidRPr="00C23BDE">
        <w:t xml:space="preserve"> community </w:t>
      </w:r>
    </w:p>
    <w:p w14:paraId="06572191" w14:textId="554997B2" w:rsidR="006963B4" w:rsidRPr="00C23BDE" w:rsidRDefault="001F3821" w:rsidP="00C23BDE">
      <w:pPr>
        <w:pStyle w:val="Bullet"/>
      </w:pPr>
      <w:r>
        <w:t>e</w:t>
      </w:r>
      <w:r w:rsidR="006963B4" w:rsidRPr="00C23BDE">
        <w:t>xamine the change in the concept of community with reference to T</w:t>
      </w:r>
      <w:r>
        <w:t>ö</w:t>
      </w:r>
      <w:r w:rsidR="006963B4" w:rsidRPr="00C23BDE">
        <w:t>nnies</w:t>
      </w:r>
      <w:r>
        <w:t>’</w:t>
      </w:r>
      <w:r w:rsidR="00F844F8">
        <w:t>s</w:t>
      </w:r>
      <w:r w:rsidR="006963B4" w:rsidRPr="00C23BDE">
        <w:t xml:space="preserve"> theory and contributing factors</w:t>
      </w:r>
    </w:p>
    <w:p w14:paraId="03C623DC" w14:textId="1D0B5679" w:rsidR="006963B4" w:rsidRPr="00C23BDE" w:rsidRDefault="001F3821" w:rsidP="00C23BDE">
      <w:pPr>
        <w:pStyle w:val="Bullet"/>
      </w:pPr>
      <w:r>
        <w:t>e</w:t>
      </w:r>
      <w:r w:rsidR="006963B4" w:rsidRPr="00C23BDE">
        <w:t>xamine the change in the concept of community with reference to Maffesoli’s theory and contributing factors</w:t>
      </w:r>
    </w:p>
    <w:p w14:paraId="23C2D084" w14:textId="57011442" w:rsidR="006963B4" w:rsidRPr="00C23BDE" w:rsidRDefault="001F3821" w:rsidP="00C23BDE">
      <w:pPr>
        <w:pStyle w:val="Bullet"/>
      </w:pPr>
      <w:r>
        <w:t>d</w:t>
      </w:r>
      <w:r w:rsidR="006963B4" w:rsidRPr="00C23BDE">
        <w:t>raw on illustrative examples to support their examination</w:t>
      </w:r>
      <w:r>
        <w:t>.</w:t>
      </w:r>
      <w:r w:rsidR="006963B4" w:rsidRPr="00C23BDE">
        <w:t xml:space="preserve"> </w:t>
      </w:r>
    </w:p>
    <w:p w14:paraId="0A04ED04" w14:textId="77777777" w:rsidR="001F3821" w:rsidRDefault="001F3821" w:rsidP="001F3821">
      <w:pPr>
        <w:pStyle w:val="BodyText"/>
        <w:rPr>
          <w:bCs/>
        </w:rPr>
      </w:pPr>
      <w:r>
        <w:rPr>
          <w:bCs/>
        </w:rPr>
        <w:t>Higher-scoring responses:</w:t>
      </w:r>
    </w:p>
    <w:p w14:paraId="7A057031" w14:textId="74C787B5" w:rsidR="001F3821" w:rsidRPr="00C23BDE" w:rsidRDefault="001F3821" w:rsidP="001F3821">
      <w:pPr>
        <w:pStyle w:val="Bullet"/>
      </w:pPr>
      <w:r w:rsidRPr="00C23BDE">
        <w:t>examine</w:t>
      </w:r>
      <w:r w:rsidR="00F844F8">
        <w:t>d</w:t>
      </w:r>
      <w:r w:rsidRPr="00C23BDE">
        <w:t xml:space="preserve"> the factors that lead to the change in the concept of community</w:t>
      </w:r>
      <w:r w:rsidR="00F844F8">
        <w:t xml:space="preserve"> (</w:t>
      </w:r>
      <w:r w:rsidRPr="00C23BDE">
        <w:t>e.g. the industrial revolution or the digital revolution</w:t>
      </w:r>
      <w:r w:rsidR="00F844F8">
        <w:t>)</w:t>
      </w:r>
    </w:p>
    <w:p w14:paraId="3DADFB6A" w14:textId="6E813D85" w:rsidR="001F3821" w:rsidRPr="00C23BDE" w:rsidRDefault="001F3821" w:rsidP="001F3821">
      <w:pPr>
        <w:pStyle w:val="Bullet"/>
      </w:pPr>
      <w:r w:rsidRPr="00C23BDE">
        <w:t>provided a detailed description of both T</w:t>
      </w:r>
      <w:r>
        <w:t>ö</w:t>
      </w:r>
      <w:r w:rsidRPr="00C23BDE">
        <w:t>nnies</w:t>
      </w:r>
      <w:r>
        <w:t>’</w:t>
      </w:r>
      <w:r w:rsidR="00F844F8">
        <w:t>s</w:t>
      </w:r>
      <w:r w:rsidRPr="00C23BDE">
        <w:t xml:space="preserve"> and Maffesoli’s theories</w:t>
      </w:r>
    </w:p>
    <w:p w14:paraId="5692F5D6" w14:textId="35EFEF0F" w:rsidR="001F3821" w:rsidRPr="00C23BDE" w:rsidRDefault="001F3821" w:rsidP="001F3821">
      <w:pPr>
        <w:pStyle w:val="Bullet"/>
      </w:pPr>
      <w:r w:rsidRPr="00C23BDE">
        <w:t>were able to connect T</w:t>
      </w:r>
      <w:r>
        <w:t>ö</w:t>
      </w:r>
      <w:r w:rsidRPr="00C23BDE">
        <w:t>nnies</w:t>
      </w:r>
      <w:r>
        <w:t>’</w:t>
      </w:r>
      <w:r w:rsidR="00F844F8">
        <w:t>s</w:t>
      </w:r>
      <w:r w:rsidRPr="00C23BDE">
        <w:t xml:space="preserve"> and Maffesoli’s theories back to the concept of community</w:t>
      </w:r>
    </w:p>
    <w:p w14:paraId="5EEDF4E6" w14:textId="2BED85E1" w:rsidR="001F3821" w:rsidRPr="00C23BDE" w:rsidRDefault="001F3821" w:rsidP="001F3821">
      <w:pPr>
        <w:pStyle w:val="Bullet"/>
      </w:pPr>
      <w:r w:rsidRPr="00C23BDE">
        <w:t>provided clear examples for the different types of community and explained how they represented these communities</w:t>
      </w:r>
      <w:r>
        <w:t>.</w:t>
      </w:r>
    </w:p>
    <w:p w14:paraId="42721361" w14:textId="63A9FD70" w:rsidR="003225B2" w:rsidRPr="00747B03" w:rsidRDefault="003225B2" w:rsidP="003225B2">
      <w:pPr>
        <w:pStyle w:val="BodyText"/>
        <w:rPr>
          <w:bCs/>
        </w:rPr>
      </w:pPr>
      <w:r w:rsidRPr="00747B03">
        <w:rPr>
          <w:bCs/>
          <w:lang w:val="en-US"/>
        </w:rPr>
        <w:t xml:space="preserve">The following </w:t>
      </w:r>
      <w:r w:rsidR="006963B4">
        <w:rPr>
          <w:bCs/>
          <w:lang w:val="en-US"/>
        </w:rPr>
        <w:t>are</w:t>
      </w:r>
      <w:r w:rsidRPr="00747B03">
        <w:rPr>
          <w:bCs/>
          <w:lang w:val="en-US"/>
        </w:rPr>
        <w:t xml:space="preserve"> example</w:t>
      </w:r>
      <w:r w:rsidR="006963B4">
        <w:rPr>
          <w:bCs/>
          <w:lang w:val="en-US"/>
        </w:rPr>
        <w:t>s</w:t>
      </w:r>
      <w:r w:rsidRPr="00747B03">
        <w:rPr>
          <w:bCs/>
          <w:lang w:val="en-US"/>
        </w:rPr>
        <w:t xml:space="preserve"> of </w:t>
      </w:r>
      <w:r w:rsidR="00561CE3">
        <w:rPr>
          <w:bCs/>
          <w:lang w:val="en-US"/>
        </w:rPr>
        <w:t xml:space="preserve">two </w:t>
      </w:r>
      <w:r w:rsidRPr="00747B03">
        <w:rPr>
          <w:bCs/>
          <w:lang w:val="en-US"/>
        </w:rPr>
        <w:t>high-scoring response</w:t>
      </w:r>
      <w:r w:rsidR="006963B4">
        <w:rPr>
          <w:bCs/>
          <w:lang w:val="en-US"/>
        </w:rPr>
        <w:t>s</w:t>
      </w:r>
      <w:r w:rsidRPr="00747B03">
        <w:rPr>
          <w:bCs/>
          <w:lang w:val="en-US"/>
        </w:rPr>
        <w:t xml:space="preserve"> that provided </w:t>
      </w:r>
      <w:r w:rsidR="006963B4">
        <w:rPr>
          <w:bCs/>
          <w:lang w:val="en-US"/>
        </w:rPr>
        <w:t>strong examinations of the causes of the change to the concept of community</w:t>
      </w:r>
      <w:r w:rsidR="001F3821">
        <w:rPr>
          <w:bCs/>
          <w:lang w:val="en-US"/>
        </w:rPr>
        <w:t>.</w:t>
      </w:r>
    </w:p>
    <w:p w14:paraId="0A8F1C94" w14:textId="2A08300C" w:rsidR="003225B2" w:rsidRPr="00C23BDE" w:rsidRDefault="006963B4" w:rsidP="00C23BDE">
      <w:pPr>
        <w:pStyle w:val="studentresponse"/>
      </w:pPr>
      <w:r w:rsidRPr="00C23BDE">
        <w:t xml:space="preserve">However, as the industrial revolution came into play, society shifted from agrarian to manufacturing, in which the countryside was not the only one that produced goods and food but that city centres became places of mass production. As such, many moved from their close-knit relations to cities, which is known as the process of urbanisation. In this move, community went from close-knit like the Adass community holding homogenous views about aspect of the like to gesellschaft; society such as the </w:t>
      </w:r>
      <w:r w:rsidR="00F0026E" w:rsidRPr="00C23BDE">
        <w:t>Endeavor</w:t>
      </w:r>
      <w:r w:rsidRPr="00C23BDE">
        <w:t xml:space="preserve"> </w:t>
      </w:r>
      <w:r w:rsidR="00886B9F">
        <w:t>H</w:t>
      </w:r>
      <w:r w:rsidR="00886B9F" w:rsidRPr="00C23BDE">
        <w:t xml:space="preserve">ills </w:t>
      </w:r>
      <w:r w:rsidRPr="00C23BDE">
        <w:t xml:space="preserve">community that displayed a lack of </w:t>
      </w:r>
      <w:proofErr w:type="gramStart"/>
      <w:r w:rsidRPr="00C23BDE">
        <w:t>close k</w:t>
      </w:r>
      <w:r w:rsidR="00F0026E" w:rsidRPr="00C23BDE">
        <w:t>nit</w:t>
      </w:r>
      <w:proofErr w:type="gramEnd"/>
      <w:r w:rsidR="00F0026E" w:rsidRPr="00C23BDE">
        <w:t xml:space="preserve"> relations, instead forming contractual relations based on mutual benefit for the two parties.</w:t>
      </w:r>
    </w:p>
    <w:p w14:paraId="624F47B6" w14:textId="700A2512" w:rsidR="00FA4F62" w:rsidRPr="00C23BDE" w:rsidRDefault="00F0026E" w:rsidP="00C23BDE">
      <w:pPr>
        <w:pStyle w:val="studentresponse"/>
        <w:rPr>
          <w:highlight w:val="lightGray"/>
        </w:rPr>
      </w:pPr>
      <w:r w:rsidRPr="00C23BDE">
        <w:t>However, the advent and proliferation of information and communication technology (ICT), which refers to the technology used to store and distribute information, such as phones, computers, and televisions, have completely altered the definition of community. This is because they defy geographical boundaries, subsequently enabling individuals to foster relationships on a communal basis across the globe. In the aftermath of the invention of these technologies, sociologist Michel Maffes</w:t>
      </w:r>
      <w:r w:rsidR="008F2260">
        <w:t>o</w:t>
      </w:r>
      <w:r w:rsidRPr="00C23BDE">
        <w:t xml:space="preserve">li devised the concept of neo-tribes, or dynamic and </w:t>
      </w:r>
      <w:proofErr w:type="gramStart"/>
      <w:r w:rsidRPr="00C23BDE">
        <w:t>loosely-formed</w:t>
      </w:r>
      <w:proofErr w:type="gramEnd"/>
      <w:r w:rsidRPr="00C23BDE">
        <w:t xml:space="preserve"> communities where members are brought together by a shared interest in seeking a sense of belonging.</w:t>
      </w:r>
    </w:p>
    <w:p w14:paraId="7B7B10EA" w14:textId="77777777" w:rsidR="00B07410" w:rsidRDefault="00B07410">
      <w:pPr>
        <w:spacing w:line="276" w:lineRule="auto"/>
        <w:rPr>
          <w:rFonts w:ascii="Arial" w:hAnsi="Arial" w:cs="Arial"/>
          <w:color w:val="0F7EB4"/>
          <w:sz w:val="40"/>
          <w:szCs w:val="28"/>
          <w:lang w:val="en-AU"/>
        </w:rPr>
      </w:pPr>
      <w:r>
        <w:br w:type="page"/>
      </w:r>
    </w:p>
    <w:p w14:paraId="2CAD172F" w14:textId="497A7F86" w:rsidR="00860775" w:rsidRPr="00C23BDE" w:rsidRDefault="00860775" w:rsidP="00C23BDE">
      <w:pPr>
        <w:pStyle w:val="Head2"/>
      </w:pPr>
      <w:r>
        <w:lastRenderedPageBreak/>
        <w:t>Question 10a</w:t>
      </w:r>
      <w:r w:rsidR="00C23BDE">
        <w:t>.</w:t>
      </w:r>
    </w:p>
    <w:tbl>
      <w:tblPr>
        <w:tblStyle w:val="VCAATableClosed"/>
        <w:tblW w:w="0" w:type="auto"/>
        <w:tblInd w:w="0" w:type="dxa"/>
        <w:tblLook w:val="01E0" w:firstRow="1" w:lastRow="1" w:firstColumn="1" w:lastColumn="1" w:noHBand="0" w:noVBand="0"/>
      </w:tblPr>
      <w:tblGrid>
        <w:gridCol w:w="795"/>
        <w:gridCol w:w="576"/>
        <w:gridCol w:w="576"/>
        <w:gridCol w:w="576"/>
        <w:gridCol w:w="576"/>
        <w:gridCol w:w="1008"/>
      </w:tblGrid>
      <w:tr w:rsidR="00860775" w:rsidRPr="00EA43FE" w14:paraId="417E54AC" w14:textId="77777777" w:rsidTr="00860775">
        <w:trPr>
          <w:cnfStyle w:val="100000000000" w:firstRow="1" w:lastRow="0" w:firstColumn="0" w:lastColumn="0" w:oddVBand="0" w:evenVBand="0" w:oddHBand="0" w:evenHBand="0" w:firstRowFirstColumn="0" w:firstRowLastColumn="0" w:lastRowFirstColumn="0" w:lastRowLastColumn="0"/>
          <w:trHeight w:hRule="exact" w:val="397"/>
          <w:tblHeader/>
        </w:trPr>
        <w:tc>
          <w:tcPr>
            <w:tcW w:w="795" w:type="dxa"/>
            <w:tcBorders>
              <w:top w:val="single" w:sz="4" w:space="0" w:color="000000" w:themeColor="text1"/>
              <w:left w:val="single" w:sz="4" w:space="0" w:color="000000" w:themeColor="text1"/>
              <w:bottom w:val="single" w:sz="4" w:space="0" w:color="000000" w:themeColor="text1"/>
            </w:tcBorders>
            <w:hideMark/>
          </w:tcPr>
          <w:p w14:paraId="075F2C5C" w14:textId="77777777" w:rsidR="00860775" w:rsidRPr="00C23BDE" w:rsidRDefault="00860775"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6935876E" w14:textId="77777777" w:rsidR="00860775" w:rsidRPr="00C23BDE" w:rsidRDefault="00860775"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45998823" w14:textId="77777777" w:rsidR="00860775" w:rsidRPr="00C23BDE" w:rsidRDefault="00860775"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2E088640" w14:textId="77777777" w:rsidR="00860775" w:rsidRPr="00C23BDE" w:rsidRDefault="00860775"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18130F6F" w14:textId="77777777" w:rsidR="00860775" w:rsidRPr="00C23BDE" w:rsidRDefault="00860775" w:rsidP="00C23BDE">
            <w:pPr>
              <w:pStyle w:val="Tablecondensed"/>
            </w:pPr>
            <w:r w:rsidRPr="00C23BDE">
              <w:t>3</w:t>
            </w:r>
          </w:p>
        </w:tc>
        <w:tc>
          <w:tcPr>
            <w:tcW w:w="1008" w:type="dxa"/>
            <w:tcBorders>
              <w:top w:val="single" w:sz="4" w:space="0" w:color="000000" w:themeColor="text1"/>
              <w:bottom w:val="single" w:sz="4" w:space="0" w:color="000000" w:themeColor="text1"/>
              <w:right w:val="single" w:sz="4" w:space="0" w:color="000000" w:themeColor="text1"/>
            </w:tcBorders>
            <w:hideMark/>
          </w:tcPr>
          <w:p w14:paraId="78787DC8" w14:textId="77777777" w:rsidR="00860775" w:rsidRPr="00C23BDE" w:rsidRDefault="00860775" w:rsidP="00C23BDE">
            <w:pPr>
              <w:pStyle w:val="Tablecondensed"/>
            </w:pPr>
            <w:r w:rsidRPr="00C23BDE">
              <w:t>Average</w:t>
            </w:r>
          </w:p>
        </w:tc>
      </w:tr>
      <w:tr w:rsidR="00860775" w:rsidRPr="00EA43FE" w14:paraId="75CB6007" w14:textId="77777777" w:rsidTr="00860775">
        <w:trPr>
          <w:trHeight w:hRule="exact" w:val="397"/>
        </w:trPr>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31D6F" w14:textId="77777777" w:rsidR="00860775" w:rsidRPr="00C23BDE" w:rsidRDefault="00860775"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CE1BA" w14:textId="69A2FDC2" w:rsidR="00860775" w:rsidRPr="00C23BDE" w:rsidRDefault="00860775" w:rsidP="00C23BDE">
            <w:pPr>
              <w:pStyle w:val="Tablecondensed"/>
            </w:pPr>
            <w:r w:rsidRPr="00C23BDE">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C4B19" w14:textId="1088041F" w:rsidR="00860775" w:rsidRPr="00C23BDE" w:rsidRDefault="00860775" w:rsidP="00C23BDE">
            <w:pPr>
              <w:pStyle w:val="Tablecondensed"/>
            </w:pPr>
            <w:r w:rsidRPr="00C23BDE">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9F691" w14:textId="0E105999" w:rsidR="00860775" w:rsidRPr="00C23BDE" w:rsidRDefault="00860775" w:rsidP="00C23BDE">
            <w:pPr>
              <w:pStyle w:val="Tablecondensed"/>
            </w:pPr>
            <w:r w:rsidRPr="00C23BDE">
              <w:t>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4F582" w14:textId="5DE59973" w:rsidR="00860775" w:rsidRPr="00C23BDE" w:rsidRDefault="00860775" w:rsidP="00C23BDE">
            <w:pPr>
              <w:pStyle w:val="Tablecondensed"/>
            </w:pPr>
            <w:r w:rsidRPr="00C23BDE">
              <w:t>22</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EF64A" w14:textId="58DD4ED3" w:rsidR="00860775" w:rsidRPr="00C23BDE" w:rsidRDefault="00860775" w:rsidP="00C23BDE">
            <w:pPr>
              <w:pStyle w:val="Tablecondensed"/>
            </w:pPr>
            <w:r w:rsidRPr="00C23BDE">
              <w:t>1.</w:t>
            </w:r>
            <w:r w:rsidR="001F3821">
              <w:t>4</w:t>
            </w:r>
          </w:p>
        </w:tc>
      </w:tr>
    </w:tbl>
    <w:p w14:paraId="45E29CB5" w14:textId="7821F19C" w:rsidR="000254EC" w:rsidRPr="00C23BDE" w:rsidRDefault="00860775" w:rsidP="00C23BDE">
      <w:pPr>
        <w:pStyle w:val="BodyText"/>
      </w:pPr>
      <w:r w:rsidRPr="00C23BDE">
        <w:t xml:space="preserve">This question required students to </w:t>
      </w:r>
      <w:r w:rsidR="000254EC" w:rsidRPr="00C23BDE">
        <w:t>describe</w:t>
      </w:r>
      <w:r w:rsidRPr="00C23BDE">
        <w:t xml:space="preserve"> the movement in the representation and provide evidence to support </w:t>
      </w:r>
      <w:r w:rsidR="000254EC" w:rsidRPr="00C23BDE">
        <w:t>their description</w:t>
      </w:r>
      <w:r w:rsidRPr="00C23BDE">
        <w:t>. Many students were able to correctly classify the movement as reformative</w:t>
      </w:r>
      <w:r w:rsidR="001F3821">
        <w:t>;</w:t>
      </w:r>
      <w:r w:rsidRPr="00C23BDE">
        <w:t xml:space="preserve"> however</w:t>
      </w:r>
      <w:r w:rsidR="001F3821">
        <w:t>,</w:t>
      </w:r>
      <w:r w:rsidRPr="00C23BDE">
        <w:t xml:space="preserve"> th</w:t>
      </w:r>
      <w:r w:rsidR="000254EC" w:rsidRPr="00C23BDE">
        <w:t>eir descriptions were not always accurate. Some students mistakenly discussed the number of people involved in the movement rather than discussing who the movement was targeting. Students are reminded to use Aberle’s two questions when classifying movements</w:t>
      </w:r>
      <w:r w:rsidR="0095578D">
        <w:t>.</w:t>
      </w:r>
    </w:p>
    <w:p w14:paraId="01226490" w14:textId="0752517F" w:rsidR="000254EC" w:rsidRPr="00C23BDE" w:rsidRDefault="000254EC" w:rsidP="00C23BDE">
      <w:pPr>
        <w:pStyle w:val="Bullet"/>
      </w:pPr>
      <w:r w:rsidRPr="00C23BDE">
        <w:t>Who is the movement targeting (individuals or groups/society)?</w:t>
      </w:r>
    </w:p>
    <w:p w14:paraId="20A7F787" w14:textId="03658D5F" w:rsidR="000254EC" w:rsidRPr="00C23BDE" w:rsidRDefault="000254EC" w:rsidP="00C23BDE">
      <w:pPr>
        <w:pStyle w:val="Bullet"/>
      </w:pPr>
      <w:r w:rsidRPr="00C23BDE">
        <w:t>How big is the change being advocated for (limited or radical)?</w:t>
      </w:r>
    </w:p>
    <w:p w14:paraId="01008BED" w14:textId="77777777" w:rsidR="00860775" w:rsidRDefault="00860775" w:rsidP="00860775">
      <w:pPr>
        <w:pStyle w:val="BodyText"/>
        <w:rPr>
          <w:bCs/>
        </w:rPr>
      </w:pPr>
      <w:r>
        <w:rPr>
          <w:bCs/>
        </w:rPr>
        <w:t>To be awarded full marks students needed to:</w:t>
      </w:r>
    </w:p>
    <w:p w14:paraId="0D04C2DD" w14:textId="6D501660" w:rsidR="00860775" w:rsidRPr="00C23BDE" w:rsidRDefault="001F3821" w:rsidP="00C23BDE">
      <w:pPr>
        <w:pStyle w:val="Bullet"/>
      </w:pPr>
      <w:r>
        <w:t>c</w:t>
      </w:r>
      <w:r w:rsidR="000254EC" w:rsidRPr="00C23BDE">
        <w:t>orrectly describe the movement as reformative (seeking limited change, targeting a group)</w:t>
      </w:r>
    </w:p>
    <w:p w14:paraId="0AB461DF" w14:textId="347756BD" w:rsidR="00860775" w:rsidRPr="00C23BDE" w:rsidRDefault="001F3821" w:rsidP="00C23BDE">
      <w:pPr>
        <w:pStyle w:val="Bullet"/>
      </w:pPr>
      <w:r>
        <w:t>u</w:t>
      </w:r>
      <w:r w:rsidR="000254EC" w:rsidRPr="00C23BDE">
        <w:t>se evidence from the representation to support their description</w:t>
      </w:r>
      <w:r>
        <w:t>.</w:t>
      </w:r>
      <w:r w:rsidR="000254EC" w:rsidRPr="00C23BDE">
        <w:t xml:space="preserve"> </w:t>
      </w:r>
    </w:p>
    <w:p w14:paraId="43AD41E0" w14:textId="4B423409" w:rsidR="00860775" w:rsidRDefault="00860775" w:rsidP="00C23BDE">
      <w:pPr>
        <w:pStyle w:val="BodyText"/>
        <w:rPr>
          <w:bCs/>
          <w:lang w:val="en-US"/>
        </w:rPr>
      </w:pPr>
      <w:r w:rsidRPr="00747B03">
        <w:rPr>
          <w:bCs/>
          <w:lang w:val="en-US"/>
        </w:rPr>
        <w:t xml:space="preserve">The following is an example of </w:t>
      </w:r>
      <w:r w:rsidR="001F3821">
        <w:rPr>
          <w:bCs/>
          <w:lang w:val="en-US"/>
        </w:rPr>
        <w:t xml:space="preserve">a </w:t>
      </w:r>
      <w:r w:rsidRPr="00747B03">
        <w:rPr>
          <w:bCs/>
          <w:lang w:val="en-US"/>
        </w:rPr>
        <w:t xml:space="preserve">high-scoring response that has </w:t>
      </w:r>
      <w:r w:rsidR="000254EC">
        <w:rPr>
          <w:bCs/>
          <w:lang w:val="en-US"/>
        </w:rPr>
        <w:t>used evidence effectively to support their description</w:t>
      </w:r>
      <w:r w:rsidRPr="00747B03">
        <w:rPr>
          <w:bCs/>
          <w:lang w:val="en-US"/>
        </w:rPr>
        <w:t>:</w:t>
      </w:r>
    </w:p>
    <w:p w14:paraId="677A72F0" w14:textId="7BFE5F2C" w:rsidR="00860775" w:rsidRPr="00C23BDE" w:rsidRDefault="000254EC" w:rsidP="00C23BDE">
      <w:pPr>
        <w:pStyle w:val="studentresponse"/>
      </w:pPr>
      <w:r w:rsidRPr="00C23BDE">
        <w:t>In Rep 4, the type of social movement (Aberle, 1966) that this is a reformat</w:t>
      </w:r>
      <w:r w:rsidR="001F3821">
        <w:t>i</w:t>
      </w:r>
      <w:r w:rsidRPr="00C23BDE">
        <w:t xml:space="preserve">ve movement as it is seeking limited change, being that the “Fitzroy pool” (Rep 4) is not </w:t>
      </w:r>
      <w:proofErr w:type="gramStart"/>
      <w:r w:rsidRPr="00C23BDE">
        <w:t>closed down</w:t>
      </w:r>
      <w:proofErr w:type="gramEnd"/>
      <w:r w:rsidRPr="00C23BDE">
        <w:t xml:space="preserve"> as it affects the society as it involves the “city of Yarra” (Rep 4).</w:t>
      </w:r>
    </w:p>
    <w:p w14:paraId="19674A81" w14:textId="28CA3E6D" w:rsidR="000254EC" w:rsidRPr="00C23BDE" w:rsidRDefault="000254EC" w:rsidP="00C23BDE">
      <w:pPr>
        <w:pStyle w:val="Head2"/>
      </w:pPr>
      <w:r>
        <w:t>Question 10</w:t>
      </w:r>
      <w:r w:rsidR="009C5F65">
        <w:t>b</w:t>
      </w:r>
      <w:r w:rsidR="00C23BDE">
        <w:t>.</w:t>
      </w:r>
    </w:p>
    <w:tbl>
      <w:tblPr>
        <w:tblStyle w:val="VCAATableClosed"/>
        <w:tblW w:w="0" w:type="auto"/>
        <w:tblInd w:w="0" w:type="dxa"/>
        <w:tblLook w:val="01E0" w:firstRow="1" w:lastRow="1" w:firstColumn="1" w:lastColumn="1" w:noHBand="0" w:noVBand="0"/>
      </w:tblPr>
      <w:tblGrid>
        <w:gridCol w:w="795"/>
        <w:gridCol w:w="576"/>
        <w:gridCol w:w="576"/>
        <w:gridCol w:w="576"/>
        <w:gridCol w:w="576"/>
        <w:gridCol w:w="582"/>
        <w:gridCol w:w="1434"/>
      </w:tblGrid>
      <w:tr w:rsidR="000254EC" w:rsidRPr="00EA43FE" w14:paraId="019CAE85" w14:textId="77777777" w:rsidTr="000254EC">
        <w:trPr>
          <w:cnfStyle w:val="100000000000" w:firstRow="1" w:lastRow="0" w:firstColumn="0" w:lastColumn="0" w:oddVBand="0" w:evenVBand="0" w:oddHBand="0" w:evenHBand="0" w:firstRowFirstColumn="0" w:firstRowLastColumn="0" w:lastRowFirstColumn="0" w:lastRowLastColumn="0"/>
          <w:trHeight w:hRule="exact" w:val="397"/>
          <w:tblHeader/>
        </w:trPr>
        <w:tc>
          <w:tcPr>
            <w:tcW w:w="795" w:type="dxa"/>
            <w:tcBorders>
              <w:top w:val="single" w:sz="4" w:space="0" w:color="000000" w:themeColor="text1"/>
              <w:left w:val="single" w:sz="4" w:space="0" w:color="000000" w:themeColor="text1"/>
              <w:bottom w:val="single" w:sz="4" w:space="0" w:color="000000" w:themeColor="text1"/>
            </w:tcBorders>
            <w:hideMark/>
          </w:tcPr>
          <w:p w14:paraId="2AA1F3EE" w14:textId="77777777" w:rsidR="000254EC" w:rsidRPr="00C23BDE" w:rsidRDefault="000254EC"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2217CCBA" w14:textId="77777777" w:rsidR="000254EC" w:rsidRPr="00C23BDE" w:rsidRDefault="000254EC"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0615B831" w14:textId="77777777" w:rsidR="000254EC" w:rsidRPr="00C23BDE" w:rsidRDefault="000254EC"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0A47E142" w14:textId="77777777" w:rsidR="000254EC" w:rsidRPr="00C23BDE" w:rsidRDefault="000254EC"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02994FF6" w14:textId="77777777" w:rsidR="000254EC" w:rsidRPr="00C23BDE" w:rsidRDefault="000254EC" w:rsidP="00C23BDE">
            <w:pPr>
              <w:pStyle w:val="Tablecondensed"/>
            </w:pPr>
            <w:r w:rsidRPr="00C23BDE">
              <w:t>3</w:t>
            </w:r>
          </w:p>
        </w:tc>
        <w:tc>
          <w:tcPr>
            <w:tcW w:w="582" w:type="dxa"/>
          </w:tcPr>
          <w:p w14:paraId="474CDC0F" w14:textId="0C42CE0B" w:rsidR="000254EC" w:rsidRPr="00C23BDE" w:rsidRDefault="000254EC" w:rsidP="00C23BDE">
            <w:pPr>
              <w:pStyle w:val="Tablecondensed"/>
            </w:pPr>
            <w:r w:rsidRPr="00C23BDE">
              <w:t>4</w:t>
            </w:r>
          </w:p>
        </w:tc>
        <w:tc>
          <w:tcPr>
            <w:tcW w:w="1434" w:type="dxa"/>
            <w:tcBorders>
              <w:top w:val="single" w:sz="4" w:space="0" w:color="000000" w:themeColor="text1"/>
              <w:bottom w:val="single" w:sz="4" w:space="0" w:color="000000" w:themeColor="text1"/>
              <w:right w:val="single" w:sz="4" w:space="0" w:color="000000" w:themeColor="text1"/>
            </w:tcBorders>
            <w:hideMark/>
          </w:tcPr>
          <w:p w14:paraId="4E9D3F92" w14:textId="442129C9" w:rsidR="000254EC" w:rsidRPr="00C23BDE" w:rsidRDefault="000254EC" w:rsidP="00C23BDE">
            <w:pPr>
              <w:pStyle w:val="Tablecondensed"/>
            </w:pPr>
            <w:r w:rsidRPr="00C23BDE">
              <w:t>Average</w:t>
            </w:r>
          </w:p>
        </w:tc>
      </w:tr>
      <w:tr w:rsidR="000254EC" w:rsidRPr="00EA43FE" w14:paraId="79FB0EFD" w14:textId="77777777" w:rsidTr="000254EC">
        <w:trPr>
          <w:trHeight w:hRule="exact" w:val="397"/>
        </w:trPr>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FCCB3" w14:textId="77777777" w:rsidR="000254EC" w:rsidRPr="00C23BDE" w:rsidRDefault="000254EC"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CEB90" w14:textId="21BD3315" w:rsidR="000254EC" w:rsidRPr="00C23BDE" w:rsidRDefault="009D6853" w:rsidP="00C23BDE">
            <w:pPr>
              <w:pStyle w:val="Tablecondensed"/>
            </w:pPr>
            <w:r w:rsidRPr="00C23BDE">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5ADFC" w14:textId="50614096" w:rsidR="000254EC" w:rsidRPr="00C23BDE" w:rsidRDefault="009D6853" w:rsidP="00C23BDE">
            <w:pPr>
              <w:pStyle w:val="Tablecondensed"/>
            </w:pPr>
            <w:r w:rsidRPr="00C23BDE">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058A3" w14:textId="615AEC03" w:rsidR="000254EC" w:rsidRPr="00C23BDE" w:rsidRDefault="000254EC" w:rsidP="00C23BDE">
            <w:pPr>
              <w:pStyle w:val="Tablecondensed"/>
            </w:pPr>
            <w:r w:rsidRPr="00C23BDE">
              <w:t>2</w:t>
            </w:r>
            <w:r w:rsidR="009D6853" w:rsidRPr="00C23BDE">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558FB" w14:textId="0CC9E5B0" w:rsidR="000254EC" w:rsidRPr="00C23BDE" w:rsidRDefault="000254EC" w:rsidP="00C23BDE">
            <w:pPr>
              <w:pStyle w:val="Tablecondensed"/>
            </w:pPr>
            <w:r w:rsidRPr="00C23BDE">
              <w:t>2</w:t>
            </w:r>
            <w:r w:rsidR="009D6853" w:rsidRPr="00C23BDE">
              <w:t>8</w:t>
            </w:r>
          </w:p>
        </w:tc>
        <w:tc>
          <w:tcPr>
            <w:tcW w:w="582" w:type="dxa"/>
          </w:tcPr>
          <w:p w14:paraId="6DC4C273" w14:textId="045D7EDF" w:rsidR="000254EC" w:rsidRPr="00C23BDE" w:rsidRDefault="009D6853" w:rsidP="00C23BDE">
            <w:pPr>
              <w:pStyle w:val="Tablecondensed"/>
            </w:pPr>
            <w:r w:rsidRPr="00C23BDE">
              <w:t>24</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36C9F" w14:textId="2F1E8443" w:rsidR="000254EC" w:rsidRPr="00C23BDE" w:rsidRDefault="009D6853" w:rsidP="00C23BDE">
            <w:pPr>
              <w:pStyle w:val="Tablecondensed"/>
            </w:pPr>
            <w:r w:rsidRPr="00C23BDE">
              <w:t>2.4</w:t>
            </w:r>
          </w:p>
        </w:tc>
      </w:tr>
    </w:tbl>
    <w:p w14:paraId="0616D034" w14:textId="5570A696" w:rsidR="009D6853" w:rsidRPr="00C23BDE" w:rsidRDefault="000254EC" w:rsidP="00C23BDE">
      <w:pPr>
        <w:pStyle w:val="BodyText"/>
      </w:pPr>
      <w:r w:rsidRPr="00C23BDE">
        <w:t xml:space="preserve">This question required students to </w:t>
      </w:r>
      <w:r w:rsidR="009D6853" w:rsidRPr="00C23BDE">
        <w:t>identify when the movement in the representation was in emergence, coalescence, bureaucratisation and decline, using evidence from the representation. Higher</w:t>
      </w:r>
      <w:r w:rsidR="0095578D">
        <w:t>-</w:t>
      </w:r>
      <w:r w:rsidR="009D6853" w:rsidRPr="00C23BDE">
        <w:t xml:space="preserve">scoring </w:t>
      </w:r>
      <w:r w:rsidR="0095578D">
        <w:t>response</w:t>
      </w:r>
      <w:r w:rsidR="0095578D" w:rsidRPr="00C23BDE">
        <w:t xml:space="preserve">s </w:t>
      </w:r>
      <w:r w:rsidR="009D6853" w:rsidRPr="00C23BDE">
        <w:t>clearly stated the stage</w:t>
      </w:r>
      <w:r w:rsidR="00CB4A60">
        <w:t>s</w:t>
      </w:r>
      <w:r w:rsidR="009D6853" w:rsidRPr="00C23BDE">
        <w:t xml:space="preserve"> of the movement followed by evidence from the representation. </w:t>
      </w:r>
    </w:p>
    <w:p w14:paraId="1EC1B9D5" w14:textId="4718A157" w:rsidR="000254EC" w:rsidRPr="00C23BDE" w:rsidRDefault="000254EC" w:rsidP="00C23BDE">
      <w:pPr>
        <w:pStyle w:val="BodyText"/>
      </w:pPr>
      <w:r w:rsidRPr="00C23BDE">
        <w:t>To be awarded full marks students needed to</w:t>
      </w:r>
      <w:r w:rsidR="00CB4A60">
        <w:t xml:space="preserve"> correctly identify </w:t>
      </w:r>
      <w:r w:rsidR="00CB4A60" w:rsidRPr="00C23BDE">
        <w:t xml:space="preserve">evidence </w:t>
      </w:r>
      <w:r w:rsidR="0095578D">
        <w:t xml:space="preserve">that </w:t>
      </w:r>
      <w:r w:rsidR="00CB4A60" w:rsidRPr="00C23BDE">
        <w:t>the movement</w:t>
      </w:r>
      <w:r w:rsidRPr="00C23BDE">
        <w:t>:</w:t>
      </w:r>
    </w:p>
    <w:p w14:paraId="0902E28B" w14:textId="3AF8EEE6" w:rsidR="000254EC" w:rsidRPr="00C23BDE" w:rsidRDefault="009D6853" w:rsidP="00C23BDE">
      <w:pPr>
        <w:pStyle w:val="Bullet"/>
      </w:pPr>
      <w:r w:rsidRPr="00C23BDE">
        <w:t>was in the emergence stage</w:t>
      </w:r>
    </w:p>
    <w:p w14:paraId="5E51AB7F" w14:textId="2A444ACD" w:rsidR="009D6853" w:rsidRPr="00C23BDE" w:rsidRDefault="009D6853" w:rsidP="00C23BDE">
      <w:pPr>
        <w:pStyle w:val="Bullet"/>
      </w:pPr>
      <w:r w:rsidRPr="00C23BDE">
        <w:t>was in the coalescence stage</w:t>
      </w:r>
    </w:p>
    <w:p w14:paraId="1ABB920D" w14:textId="18F670DE" w:rsidR="009D6853" w:rsidRPr="00C23BDE" w:rsidRDefault="009D6853" w:rsidP="00C23BDE">
      <w:pPr>
        <w:pStyle w:val="Bullet"/>
      </w:pPr>
      <w:r w:rsidRPr="00C23BDE">
        <w:t>was in the bureaucratisation stage</w:t>
      </w:r>
    </w:p>
    <w:p w14:paraId="28DEBA77" w14:textId="4154B8AF" w:rsidR="009D6853" w:rsidRPr="00C23BDE" w:rsidRDefault="009D6853" w:rsidP="00C23BDE">
      <w:pPr>
        <w:pStyle w:val="Bullet"/>
      </w:pPr>
      <w:r w:rsidRPr="00C23BDE">
        <w:t>was in the decline stage</w:t>
      </w:r>
      <w:r w:rsidR="00CB4A60">
        <w:t>.</w:t>
      </w:r>
    </w:p>
    <w:p w14:paraId="20ACDE9F" w14:textId="5DB39A3D" w:rsidR="000254EC" w:rsidRPr="00C23BDE" w:rsidRDefault="000254EC" w:rsidP="00C23BDE">
      <w:pPr>
        <w:pStyle w:val="BodyText"/>
      </w:pPr>
      <w:r w:rsidRPr="00C23BDE">
        <w:t>The following is an example of</w:t>
      </w:r>
      <w:r w:rsidR="00CB4A60">
        <w:t xml:space="preserve"> a</w:t>
      </w:r>
      <w:r w:rsidRPr="00C23BDE">
        <w:t xml:space="preserve"> high-scoring response that has used evidence effectively to support the description:</w:t>
      </w:r>
    </w:p>
    <w:p w14:paraId="22E545D1" w14:textId="7ECFD235" w:rsidR="000254EC" w:rsidRPr="00C23BDE" w:rsidRDefault="009D6853" w:rsidP="00C23BDE">
      <w:pPr>
        <w:pStyle w:val="studentresponse"/>
      </w:pPr>
      <w:r w:rsidRPr="00C23BDE">
        <w:t xml:space="preserve">Emergence…occurred when “local residents […] joined together to fight the closure” after finding out </w:t>
      </w:r>
      <w:r w:rsidR="00E2362E" w:rsidRPr="00C23BDE">
        <w:t>that “</w:t>
      </w:r>
      <w:r w:rsidRPr="00C23BDE">
        <w:t>it</w:t>
      </w:r>
      <w:r w:rsidR="00E2362E" w:rsidRPr="00C23BDE">
        <w:t xml:space="preserve"> was decided to close the pool and sell the site”</w:t>
      </w:r>
      <w:r w:rsidR="0095578D">
        <w:t>.</w:t>
      </w:r>
    </w:p>
    <w:p w14:paraId="306F84D7" w14:textId="3BDAE06A" w:rsidR="00E2362E" w:rsidRPr="00C23BDE" w:rsidRDefault="00E2362E" w:rsidP="00C23BDE">
      <w:pPr>
        <w:pStyle w:val="studentresponse"/>
      </w:pPr>
      <w:r w:rsidRPr="00C23BDE">
        <w:t>Coalescence…occurred as “two thousand locals turned up to hear speakers”</w:t>
      </w:r>
      <w:r w:rsidR="0095578D">
        <w:t>.</w:t>
      </w:r>
    </w:p>
    <w:p w14:paraId="3988C22D" w14:textId="68961FFB" w:rsidR="00E2362E" w:rsidRPr="00C23BDE" w:rsidRDefault="00E2362E" w:rsidP="00C23BDE">
      <w:pPr>
        <w:pStyle w:val="studentresponse"/>
      </w:pPr>
      <w:r w:rsidRPr="00C23BDE">
        <w:t>Burea</w:t>
      </w:r>
      <w:r w:rsidR="003B7A02">
        <w:t>u</w:t>
      </w:r>
      <w:r w:rsidRPr="00C23BDE">
        <w:t>cratisation…can be seen as “subcommittees worked on media attention, finding legal challenges and dismantling the council’s economic rationalism argument”.</w:t>
      </w:r>
    </w:p>
    <w:p w14:paraId="44C09F53" w14:textId="1E4BD3E7" w:rsidR="00860775" w:rsidRPr="00C23BDE" w:rsidRDefault="00E2362E" w:rsidP="00C23BDE">
      <w:pPr>
        <w:pStyle w:val="studentresponse"/>
      </w:pPr>
      <w:r w:rsidRPr="00C23BDE">
        <w:t>Decline…can be seen when the “City of Yarra committed to reopening the pool”, and thus achieving its goals.</w:t>
      </w:r>
    </w:p>
    <w:p w14:paraId="102B288E" w14:textId="64E0F12B" w:rsidR="00E2362E" w:rsidRPr="00C23BDE" w:rsidRDefault="00E2362E" w:rsidP="00C23BDE">
      <w:pPr>
        <w:pStyle w:val="Head2"/>
      </w:pPr>
      <w:r w:rsidRPr="00C23BDE">
        <w:lastRenderedPageBreak/>
        <w:t>Question 10c</w:t>
      </w:r>
      <w:r w:rsidR="00C23BDE" w:rsidRPr="00C23BDE">
        <w:t>.</w:t>
      </w:r>
    </w:p>
    <w:tbl>
      <w:tblPr>
        <w:tblStyle w:val="VCAATableClosed"/>
        <w:tblW w:w="0" w:type="auto"/>
        <w:tblInd w:w="0" w:type="dxa"/>
        <w:tblLook w:val="01E0" w:firstRow="1" w:lastRow="1" w:firstColumn="1" w:lastColumn="1" w:noHBand="0" w:noVBand="0"/>
      </w:tblPr>
      <w:tblGrid>
        <w:gridCol w:w="795"/>
        <w:gridCol w:w="576"/>
        <w:gridCol w:w="576"/>
        <w:gridCol w:w="576"/>
        <w:gridCol w:w="576"/>
        <w:gridCol w:w="1008"/>
      </w:tblGrid>
      <w:tr w:rsidR="00E2362E" w:rsidRPr="00EA43FE" w14:paraId="1F9289D8" w14:textId="77777777" w:rsidTr="000D0D36">
        <w:trPr>
          <w:cnfStyle w:val="100000000000" w:firstRow="1" w:lastRow="0" w:firstColumn="0" w:lastColumn="0" w:oddVBand="0" w:evenVBand="0" w:oddHBand="0" w:evenHBand="0" w:firstRowFirstColumn="0" w:firstRowLastColumn="0" w:lastRowFirstColumn="0" w:lastRowLastColumn="0"/>
          <w:trHeight w:hRule="exact" w:val="397"/>
          <w:tblHeader/>
        </w:trPr>
        <w:tc>
          <w:tcPr>
            <w:tcW w:w="795" w:type="dxa"/>
            <w:tcBorders>
              <w:top w:val="single" w:sz="4" w:space="0" w:color="000000" w:themeColor="text1"/>
              <w:left w:val="single" w:sz="4" w:space="0" w:color="000000" w:themeColor="text1"/>
              <w:bottom w:val="single" w:sz="4" w:space="0" w:color="000000" w:themeColor="text1"/>
            </w:tcBorders>
            <w:hideMark/>
          </w:tcPr>
          <w:p w14:paraId="62BF7DBD" w14:textId="77777777" w:rsidR="00E2362E" w:rsidRPr="00C23BDE" w:rsidRDefault="00E2362E"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6747B7AA" w14:textId="77777777" w:rsidR="00E2362E" w:rsidRPr="00C23BDE" w:rsidRDefault="00E2362E"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455DE633" w14:textId="77777777" w:rsidR="00E2362E" w:rsidRPr="00C23BDE" w:rsidRDefault="00E2362E"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3E550C84" w14:textId="77777777" w:rsidR="00E2362E" w:rsidRPr="00C23BDE" w:rsidRDefault="00E2362E"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5FCE038F" w14:textId="77777777" w:rsidR="00E2362E" w:rsidRPr="00C23BDE" w:rsidRDefault="00E2362E" w:rsidP="00C23BDE">
            <w:pPr>
              <w:pStyle w:val="Tablecondensed"/>
            </w:pPr>
            <w:r w:rsidRPr="00C23BDE">
              <w:t>3</w:t>
            </w:r>
          </w:p>
        </w:tc>
        <w:tc>
          <w:tcPr>
            <w:tcW w:w="1008" w:type="dxa"/>
            <w:tcBorders>
              <w:top w:val="single" w:sz="4" w:space="0" w:color="000000" w:themeColor="text1"/>
              <w:bottom w:val="single" w:sz="4" w:space="0" w:color="000000" w:themeColor="text1"/>
              <w:right w:val="single" w:sz="4" w:space="0" w:color="000000" w:themeColor="text1"/>
            </w:tcBorders>
            <w:hideMark/>
          </w:tcPr>
          <w:p w14:paraId="7D6B7C75" w14:textId="77777777" w:rsidR="00E2362E" w:rsidRPr="00C23BDE" w:rsidRDefault="00E2362E" w:rsidP="00C23BDE">
            <w:pPr>
              <w:pStyle w:val="Tablecondensed"/>
            </w:pPr>
            <w:r w:rsidRPr="00C23BDE">
              <w:t>Average</w:t>
            </w:r>
          </w:p>
        </w:tc>
      </w:tr>
      <w:tr w:rsidR="00E2362E" w:rsidRPr="00EA43FE" w14:paraId="76A2C9B6" w14:textId="77777777" w:rsidTr="000D0D36">
        <w:trPr>
          <w:trHeight w:hRule="exact" w:val="397"/>
        </w:trPr>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EE854" w14:textId="77777777" w:rsidR="00E2362E" w:rsidRPr="00C23BDE" w:rsidRDefault="00E2362E"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3B595" w14:textId="368C8D25" w:rsidR="00E2362E" w:rsidRPr="00C23BDE" w:rsidRDefault="00B00ADF" w:rsidP="00C23BDE">
            <w:pPr>
              <w:pStyle w:val="Tablecondensed"/>
            </w:pPr>
            <w:r w:rsidRPr="00C23BDE">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B9F185" w14:textId="74274522" w:rsidR="00E2362E" w:rsidRPr="00C23BDE" w:rsidRDefault="00E2362E" w:rsidP="00C23BDE">
            <w:pPr>
              <w:pStyle w:val="Tablecondensed"/>
            </w:pPr>
            <w:r w:rsidRPr="00C23BDE">
              <w:t>2</w:t>
            </w:r>
            <w:r w:rsidR="00B00ADF" w:rsidRPr="00C23BDE">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32D5F" w14:textId="20F10434" w:rsidR="00E2362E" w:rsidRPr="00C23BDE" w:rsidRDefault="00B00ADF" w:rsidP="00C23BDE">
            <w:pPr>
              <w:pStyle w:val="Tablecondensed"/>
            </w:pPr>
            <w:r w:rsidRPr="00C23BDE">
              <w:t>33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055E0" w14:textId="735F9424" w:rsidR="00E2362E" w:rsidRPr="00C23BDE" w:rsidRDefault="00B00ADF" w:rsidP="00C23BDE">
            <w:pPr>
              <w:pStyle w:val="Tablecondensed"/>
            </w:pPr>
            <w:r w:rsidRPr="00C23BDE">
              <w:t>19</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B4D57" w14:textId="71D33218" w:rsidR="00E2362E" w:rsidRPr="00C23BDE" w:rsidRDefault="00E2362E" w:rsidP="00C23BDE">
            <w:pPr>
              <w:pStyle w:val="Tablecondensed"/>
            </w:pPr>
            <w:r w:rsidRPr="00C23BDE">
              <w:t>1.</w:t>
            </w:r>
            <w:r w:rsidR="00B00ADF" w:rsidRPr="00C23BDE">
              <w:t>5</w:t>
            </w:r>
          </w:p>
        </w:tc>
      </w:tr>
    </w:tbl>
    <w:p w14:paraId="3ABE63B7" w14:textId="6A3ADCF3" w:rsidR="00E2362E" w:rsidRPr="00C23BDE" w:rsidRDefault="00E2362E" w:rsidP="00C23BDE">
      <w:pPr>
        <w:pStyle w:val="BodyText"/>
      </w:pPr>
      <w:r w:rsidRPr="00C23BDE">
        <w:t xml:space="preserve">This question required students to </w:t>
      </w:r>
      <w:r w:rsidR="00B00ADF" w:rsidRPr="00C23BDE">
        <w:t>examine</w:t>
      </w:r>
      <w:r w:rsidR="00CB4A60">
        <w:t xml:space="preserve"> how</w:t>
      </w:r>
      <w:r w:rsidR="00B00ADF" w:rsidRPr="00C23BDE">
        <w:t xml:space="preserve"> power </w:t>
      </w:r>
      <w:r w:rsidR="00CB4A60">
        <w:t xml:space="preserve">was </w:t>
      </w:r>
      <w:r w:rsidR="00B00ADF" w:rsidRPr="00C23BDE">
        <w:t xml:space="preserve">used by the movement in the representation </w:t>
      </w:r>
      <w:r w:rsidR="00CB4A60">
        <w:t>to</w:t>
      </w:r>
      <w:r w:rsidR="00B00ADF" w:rsidRPr="00C23BDE">
        <w:t xml:space="preserve"> achiev</w:t>
      </w:r>
      <w:r w:rsidR="00CB4A60">
        <w:t>e</w:t>
      </w:r>
      <w:r w:rsidR="00B00ADF" w:rsidRPr="00C23BDE">
        <w:t xml:space="preserve"> its aims. Many students were able to correctly identify </w:t>
      </w:r>
      <w:r w:rsidR="00CB4A60">
        <w:t xml:space="preserve">that </w:t>
      </w:r>
      <w:r w:rsidR="00B00ADF" w:rsidRPr="00C23BDE">
        <w:t xml:space="preserve">power </w:t>
      </w:r>
      <w:r w:rsidR="00CB4A60">
        <w:t xml:space="preserve">was </w:t>
      </w:r>
      <w:r w:rsidR="00B00ADF" w:rsidRPr="00C23BDE">
        <w:t xml:space="preserve">used by the movement but did not go on to discuss its influence in achieving </w:t>
      </w:r>
      <w:r w:rsidR="00CB4A60" w:rsidRPr="00C23BDE">
        <w:t>the movement</w:t>
      </w:r>
      <w:r w:rsidR="00CB4A60">
        <w:t>’s</w:t>
      </w:r>
      <w:r w:rsidR="00B00ADF" w:rsidRPr="00C23BDE">
        <w:t xml:space="preserve"> aims.</w:t>
      </w:r>
    </w:p>
    <w:p w14:paraId="04841DE2" w14:textId="76C045D4" w:rsidR="00B00ADF" w:rsidRPr="00EA43FE" w:rsidRDefault="00B00ADF" w:rsidP="00EA43FE">
      <w:pPr>
        <w:pStyle w:val="BodyText"/>
      </w:pPr>
      <w:r w:rsidRPr="00EA43FE">
        <w:t>Many students mistakenly discussed the research of Chenoweth, who looked at the impact of violent and non-violent methods on the success of movements. While it is possible to link power to these actions, Chenoweth’s research does not address this directly.</w:t>
      </w:r>
    </w:p>
    <w:p w14:paraId="5FA46BEF" w14:textId="26437249" w:rsidR="00E2362E" w:rsidRDefault="00E2362E" w:rsidP="00E2362E">
      <w:pPr>
        <w:pStyle w:val="BodyText"/>
        <w:rPr>
          <w:bCs/>
        </w:rPr>
      </w:pPr>
      <w:r>
        <w:rPr>
          <w:bCs/>
        </w:rPr>
        <w:t>To be awarded full marks students needed to:</w:t>
      </w:r>
    </w:p>
    <w:p w14:paraId="41CD88C4" w14:textId="6F3B5581" w:rsidR="00E2362E" w:rsidRPr="00C23BDE" w:rsidRDefault="00C53361" w:rsidP="00C23BDE">
      <w:pPr>
        <w:pStyle w:val="Bullet"/>
      </w:pPr>
      <w:r>
        <w:t>c</w:t>
      </w:r>
      <w:r w:rsidR="00B00ADF" w:rsidRPr="00C23BDE">
        <w:t>orrectly identify the aims of the movement as the reopening of the Fitzroy pool</w:t>
      </w:r>
    </w:p>
    <w:p w14:paraId="0504A05F" w14:textId="524C2009" w:rsidR="00E2362E" w:rsidRPr="00C23BDE" w:rsidRDefault="00C53361" w:rsidP="00C23BDE">
      <w:pPr>
        <w:pStyle w:val="Bullet"/>
      </w:pPr>
      <w:r>
        <w:t>e</w:t>
      </w:r>
      <w:r w:rsidR="00B00ADF" w:rsidRPr="00C23BDE">
        <w:t>xamine how the movement used power to achieve its goal</w:t>
      </w:r>
    </w:p>
    <w:p w14:paraId="350EFE00" w14:textId="565C622A" w:rsidR="00B00ADF" w:rsidRPr="00C23BDE" w:rsidRDefault="00C53361" w:rsidP="00C23BDE">
      <w:pPr>
        <w:pStyle w:val="Bullet"/>
      </w:pPr>
      <w:r>
        <w:t>u</w:t>
      </w:r>
      <w:r w:rsidR="00B00ADF" w:rsidRPr="00C23BDE">
        <w:t>se evidence from the representation</w:t>
      </w:r>
      <w:r w:rsidR="002C72DA">
        <w:t>.</w:t>
      </w:r>
    </w:p>
    <w:p w14:paraId="2F17647F" w14:textId="4E30F684" w:rsidR="00E2362E" w:rsidRDefault="00E2362E" w:rsidP="00C23BDE">
      <w:pPr>
        <w:pStyle w:val="BodyText"/>
        <w:rPr>
          <w:bCs/>
          <w:lang w:val="en-US"/>
        </w:rPr>
      </w:pPr>
      <w:r w:rsidRPr="00747B03">
        <w:rPr>
          <w:bCs/>
          <w:lang w:val="en-US"/>
        </w:rPr>
        <w:t xml:space="preserve">The following is an example of </w:t>
      </w:r>
      <w:r w:rsidR="00C53361">
        <w:rPr>
          <w:bCs/>
          <w:lang w:val="en-US"/>
        </w:rPr>
        <w:t xml:space="preserve">a </w:t>
      </w:r>
      <w:r w:rsidRPr="00747B03">
        <w:rPr>
          <w:bCs/>
          <w:lang w:val="en-US"/>
        </w:rPr>
        <w:t xml:space="preserve">high-scoring response that has </w:t>
      </w:r>
      <w:r w:rsidR="00B00ADF">
        <w:rPr>
          <w:bCs/>
          <w:lang w:val="en-US"/>
        </w:rPr>
        <w:t xml:space="preserve">effectively linked the use of power to the movement achieving </w:t>
      </w:r>
      <w:r w:rsidR="002C72DA">
        <w:rPr>
          <w:bCs/>
          <w:lang w:val="en-US"/>
        </w:rPr>
        <w:t>its</w:t>
      </w:r>
      <w:r w:rsidR="00B00ADF">
        <w:rPr>
          <w:bCs/>
          <w:lang w:val="en-US"/>
        </w:rPr>
        <w:t xml:space="preserve"> aims. </w:t>
      </w:r>
    </w:p>
    <w:p w14:paraId="6548D20F" w14:textId="3E69D13D" w:rsidR="00E2362E" w:rsidRPr="00C23BDE" w:rsidRDefault="00B00ADF" w:rsidP="00C23BDE">
      <w:pPr>
        <w:pStyle w:val="studentresponse"/>
      </w:pPr>
      <w:r w:rsidRPr="00C23BDE">
        <w:t>Power refers to the ability to impose one</w:t>
      </w:r>
      <w:r w:rsidR="00C53361">
        <w:t>’</w:t>
      </w:r>
      <w:r w:rsidRPr="00C23BDE">
        <w:t>s will on others, even i</w:t>
      </w:r>
      <w:r w:rsidR="00896DA1">
        <w:t>f</w:t>
      </w:r>
      <w:r w:rsidRPr="00C23BDE">
        <w:t xml:space="preserve"> they resist in some ways. French and Raven (1959, Raven 1965) theorized 6 types of power. In Rep 4, the type of power that the social movement used is informational power, they used this by having a “</w:t>
      </w:r>
      <w:proofErr w:type="gramStart"/>
      <w:r w:rsidRPr="00C23BDE">
        <w:t>20 page</w:t>
      </w:r>
      <w:proofErr w:type="gramEnd"/>
      <w:r w:rsidRPr="00C23BDE">
        <w:t xml:space="preserve"> report </w:t>
      </w:r>
      <w:r w:rsidR="00762932" w:rsidRPr="00C23BDE">
        <w:t>was researched, written and given to the media” (Rep 4). In doing so, it spreads public awareness of the issue and lead to the specific information they want known to be rewarded and help achieve their desired change to reopen the Fitzroy pool.</w:t>
      </w:r>
    </w:p>
    <w:p w14:paraId="44C86805" w14:textId="6CF00F02" w:rsidR="00F806BE" w:rsidRPr="00A56D26" w:rsidRDefault="00F806BE" w:rsidP="00C23BDE">
      <w:pPr>
        <w:pStyle w:val="Head2"/>
      </w:pPr>
      <w:r>
        <w:t>Question 11</w:t>
      </w:r>
    </w:p>
    <w:tbl>
      <w:tblPr>
        <w:tblStyle w:val="VCAATableClosed1"/>
        <w:tblW w:w="0" w:type="auto"/>
        <w:tblInd w:w="0" w:type="dxa"/>
        <w:tblLook w:val="01E0" w:firstRow="1" w:lastRow="1" w:firstColumn="1" w:lastColumn="1" w:noHBand="0" w:noVBand="0"/>
      </w:tblPr>
      <w:tblGrid>
        <w:gridCol w:w="720"/>
        <w:gridCol w:w="576"/>
        <w:gridCol w:w="576"/>
        <w:gridCol w:w="576"/>
        <w:gridCol w:w="576"/>
        <w:gridCol w:w="576"/>
        <w:gridCol w:w="576"/>
        <w:gridCol w:w="576"/>
        <w:gridCol w:w="576"/>
        <w:gridCol w:w="576"/>
        <w:gridCol w:w="576"/>
        <w:gridCol w:w="576"/>
        <w:gridCol w:w="1008"/>
      </w:tblGrid>
      <w:tr w:rsidR="00F806BE" w:rsidRPr="00EA43FE" w14:paraId="463792D9" w14:textId="77777777" w:rsidTr="000D0D36">
        <w:trPr>
          <w:cnfStyle w:val="100000000000" w:firstRow="1" w:lastRow="0" w:firstColumn="0" w:lastColumn="0" w:oddVBand="0" w:evenVBand="0" w:oddHBand="0" w:evenHBand="0" w:firstRowFirstColumn="0" w:firstRowLastColumn="0" w:lastRowFirstColumn="0" w:lastRowLastColumn="0"/>
          <w:trHeight w:hRule="exact" w:val="397"/>
          <w:tblHeader/>
        </w:trPr>
        <w:tc>
          <w:tcPr>
            <w:tcW w:w="720" w:type="dxa"/>
            <w:tcBorders>
              <w:top w:val="single" w:sz="4" w:space="0" w:color="000000" w:themeColor="text1"/>
              <w:left w:val="single" w:sz="4" w:space="0" w:color="000000" w:themeColor="text1"/>
              <w:bottom w:val="single" w:sz="4" w:space="0" w:color="000000" w:themeColor="text1"/>
            </w:tcBorders>
            <w:hideMark/>
          </w:tcPr>
          <w:p w14:paraId="574B5BE3" w14:textId="77777777" w:rsidR="00F806BE" w:rsidRPr="00C23BDE" w:rsidRDefault="00F806BE" w:rsidP="00C23BDE">
            <w:pPr>
              <w:pStyle w:val="Tablecondensed"/>
            </w:pPr>
            <w:r w:rsidRPr="00C23BDE">
              <w:t>Marks</w:t>
            </w:r>
          </w:p>
        </w:tc>
        <w:tc>
          <w:tcPr>
            <w:tcW w:w="576" w:type="dxa"/>
            <w:tcBorders>
              <w:top w:val="single" w:sz="4" w:space="0" w:color="000000" w:themeColor="text1"/>
              <w:bottom w:val="single" w:sz="4" w:space="0" w:color="000000" w:themeColor="text1"/>
            </w:tcBorders>
            <w:hideMark/>
          </w:tcPr>
          <w:p w14:paraId="0110E5AA" w14:textId="77777777" w:rsidR="00F806BE" w:rsidRPr="00C23BDE" w:rsidRDefault="00F806BE" w:rsidP="00C23BDE">
            <w:pPr>
              <w:pStyle w:val="Tablecondensed"/>
            </w:pPr>
            <w:r w:rsidRPr="00C23BDE">
              <w:t>0</w:t>
            </w:r>
          </w:p>
        </w:tc>
        <w:tc>
          <w:tcPr>
            <w:tcW w:w="576" w:type="dxa"/>
            <w:tcBorders>
              <w:top w:val="single" w:sz="4" w:space="0" w:color="000000" w:themeColor="text1"/>
              <w:bottom w:val="single" w:sz="4" w:space="0" w:color="000000" w:themeColor="text1"/>
            </w:tcBorders>
            <w:hideMark/>
          </w:tcPr>
          <w:p w14:paraId="00476834" w14:textId="77777777" w:rsidR="00F806BE" w:rsidRPr="00C23BDE" w:rsidRDefault="00F806BE" w:rsidP="00C23BDE">
            <w:pPr>
              <w:pStyle w:val="Tablecondensed"/>
            </w:pPr>
            <w:r w:rsidRPr="00C23BDE">
              <w:t>1</w:t>
            </w:r>
          </w:p>
        </w:tc>
        <w:tc>
          <w:tcPr>
            <w:tcW w:w="576" w:type="dxa"/>
            <w:tcBorders>
              <w:top w:val="single" w:sz="4" w:space="0" w:color="000000" w:themeColor="text1"/>
              <w:bottom w:val="single" w:sz="4" w:space="0" w:color="000000" w:themeColor="text1"/>
            </w:tcBorders>
            <w:hideMark/>
          </w:tcPr>
          <w:p w14:paraId="4E754445" w14:textId="77777777" w:rsidR="00F806BE" w:rsidRPr="00C23BDE" w:rsidRDefault="00F806BE" w:rsidP="00C23BDE">
            <w:pPr>
              <w:pStyle w:val="Tablecondensed"/>
            </w:pPr>
            <w:r w:rsidRPr="00C23BDE">
              <w:t>2</w:t>
            </w:r>
          </w:p>
        </w:tc>
        <w:tc>
          <w:tcPr>
            <w:tcW w:w="576" w:type="dxa"/>
            <w:tcBorders>
              <w:top w:val="single" w:sz="4" w:space="0" w:color="000000" w:themeColor="text1"/>
              <w:bottom w:val="single" w:sz="4" w:space="0" w:color="000000" w:themeColor="text1"/>
            </w:tcBorders>
            <w:hideMark/>
          </w:tcPr>
          <w:p w14:paraId="03C8E4F2" w14:textId="77777777" w:rsidR="00F806BE" w:rsidRPr="00C23BDE" w:rsidRDefault="00F806BE" w:rsidP="00C23BDE">
            <w:pPr>
              <w:pStyle w:val="Tablecondensed"/>
            </w:pPr>
            <w:r w:rsidRPr="00C23BDE">
              <w:t>3</w:t>
            </w:r>
          </w:p>
        </w:tc>
        <w:tc>
          <w:tcPr>
            <w:tcW w:w="576" w:type="dxa"/>
            <w:tcBorders>
              <w:top w:val="single" w:sz="4" w:space="0" w:color="000000" w:themeColor="text1"/>
              <w:bottom w:val="single" w:sz="4" w:space="0" w:color="000000" w:themeColor="text1"/>
            </w:tcBorders>
            <w:hideMark/>
          </w:tcPr>
          <w:p w14:paraId="4D03C5C5" w14:textId="77777777" w:rsidR="00F806BE" w:rsidRPr="00C23BDE" w:rsidRDefault="00F806BE" w:rsidP="00C23BDE">
            <w:pPr>
              <w:pStyle w:val="Tablecondensed"/>
            </w:pPr>
            <w:r w:rsidRPr="00C23BDE">
              <w:t>4</w:t>
            </w:r>
          </w:p>
        </w:tc>
        <w:tc>
          <w:tcPr>
            <w:tcW w:w="576" w:type="dxa"/>
            <w:tcBorders>
              <w:top w:val="single" w:sz="4" w:space="0" w:color="000000" w:themeColor="text1"/>
              <w:bottom w:val="single" w:sz="4" w:space="0" w:color="000000" w:themeColor="text1"/>
            </w:tcBorders>
            <w:hideMark/>
          </w:tcPr>
          <w:p w14:paraId="24C6F6B4" w14:textId="77777777" w:rsidR="00F806BE" w:rsidRPr="00C23BDE" w:rsidRDefault="00F806BE" w:rsidP="00C23BDE">
            <w:pPr>
              <w:pStyle w:val="Tablecondensed"/>
            </w:pPr>
            <w:r w:rsidRPr="00C23BDE">
              <w:t>5</w:t>
            </w:r>
          </w:p>
        </w:tc>
        <w:tc>
          <w:tcPr>
            <w:tcW w:w="576" w:type="dxa"/>
            <w:tcBorders>
              <w:top w:val="single" w:sz="4" w:space="0" w:color="000000" w:themeColor="text1"/>
              <w:bottom w:val="single" w:sz="4" w:space="0" w:color="000000" w:themeColor="text1"/>
            </w:tcBorders>
            <w:hideMark/>
          </w:tcPr>
          <w:p w14:paraId="7FF30C96" w14:textId="77777777" w:rsidR="00F806BE" w:rsidRPr="00C23BDE" w:rsidRDefault="00F806BE" w:rsidP="00C23BDE">
            <w:pPr>
              <w:pStyle w:val="Tablecondensed"/>
            </w:pPr>
            <w:r w:rsidRPr="00C23BDE">
              <w:t>6</w:t>
            </w:r>
          </w:p>
        </w:tc>
        <w:tc>
          <w:tcPr>
            <w:tcW w:w="576" w:type="dxa"/>
            <w:tcBorders>
              <w:top w:val="single" w:sz="4" w:space="0" w:color="000000" w:themeColor="text1"/>
              <w:bottom w:val="single" w:sz="4" w:space="0" w:color="000000" w:themeColor="text1"/>
            </w:tcBorders>
            <w:hideMark/>
          </w:tcPr>
          <w:p w14:paraId="2A36D559" w14:textId="77777777" w:rsidR="00F806BE" w:rsidRPr="00C23BDE" w:rsidRDefault="00F806BE" w:rsidP="00C23BDE">
            <w:pPr>
              <w:pStyle w:val="Tablecondensed"/>
            </w:pPr>
            <w:r w:rsidRPr="00C23BDE">
              <w:t>7</w:t>
            </w:r>
          </w:p>
        </w:tc>
        <w:tc>
          <w:tcPr>
            <w:tcW w:w="576" w:type="dxa"/>
            <w:tcBorders>
              <w:top w:val="single" w:sz="4" w:space="0" w:color="000000" w:themeColor="text1"/>
              <w:bottom w:val="single" w:sz="4" w:space="0" w:color="000000" w:themeColor="text1"/>
            </w:tcBorders>
            <w:hideMark/>
          </w:tcPr>
          <w:p w14:paraId="14A37EBE" w14:textId="77777777" w:rsidR="00F806BE" w:rsidRPr="00C23BDE" w:rsidRDefault="00F806BE" w:rsidP="00C23BDE">
            <w:pPr>
              <w:pStyle w:val="Tablecondensed"/>
            </w:pPr>
            <w:r w:rsidRPr="00C23BDE">
              <w:t>8</w:t>
            </w:r>
          </w:p>
        </w:tc>
        <w:tc>
          <w:tcPr>
            <w:tcW w:w="576" w:type="dxa"/>
            <w:tcBorders>
              <w:top w:val="single" w:sz="4" w:space="0" w:color="000000" w:themeColor="text1"/>
              <w:bottom w:val="single" w:sz="4" w:space="0" w:color="000000" w:themeColor="text1"/>
            </w:tcBorders>
            <w:hideMark/>
          </w:tcPr>
          <w:p w14:paraId="5F41F678" w14:textId="77777777" w:rsidR="00F806BE" w:rsidRPr="00C23BDE" w:rsidRDefault="00F806BE" w:rsidP="00C23BDE">
            <w:pPr>
              <w:pStyle w:val="Tablecondensed"/>
            </w:pPr>
            <w:r w:rsidRPr="00C23BDE">
              <w:t>9</w:t>
            </w:r>
          </w:p>
        </w:tc>
        <w:tc>
          <w:tcPr>
            <w:tcW w:w="576" w:type="dxa"/>
            <w:tcBorders>
              <w:top w:val="single" w:sz="4" w:space="0" w:color="000000" w:themeColor="text1"/>
              <w:bottom w:val="single" w:sz="4" w:space="0" w:color="000000" w:themeColor="text1"/>
            </w:tcBorders>
            <w:hideMark/>
          </w:tcPr>
          <w:p w14:paraId="00994352" w14:textId="77777777" w:rsidR="00F806BE" w:rsidRPr="00C23BDE" w:rsidRDefault="00F806BE" w:rsidP="00C23BDE">
            <w:pPr>
              <w:pStyle w:val="Tablecondensed"/>
            </w:pPr>
            <w:r w:rsidRPr="00C23BDE">
              <w:t>10</w:t>
            </w:r>
          </w:p>
        </w:tc>
        <w:tc>
          <w:tcPr>
            <w:tcW w:w="1008" w:type="dxa"/>
            <w:tcBorders>
              <w:top w:val="single" w:sz="4" w:space="0" w:color="000000" w:themeColor="text1"/>
              <w:bottom w:val="single" w:sz="4" w:space="0" w:color="000000" w:themeColor="text1"/>
              <w:right w:val="single" w:sz="4" w:space="0" w:color="000000" w:themeColor="text1"/>
            </w:tcBorders>
            <w:hideMark/>
          </w:tcPr>
          <w:p w14:paraId="12B85F95" w14:textId="77777777" w:rsidR="00F806BE" w:rsidRPr="00C23BDE" w:rsidRDefault="00F806BE" w:rsidP="00C23BDE">
            <w:pPr>
              <w:pStyle w:val="Tablecondensed"/>
            </w:pPr>
            <w:r w:rsidRPr="00C23BDE">
              <w:t>Average</w:t>
            </w:r>
          </w:p>
        </w:tc>
      </w:tr>
      <w:tr w:rsidR="00F806BE" w:rsidRPr="00EA43FE" w14:paraId="37ECE4EC" w14:textId="77777777" w:rsidTr="000D0D36">
        <w:trPr>
          <w:trHeight w:hRule="exact" w:val="3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96B41" w14:textId="77777777" w:rsidR="00F806BE" w:rsidRPr="00C23BDE" w:rsidRDefault="00F806BE" w:rsidP="00C23BDE">
            <w:pPr>
              <w:pStyle w:val="Tablecondensed"/>
            </w:pPr>
            <w:r w:rsidRPr="00C23BDE">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48BA8" w14:textId="1A0B59D7" w:rsidR="00F806BE" w:rsidRPr="00C23BDE" w:rsidRDefault="00F806BE" w:rsidP="00C23BDE">
            <w:pPr>
              <w:pStyle w:val="Tablecondensed"/>
            </w:pPr>
            <w:r w:rsidRPr="00C23BDE">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E8D37" w14:textId="4F6D9EC2" w:rsidR="00F806BE" w:rsidRPr="00C23BDE" w:rsidRDefault="00F806BE" w:rsidP="00C23BDE">
            <w:pPr>
              <w:pStyle w:val="Tablecondensed"/>
            </w:pPr>
            <w:r w:rsidRPr="00C23BDE">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C4102" w14:textId="5ED381F1" w:rsidR="00F806BE" w:rsidRPr="00C23BDE" w:rsidRDefault="00F806BE" w:rsidP="00C23BDE">
            <w:pPr>
              <w:pStyle w:val="Tablecondensed"/>
            </w:pPr>
            <w:r w:rsidRPr="00C23BDE">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6D541" w14:textId="2C15A5CB" w:rsidR="00F806BE" w:rsidRPr="00C23BDE" w:rsidRDefault="00F806BE" w:rsidP="00C23BDE">
            <w:pPr>
              <w:pStyle w:val="Tablecondensed"/>
            </w:pPr>
            <w:r w:rsidRPr="00C23BDE">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FC4D3" w14:textId="2FFA9195" w:rsidR="00F806BE" w:rsidRPr="00C23BDE" w:rsidRDefault="00F806BE" w:rsidP="00C23BDE">
            <w:pPr>
              <w:pStyle w:val="Tablecondensed"/>
            </w:pPr>
            <w:r w:rsidRPr="00C23BDE">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EC4EB" w14:textId="4B151845" w:rsidR="00F806BE" w:rsidRPr="00C23BDE" w:rsidRDefault="00F806BE" w:rsidP="00C23BDE">
            <w:pPr>
              <w:pStyle w:val="Tablecondensed"/>
            </w:pPr>
            <w:r w:rsidRPr="00C23BDE">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455C" w14:textId="5071700F" w:rsidR="00F806BE" w:rsidRPr="00C23BDE" w:rsidRDefault="00F806BE" w:rsidP="00C23BDE">
            <w:pPr>
              <w:pStyle w:val="Tablecondensed"/>
            </w:pPr>
            <w:r w:rsidRPr="00C23BDE">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2BA07" w14:textId="263342C0" w:rsidR="00F806BE" w:rsidRPr="00C23BDE" w:rsidRDefault="00F806BE" w:rsidP="00C23BDE">
            <w:pPr>
              <w:pStyle w:val="Tablecondensed"/>
            </w:pPr>
            <w:r w:rsidRPr="00C23BDE">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7960D" w14:textId="36825952" w:rsidR="00F806BE" w:rsidRPr="00C23BDE" w:rsidRDefault="00F806BE" w:rsidP="00C23BDE">
            <w:pPr>
              <w:pStyle w:val="Tablecondensed"/>
            </w:pPr>
            <w:r w:rsidRPr="00C23BDE">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46624" w14:textId="19C2957D" w:rsidR="00F806BE" w:rsidRPr="00C23BDE" w:rsidRDefault="00F806BE" w:rsidP="00C23BDE">
            <w:pPr>
              <w:pStyle w:val="Tablecondensed"/>
            </w:pPr>
            <w:r w:rsidRPr="00C23BDE">
              <w:t>0.5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F1878" w14:textId="4CB4CE53" w:rsidR="00F806BE" w:rsidRPr="00C23BDE" w:rsidRDefault="00F806BE" w:rsidP="00C23BDE">
            <w:pPr>
              <w:pStyle w:val="Tablecondensed"/>
            </w:pPr>
            <w:r w:rsidRPr="00C23BDE">
              <w:t>0.</w:t>
            </w:r>
            <w:r w:rsidR="00F955B7">
              <w:t>1</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A7F92" w14:textId="151EDE65" w:rsidR="00F806BE" w:rsidRPr="00C23BDE" w:rsidRDefault="00F806BE" w:rsidP="00C23BDE">
            <w:pPr>
              <w:pStyle w:val="Tablecondensed"/>
            </w:pPr>
            <w:r w:rsidRPr="00C23BDE">
              <w:t>2.8</w:t>
            </w:r>
          </w:p>
        </w:tc>
      </w:tr>
    </w:tbl>
    <w:p w14:paraId="0C57C143" w14:textId="7C8CE035" w:rsidR="00F806BE" w:rsidRPr="00DB5659" w:rsidRDefault="00F806BE" w:rsidP="00F806BE">
      <w:pPr>
        <w:pStyle w:val="BodyText"/>
        <w:rPr>
          <w:szCs w:val="20"/>
          <w:lang w:val="en-GB"/>
        </w:rPr>
      </w:pPr>
      <w:r>
        <w:rPr>
          <w:bCs/>
        </w:rPr>
        <w:t>This question required students to examine how a current movement</w:t>
      </w:r>
      <w:r w:rsidR="009C5F65">
        <w:rPr>
          <w:bCs/>
        </w:rPr>
        <w:t>’</w:t>
      </w:r>
      <w:r>
        <w:rPr>
          <w:bCs/>
        </w:rPr>
        <w:t xml:space="preserve">s stage influenced their ability to make social change. Some students discussed movements that are in decline, such as </w:t>
      </w:r>
      <w:r>
        <w:rPr>
          <w:szCs w:val="20"/>
          <w:lang w:val="en-GB"/>
        </w:rPr>
        <w:t>Just Stop Oil and #StopAdani</w:t>
      </w:r>
      <w:r w:rsidR="00896DA1">
        <w:rPr>
          <w:szCs w:val="20"/>
          <w:lang w:val="en-GB"/>
        </w:rPr>
        <w:t>,</w:t>
      </w:r>
      <w:r>
        <w:rPr>
          <w:szCs w:val="20"/>
          <w:lang w:val="en-GB"/>
        </w:rPr>
        <w:t xml:space="preserve"> which are not considered to be current.</w:t>
      </w:r>
      <w:r w:rsidR="00DB5659">
        <w:rPr>
          <w:szCs w:val="20"/>
          <w:lang w:val="en-GB"/>
        </w:rPr>
        <w:t xml:space="preserve"> </w:t>
      </w:r>
      <w:r>
        <w:rPr>
          <w:bCs/>
        </w:rPr>
        <w:t xml:space="preserve">Many students were able to identify the stage of the social movement and discuss the social change achieved without making connections between the two. </w:t>
      </w:r>
    </w:p>
    <w:p w14:paraId="62479945" w14:textId="52C1CDA4" w:rsidR="00F806BE" w:rsidRDefault="00F806BE" w:rsidP="00F806BE">
      <w:pPr>
        <w:pStyle w:val="BodyText"/>
        <w:rPr>
          <w:bCs/>
        </w:rPr>
      </w:pPr>
      <w:r>
        <w:rPr>
          <w:bCs/>
        </w:rPr>
        <w:t>Students are reminded when choosing their social movement that t</w:t>
      </w:r>
      <w:r w:rsidRPr="00F806BE">
        <w:rPr>
          <w:bCs/>
        </w:rPr>
        <w:t>he study design does not refer to organisations but only social movements</w:t>
      </w:r>
      <w:r>
        <w:rPr>
          <w:bCs/>
        </w:rPr>
        <w:t xml:space="preserve">, </w:t>
      </w:r>
      <w:r w:rsidR="002C72DA">
        <w:rPr>
          <w:bCs/>
        </w:rPr>
        <w:t xml:space="preserve">and </w:t>
      </w:r>
      <w:r>
        <w:rPr>
          <w:bCs/>
        </w:rPr>
        <w:t>therefore</w:t>
      </w:r>
      <w:r w:rsidR="002C72DA">
        <w:rPr>
          <w:bCs/>
        </w:rPr>
        <w:t>:</w:t>
      </w:r>
    </w:p>
    <w:p w14:paraId="6EF5CC17" w14:textId="4DBE11EA" w:rsidR="00F806BE" w:rsidRPr="00C23BDE" w:rsidRDefault="00AD60CD" w:rsidP="00C23BDE">
      <w:pPr>
        <w:pStyle w:val="Bullet"/>
      </w:pPr>
      <w:r w:rsidRPr="00C23BDE">
        <w:t>intergovernmental</w:t>
      </w:r>
      <w:r w:rsidR="00F806BE" w:rsidRPr="00C23BDE">
        <w:t xml:space="preserve"> organisations such as the United Nations are not considered a social movement, </w:t>
      </w:r>
      <w:r w:rsidR="002C72DA">
        <w:t>but</w:t>
      </w:r>
      <w:r w:rsidR="00F806BE" w:rsidRPr="00C23BDE">
        <w:t xml:space="preserve"> may support social movements </w:t>
      </w:r>
    </w:p>
    <w:p w14:paraId="2A7A1986" w14:textId="2D3AF2CA" w:rsidR="00DB5659" w:rsidRPr="00C23BDE" w:rsidRDefault="00F806BE" w:rsidP="00C23BDE">
      <w:pPr>
        <w:pStyle w:val="Bullet"/>
      </w:pPr>
      <w:r w:rsidRPr="00C23BDE">
        <w:t xml:space="preserve">political parties such as the Legalise Cannabis Political party </w:t>
      </w:r>
      <w:r w:rsidR="00896DA1">
        <w:t>are</w:t>
      </w:r>
      <w:r w:rsidRPr="00C23BDE">
        <w:t xml:space="preserve"> not considered a social </w:t>
      </w:r>
      <w:proofErr w:type="gramStart"/>
      <w:r w:rsidRPr="00C23BDE">
        <w:t xml:space="preserve">movement, </w:t>
      </w:r>
      <w:r w:rsidR="002C72DA">
        <w:t>but</w:t>
      </w:r>
      <w:proofErr w:type="gramEnd"/>
      <w:r w:rsidR="002C72DA">
        <w:t xml:space="preserve"> </w:t>
      </w:r>
      <w:r w:rsidRPr="00C23BDE">
        <w:t>may support social movements</w:t>
      </w:r>
      <w:r w:rsidR="00896DA1">
        <w:t>.</w:t>
      </w:r>
    </w:p>
    <w:p w14:paraId="04E6422D" w14:textId="5AF5902A" w:rsidR="00DB5659" w:rsidRDefault="00DB5659" w:rsidP="00F806BE">
      <w:pPr>
        <w:pStyle w:val="BodyText"/>
        <w:rPr>
          <w:bCs/>
        </w:rPr>
      </w:pPr>
      <w:r>
        <w:rPr>
          <w:bCs/>
        </w:rPr>
        <w:t xml:space="preserve">Teachers are reminded of the </w:t>
      </w:r>
      <w:r w:rsidR="00896DA1">
        <w:rPr>
          <w:bCs/>
        </w:rPr>
        <w:t>‘</w:t>
      </w:r>
      <w:r>
        <w:rPr>
          <w:bCs/>
        </w:rPr>
        <w:t>interrelated components</w:t>
      </w:r>
      <w:r w:rsidR="00896DA1">
        <w:rPr>
          <w:bCs/>
        </w:rPr>
        <w:t>’</w:t>
      </w:r>
      <w:r>
        <w:rPr>
          <w:bCs/>
        </w:rPr>
        <w:t xml:space="preserve"> </w:t>
      </w:r>
      <w:r w:rsidR="006D050C">
        <w:rPr>
          <w:bCs/>
        </w:rPr>
        <w:t>(in the study design)</w:t>
      </w:r>
      <w:r>
        <w:rPr>
          <w:bCs/>
        </w:rPr>
        <w:t xml:space="preserve"> of the nature and purpose of social movements and ensure that these are explored in class.  </w:t>
      </w:r>
    </w:p>
    <w:p w14:paraId="525198A8" w14:textId="77777777" w:rsidR="00CA13F3" w:rsidRDefault="00CA13F3">
      <w:pPr>
        <w:spacing w:line="276" w:lineRule="auto"/>
        <w:rPr>
          <w:rFonts w:ascii="Arial" w:hAnsi="Arial" w:cs="Arial"/>
          <w:bCs/>
          <w:color w:val="000000" w:themeColor="text1"/>
          <w:sz w:val="20"/>
          <w:lang w:val="en-AU" w:eastAsia="en-AU"/>
        </w:rPr>
      </w:pPr>
      <w:r>
        <w:rPr>
          <w:bCs/>
        </w:rPr>
        <w:br w:type="page"/>
      </w:r>
    </w:p>
    <w:p w14:paraId="075517DC" w14:textId="65C1AE89" w:rsidR="00896DA1" w:rsidRDefault="00896DA1" w:rsidP="00896DA1">
      <w:pPr>
        <w:pStyle w:val="BodyText"/>
        <w:rPr>
          <w:bCs/>
        </w:rPr>
      </w:pPr>
      <w:r>
        <w:rPr>
          <w:bCs/>
        </w:rPr>
        <w:lastRenderedPageBreak/>
        <w:t>To be awarded full marks students needed to:</w:t>
      </w:r>
    </w:p>
    <w:p w14:paraId="66811934" w14:textId="19A86787" w:rsidR="00896DA1" w:rsidRPr="00C23BDE" w:rsidRDefault="00896DA1" w:rsidP="00896DA1">
      <w:pPr>
        <w:pStyle w:val="Bullet"/>
      </w:pPr>
      <w:r>
        <w:t>p</w:t>
      </w:r>
      <w:r w:rsidRPr="00C23BDE">
        <w:t xml:space="preserve">rovide a contention about the impact of the stage on social change </w:t>
      </w:r>
    </w:p>
    <w:p w14:paraId="01B0C845" w14:textId="4D359BCF" w:rsidR="00896DA1" w:rsidRPr="00C23BDE" w:rsidRDefault="00896DA1" w:rsidP="00896DA1">
      <w:pPr>
        <w:pStyle w:val="Bullet"/>
      </w:pPr>
      <w:r>
        <w:t>p</w:t>
      </w:r>
      <w:r w:rsidRPr="00C23BDE">
        <w:t>rovide an overview of the social movement</w:t>
      </w:r>
      <w:r w:rsidR="002C72DA">
        <w:t xml:space="preserve"> (</w:t>
      </w:r>
      <w:r w:rsidRPr="00C23BDE">
        <w:t>e.g. type, stage, aims, opposition</w:t>
      </w:r>
      <w:r w:rsidR="002C72DA">
        <w:t>)</w:t>
      </w:r>
      <w:r w:rsidRPr="00C23BDE">
        <w:t xml:space="preserve"> </w:t>
      </w:r>
    </w:p>
    <w:p w14:paraId="75FFB383" w14:textId="2B1C7B96" w:rsidR="00896DA1" w:rsidRPr="00C23BDE" w:rsidRDefault="00896DA1" w:rsidP="00896DA1">
      <w:pPr>
        <w:pStyle w:val="Bullet"/>
      </w:pPr>
      <w:r>
        <w:t>d</w:t>
      </w:r>
      <w:r w:rsidRPr="00C23BDE">
        <w:t>emonstrate an understanding of the life</w:t>
      </w:r>
      <w:r>
        <w:t xml:space="preserve"> </w:t>
      </w:r>
      <w:r w:rsidRPr="00C23BDE">
        <w:t>cycle of social movements</w:t>
      </w:r>
    </w:p>
    <w:p w14:paraId="6D96AE7D" w14:textId="7EBDEEF2" w:rsidR="00896DA1" w:rsidRPr="00C23BDE" w:rsidRDefault="00896DA1" w:rsidP="00896DA1">
      <w:pPr>
        <w:pStyle w:val="Bullet"/>
      </w:pPr>
      <w:r>
        <w:t>a</w:t>
      </w:r>
      <w:r w:rsidRPr="00C23BDE">
        <w:t xml:space="preserve">nalyse the connection between the stage of social movement and social change </w:t>
      </w:r>
    </w:p>
    <w:p w14:paraId="48B0D298" w14:textId="5784C8BA" w:rsidR="00896DA1" w:rsidRPr="00C23BDE" w:rsidRDefault="00896DA1" w:rsidP="00896DA1">
      <w:pPr>
        <w:pStyle w:val="Bullet"/>
      </w:pPr>
      <w:r>
        <w:t>s</w:t>
      </w:r>
      <w:r w:rsidRPr="00C23BDE">
        <w:t>ynthesise a range of relevant evidence/sources to draw conclusions</w:t>
      </w:r>
      <w:r>
        <w:t>.</w:t>
      </w:r>
    </w:p>
    <w:p w14:paraId="1D9DCC0F" w14:textId="77777777" w:rsidR="00F806BE" w:rsidRDefault="00F806BE" w:rsidP="00F806BE">
      <w:pPr>
        <w:pStyle w:val="BodyText"/>
        <w:rPr>
          <w:bCs/>
        </w:rPr>
      </w:pPr>
      <w:r>
        <w:rPr>
          <w:bCs/>
        </w:rPr>
        <w:t>Higher-scoring responses:</w:t>
      </w:r>
    </w:p>
    <w:p w14:paraId="611DE3B1" w14:textId="1C156981" w:rsidR="00F806BE" w:rsidRPr="00C23BDE" w:rsidRDefault="00896DA1" w:rsidP="00C23BDE">
      <w:pPr>
        <w:pStyle w:val="Bullet"/>
      </w:pPr>
      <w:r>
        <w:t>p</w:t>
      </w:r>
      <w:r w:rsidR="00F806BE" w:rsidRPr="00C23BDE">
        <w:t>rovide</w:t>
      </w:r>
      <w:r>
        <w:t>d</w:t>
      </w:r>
      <w:r w:rsidR="00F806BE" w:rsidRPr="00C23BDE">
        <w:t xml:space="preserve"> a </w:t>
      </w:r>
      <w:r w:rsidR="00DB5659" w:rsidRPr="00C23BDE">
        <w:t xml:space="preserve">detailed </w:t>
      </w:r>
      <w:r w:rsidR="00F806BE" w:rsidRPr="00C23BDE">
        <w:t>description of a current social movement</w:t>
      </w:r>
      <w:r w:rsidR="00DB5659" w:rsidRPr="00C23BDE">
        <w:t>, including its aims, type and opposition</w:t>
      </w:r>
    </w:p>
    <w:p w14:paraId="1B28448D" w14:textId="6B943981" w:rsidR="00DB5659" w:rsidRPr="00C23BDE" w:rsidRDefault="00896DA1" w:rsidP="00C23BDE">
      <w:pPr>
        <w:pStyle w:val="Bullet"/>
      </w:pPr>
      <w:r>
        <w:t>c</w:t>
      </w:r>
      <w:r w:rsidR="00DB5659" w:rsidRPr="00C23BDE">
        <w:t>orrectly classif</w:t>
      </w:r>
      <w:r>
        <w:t>ied</w:t>
      </w:r>
      <w:r w:rsidR="00DB5659" w:rsidRPr="00C23BDE">
        <w:t xml:space="preserve"> the stage the movement is in</w:t>
      </w:r>
    </w:p>
    <w:p w14:paraId="561E9802" w14:textId="306F00A0" w:rsidR="00DB5659" w:rsidRPr="00C23BDE" w:rsidRDefault="00896DA1" w:rsidP="00C23BDE">
      <w:pPr>
        <w:pStyle w:val="Bullet"/>
      </w:pPr>
      <w:r>
        <w:t>p</w:t>
      </w:r>
      <w:r w:rsidR="00DB5659" w:rsidRPr="00C23BDE">
        <w:t>rovide</w:t>
      </w:r>
      <w:r>
        <w:t>d</w:t>
      </w:r>
      <w:r w:rsidR="00DB5659" w:rsidRPr="00C23BDE">
        <w:t xml:space="preserve"> examples of social change achieved by the movement </w:t>
      </w:r>
    </w:p>
    <w:p w14:paraId="73066F57" w14:textId="2D77D038" w:rsidR="00F806BE" w:rsidRPr="00C23BDE" w:rsidRDefault="00896DA1" w:rsidP="00C23BDE">
      <w:pPr>
        <w:pStyle w:val="Bullet"/>
      </w:pPr>
      <w:r>
        <w:t>c</w:t>
      </w:r>
      <w:r w:rsidR="00DB5659" w:rsidRPr="00C23BDE">
        <w:t>onnect</w:t>
      </w:r>
      <w:r>
        <w:t>ed</w:t>
      </w:r>
      <w:r w:rsidR="00DB5659" w:rsidRPr="00C23BDE">
        <w:t xml:space="preserve"> the current stage of the social movement to the social change achieved </w:t>
      </w:r>
    </w:p>
    <w:p w14:paraId="0AF0570F" w14:textId="5C335444" w:rsidR="00DB5659" w:rsidRPr="00C23BDE" w:rsidRDefault="002C72DA" w:rsidP="00C23BDE">
      <w:pPr>
        <w:pStyle w:val="Bullet"/>
      </w:pPr>
      <w:r>
        <w:t>dre</w:t>
      </w:r>
      <w:r w:rsidR="00D11805" w:rsidRPr="00C23BDE">
        <w:t>w from multiple sources to support their analysis</w:t>
      </w:r>
      <w:r w:rsidR="00896DA1">
        <w:t>.</w:t>
      </w:r>
    </w:p>
    <w:p w14:paraId="221C71CF" w14:textId="657D0DCE" w:rsidR="00D11805" w:rsidRPr="00D11805" w:rsidRDefault="00F806BE" w:rsidP="00F806BE">
      <w:pPr>
        <w:pStyle w:val="BodyText"/>
        <w:rPr>
          <w:bCs/>
          <w:lang w:val="en-US"/>
        </w:rPr>
      </w:pPr>
      <w:r w:rsidRPr="00747B03">
        <w:rPr>
          <w:bCs/>
          <w:lang w:val="en-US"/>
        </w:rPr>
        <w:t>The following</w:t>
      </w:r>
      <w:r w:rsidR="00896DA1">
        <w:rPr>
          <w:bCs/>
          <w:lang w:val="en-US"/>
        </w:rPr>
        <w:t xml:space="preserve"> is an</w:t>
      </w:r>
      <w:r w:rsidRPr="00747B03">
        <w:rPr>
          <w:bCs/>
          <w:lang w:val="en-US"/>
        </w:rPr>
        <w:t xml:space="preserve"> example of </w:t>
      </w:r>
      <w:r w:rsidR="00896DA1">
        <w:rPr>
          <w:bCs/>
          <w:lang w:val="en-US"/>
        </w:rPr>
        <w:t xml:space="preserve">a </w:t>
      </w:r>
      <w:r w:rsidRPr="00747B03">
        <w:rPr>
          <w:bCs/>
          <w:lang w:val="en-US"/>
        </w:rPr>
        <w:t>high-scoring response</w:t>
      </w:r>
      <w:r w:rsidR="00D11805">
        <w:rPr>
          <w:bCs/>
          <w:lang w:val="en-US"/>
        </w:rPr>
        <w:t xml:space="preserve"> that has connected the stage of the movement to the social change achieved.</w:t>
      </w:r>
    </w:p>
    <w:p w14:paraId="550CF727" w14:textId="503D1461" w:rsidR="00DF7107" w:rsidRPr="00D275DF" w:rsidRDefault="00D11805" w:rsidP="00D44F4C">
      <w:pPr>
        <w:pStyle w:val="studentresponse"/>
        <w:rPr>
          <w:i w:val="0"/>
          <w:highlight w:val="lightGray"/>
        </w:rPr>
      </w:pPr>
      <w:r w:rsidRPr="00C23BDE">
        <w:t>Due to being in the bu</w:t>
      </w:r>
      <w:r w:rsidR="008F2260">
        <w:t>r</w:t>
      </w:r>
      <w:r w:rsidRPr="00C23BDE">
        <w:t>eaucrati</w:t>
      </w:r>
      <w:r w:rsidR="0084042B">
        <w:t>s</w:t>
      </w:r>
      <w:r w:rsidRPr="00C23BDE">
        <w:t>ation, Animals Australia hav</w:t>
      </w:r>
      <w:r w:rsidR="0084042B">
        <w:t>e</w:t>
      </w:r>
      <w:r w:rsidRPr="00C23BDE">
        <w:t xml:space="preserve"> more</w:t>
      </w:r>
      <w:r w:rsidR="004C6152" w:rsidRPr="00C23BDE">
        <w:t xml:space="preserve"> potent</w:t>
      </w:r>
      <w:r w:rsidRPr="00C23BDE">
        <w:t>, formal uses of power (the a</w:t>
      </w:r>
      <w:r w:rsidR="0084042B">
        <w:t>b</w:t>
      </w:r>
      <w:r w:rsidRPr="00C23BDE">
        <w:t>ility to impose one’s will on another). Bureaucrati</w:t>
      </w:r>
      <w:r w:rsidR="0084042B">
        <w:t>s</w:t>
      </w:r>
      <w:r w:rsidRPr="00C23BDE">
        <w:t xml:space="preserve">ation </w:t>
      </w:r>
      <w:proofErr w:type="gramStart"/>
      <w:r w:rsidRPr="00C23BDE">
        <w:t>occur</w:t>
      </w:r>
      <w:proofErr w:type="gramEnd"/>
      <w:r w:rsidRPr="00C23BDE">
        <w:t xml:space="preserve"> when a movement consolidates into a highly organi</w:t>
      </w:r>
      <w:r w:rsidR="0084042B">
        <w:t>s</w:t>
      </w:r>
      <w:r w:rsidRPr="00C23BDE">
        <w:t>ed hierarchy, see</w:t>
      </w:r>
      <w:r w:rsidR="0084042B">
        <w:t>n</w:t>
      </w:r>
      <w:r w:rsidRPr="00C23BDE">
        <w:t xml:space="preserve"> in AA having paid “board members” (AA.org,</w:t>
      </w:r>
      <w:r w:rsidR="002C72DA">
        <w:t xml:space="preserve"> </w:t>
      </w:r>
      <w:r w:rsidRPr="00C23BDE">
        <w:t>2025). The high level of organ</w:t>
      </w:r>
      <w:r w:rsidR="0084042B">
        <w:t>i</w:t>
      </w:r>
      <w:r w:rsidRPr="00C23BDE">
        <w:t>sation have allowed for formal, systematic use of power such a coercive power…punishing the Australian government for failing to ban the live export through humiliation, using “covered camera” (ABC News in-depth,</w:t>
      </w:r>
      <w:r w:rsidR="0084042B">
        <w:t xml:space="preserve"> </w:t>
      </w:r>
      <w:r w:rsidRPr="00C23BDE">
        <w:t>2023) to capture and expose footage of animals being “kicked and dragged” (ABC News in-depth, 2023) on ships. Burea</w:t>
      </w:r>
      <w:r w:rsidR="0084042B">
        <w:t>u</w:t>
      </w:r>
      <w:r w:rsidRPr="00C23BDE">
        <w:t xml:space="preserve">cratisation has allowed for the high levels of organization needed to conduct their </w:t>
      </w:r>
      <w:proofErr w:type="gramStart"/>
      <w:r w:rsidRPr="00C23BDE">
        <w:t>operation,</w:t>
      </w:r>
      <w:proofErr w:type="gramEnd"/>
      <w:r w:rsidRPr="00C23BDE">
        <w:t xml:space="preserve"> thus, the movement</w:t>
      </w:r>
      <w:r w:rsidR="00DB1C3F">
        <w:t>’</w:t>
      </w:r>
      <w:r w:rsidRPr="00C23BDE">
        <w:t>s successful usage of power can be attributed to it. With the Australian government banning the live export of shee</w:t>
      </w:r>
      <w:r w:rsidR="0084042B">
        <w:t>p</w:t>
      </w:r>
      <w:r w:rsidRPr="00C23BDE">
        <w:t xml:space="preserve"> </w:t>
      </w:r>
      <w:r w:rsidR="004C6152" w:rsidRPr="00C23BDE">
        <w:t>from 2028, AA’s usage of formal power derived from burea</w:t>
      </w:r>
      <w:r w:rsidR="00DB1C3F">
        <w:t>u</w:t>
      </w:r>
      <w:r w:rsidR="004C6152" w:rsidRPr="00C23BDE">
        <w:t>crati</w:t>
      </w:r>
      <w:r w:rsidR="0084042B">
        <w:t>s</w:t>
      </w:r>
      <w:r w:rsidR="004C6152" w:rsidRPr="00C23BDE">
        <w:t>ation ha</w:t>
      </w:r>
      <w:r w:rsidR="0084042B">
        <w:t>s</w:t>
      </w:r>
      <w:r w:rsidR="004C6152" w:rsidRPr="00C23BDE">
        <w:t xml:space="preserve"> empowered it to do so. </w:t>
      </w:r>
    </w:p>
    <w:sectPr w:rsidR="00DF7107" w:rsidRPr="00D275DF"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B485" w14:textId="77777777" w:rsidR="0065690A" w:rsidRDefault="0065690A" w:rsidP="00304EA1">
      <w:pPr>
        <w:spacing w:after="0" w:line="240" w:lineRule="auto"/>
      </w:pPr>
      <w:r>
        <w:separator/>
      </w:r>
    </w:p>
  </w:endnote>
  <w:endnote w:type="continuationSeparator" w:id="0">
    <w:p w14:paraId="1F5C0845" w14:textId="77777777" w:rsidR="0065690A" w:rsidRDefault="0065690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7859" w14:textId="77777777" w:rsidR="0065690A" w:rsidRDefault="0065690A" w:rsidP="00304EA1">
      <w:pPr>
        <w:spacing w:after="0" w:line="240" w:lineRule="auto"/>
      </w:pPr>
      <w:r>
        <w:separator/>
      </w:r>
    </w:p>
  </w:footnote>
  <w:footnote w:type="continuationSeparator" w:id="0">
    <w:p w14:paraId="7B3BB47B" w14:textId="77777777" w:rsidR="0065690A" w:rsidRDefault="0065690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72BD52D9" w:rsidR="00FD29D3" w:rsidRPr="002B0664" w:rsidRDefault="00B6577D" w:rsidP="00D86DE4">
    <w:pPr>
      <w:pStyle w:val="Captionsandfootnotes"/>
      <w:rPr>
        <w:color w:val="auto"/>
      </w:rPr>
    </w:pPr>
    <w:r>
      <w:rPr>
        <w:color w:val="auto"/>
      </w:rPr>
      <w:t>2025 VCE Sociology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D359A"/>
    <w:multiLevelType w:val="hybridMultilevel"/>
    <w:tmpl w:val="32D0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931DA7"/>
    <w:multiLevelType w:val="hybridMultilevel"/>
    <w:tmpl w:val="A8569D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A13A9F60"/>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376F6A"/>
    <w:multiLevelType w:val="hybridMultilevel"/>
    <w:tmpl w:val="E42AB9C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4" w15:restartNumberingAfterBreak="0">
    <w:nsid w:val="1F217E8D"/>
    <w:multiLevelType w:val="hybridMultilevel"/>
    <w:tmpl w:val="FC7E3B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E5D32"/>
    <w:multiLevelType w:val="hybridMultilevel"/>
    <w:tmpl w:val="209A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B3B8F"/>
    <w:multiLevelType w:val="hybridMultilevel"/>
    <w:tmpl w:val="4C14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7EC6B78"/>
    <w:multiLevelType w:val="hybridMultilevel"/>
    <w:tmpl w:val="2EF612A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492E3005"/>
    <w:multiLevelType w:val="hybridMultilevel"/>
    <w:tmpl w:val="1DE41E78"/>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C41506"/>
    <w:multiLevelType w:val="hybridMultilevel"/>
    <w:tmpl w:val="467C6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9F25734"/>
    <w:multiLevelType w:val="hybridMultilevel"/>
    <w:tmpl w:val="4D04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B0A55E4"/>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F5706E58"/>
    <w:lvl w:ilvl="0" w:tplc="0E423DC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ABC0A7E"/>
    <w:multiLevelType w:val="hybridMultilevel"/>
    <w:tmpl w:val="E90AE3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93E4F"/>
    <w:multiLevelType w:val="hybridMultilevel"/>
    <w:tmpl w:val="53927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13447E"/>
    <w:multiLevelType w:val="hybridMultilevel"/>
    <w:tmpl w:val="D49C0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4E2EDE"/>
    <w:multiLevelType w:val="hybridMultilevel"/>
    <w:tmpl w:val="4EA21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661CDD"/>
    <w:multiLevelType w:val="hybridMultilevel"/>
    <w:tmpl w:val="04741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08764004">
    <w:abstractNumId w:val="25"/>
  </w:num>
  <w:num w:numId="2" w16cid:durableId="1678000311">
    <w:abstractNumId w:val="22"/>
  </w:num>
  <w:num w:numId="3" w16cid:durableId="1018848057">
    <w:abstractNumId w:val="17"/>
  </w:num>
  <w:num w:numId="4" w16cid:durableId="1304190575">
    <w:abstractNumId w:val="12"/>
  </w:num>
  <w:num w:numId="5" w16cid:durableId="2057312338">
    <w:abstractNumId w:val="2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1"/>
  </w:num>
  <w:num w:numId="17" w16cid:durableId="393969528">
    <w:abstractNumId w:val="27"/>
  </w:num>
  <w:num w:numId="18" w16cid:durableId="978606660">
    <w:abstractNumId w:val="13"/>
  </w:num>
  <w:num w:numId="19" w16cid:durableId="1618833300">
    <w:abstractNumId w:val="26"/>
  </w:num>
  <w:num w:numId="20" w16cid:durableId="306252733">
    <w:abstractNumId w:val="10"/>
  </w:num>
  <w:num w:numId="21" w16cid:durableId="1042629711">
    <w:abstractNumId w:val="19"/>
  </w:num>
  <w:num w:numId="22" w16cid:durableId="334696651">
    <w:abstractNumId w:val="30"/>
  </w:num>
  <w:num w:numId="23" w16cid:durableId="1553688868">
    <w:abstractNumId w:val="20"/>
  </w:num>
  <w:num w:numId="24" w16cid:durableId="788400186">
    <w:abstractNumId w:val="18"/>
  </w:num>
  <w:num w:numId="25" w16cid:durableId="1165126854">
    <w:abstractNumId w:val="15"/>
  </w:num>
  <w:num w:numId="26" w16cid:durableId="1452281412">
    <w:abstractNumId w:val="14"/>
  </w:num>
  <w:num w:numId="27" w16cid:durableId="1543862052">
    <w:abstractNumId w:val="29"/>
  </w:num>
  <w:num w:numId="28" w16cid:durableId="686103706">
    <w:abstractNumId w:val="28"/>
  </w:num>
  <w:num w:numId="29" w16cid:durableId="514349897">
    <w:abstractNumId w:val="23"/>
  </w:num>
  <w:num w:numId="30" w16cid:durableId="1535314375">
    <w:abstractNumId w:val="16"/>
  </w:num>
  <w:num w:numId="31" w16cid:durableId="1759406224">
    <w:abstractNumId w:val="11"/>
  </w:num>
  <w:num w:numId="32" w16cid:durableId="388891482">
    <w:abstractNumId w:val="12"/>
  </w:num>
  <w:num w:numId="33" w16cid:durableId="1432167763">
    <w:abstractNumId w:val="24"/>
  </w:num>
  <w:num w:numId="34" w16cid:durableId="14498190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35A5"/>
    <w:rsid w:val="000150FD"/>
    <w:rsid w:val="0002463B"/>
    <w:rsid w:val="000254EC"/>
    <w:rsid w:val="00036DEF"/>
    <w:rsid w:val="0005780E"/>
    <w:rsid w:val="00065CC6"/>
    <w:rsid w:val="000733BE"/>
    <w:rsid w:val="00083581"/>
    <w:rsid w:val="000A1736"/>
    <w:rsid w:val="000A71F7"/>
    <w:rsid w:val="000B09FF"/>
    <w:rsid w:val="000C7055"/>
    <w:rsid w:val="000D1438"/>
    <w:rsid w:val="000F09E4"/>
    <w:rsid w:val="000F16FD"/>
    <w:rsid w:val="000F3B29"/>
    <w:rsid w:val="000F3E04"/>
    <w:rsid w:val="000F5AAF"/>
    <w:rsid w:val="001039D9"/>
    <w:rsid w:val="00142593"/>
    <w:rsid w:val="00143520"/>
    <w:rsid w:val="00145E6C"/>
    <w:rsid w:val="00147F2C"/>
    <w:rsid w:val="00153AD2"/>
    <w:rsid w:val="001779EA"/>
    <w:rsid w:val="00195F4D"/>
    <w:rsid w:val="001A1C04"/>
    <w:rsid w:val="001A4006"/>
    <w:rsid w:val="001A407C"/>
    <w:rsid w:val="001B5795"/>
    <w:rsid w:val="001B7919"/>
    <w:rsid w:val="001C2727"/>
    <w:rsid w:val="001D0C8B"/>
    <w:rsid w:val="001D3246"/>
    <w:rsid w:val="001F3821"/>
    <w:rsid w:val="002279BA"/>
    <w:rsid w:val="002329F3"/>
    <w:rsid w:val="00243F0D"/>
    <w:rsid w:val="00260767"/>
    <w:rsid w:val="002641B8"/>
    <w:rsid w:val="002647BB"/>
    <w:rsid w:val="002754A8"/>
    <w:rsid w:val="002754C1"/>
    <w:rsid w:val="00275751"/>
    <w:rsid w:val="00281881"/>
    <w:rsid w:val="002841C8"/>
    <w:rsid w:val="0028516B"/>
    <w:rsid w:val="002A0F51"/>
    <w:rsid w:val="002A3383"/>
    <w:rsid w:val="002B0664"/>
    <w:rsid w:val="002B7EA4"/>
    <w:rsid w:val="002C6F90"/>
    <w:rsid w:val="002C72DA"/>
    <w:rsid w:val="002E4FB5"/>
    <w:rsid w:val="002F30C1"/>
    <w:rsid w:val="00301389"/>
    <w:rsid w:val="00302FB8"/>
    <w:rsid w:val="00304EA1"/>
    <w:rsid w:val="00314D81"/>
    <w:rsid w:val="003225B2"/>
    <w:rsid w:val="00322FC6"/>
    <w:rsid w:val="00342483"/>
    <w:rsid w:val="0035293F"/>
    <w:rsid w:val="00372C3B"/>
    <w:rsid w:val="00381C75"/>
    <w:rsid w:val="00391986"/>
    <w:rsid w:val="003A00B4"/>
    <w:rsid w:val="003A06B2"/>
    <w:rsid w:val="003B7A02"/>
    <w:rsid w:val="003C5E71"/>
    <w:rsid w:val="003D20B3"/>
    <w:rsid w:val="003E1943"/>
    <w:rsid w:val="003F4F01"/>
    <w:rsid w:val="003F72C3"/>
    <w:rsid w:val="004118E2"/>
    <w:rsid w:val="00417AA3"/>
    <w:rsid w:val="004226FE"/>
    <w:rsid w:val="00425DFE"/>
    <w:rsid w:val="00434EDB"/>
    <w:rsid w:val="00440B32"/>
    <w:rsid w:val="0044346F"/>
    <w:rsid w:val="0046078D"/>
    <w:rsid w:val="0048143D"/>
    <w:rsid w:val="00481FF8"/>
    <w:rsid w:val="00490D0D"/>
    <w:rsid w:val="00495C80"/>
    <w:rsid w:val="004A2ED8"/>
    <w:rsid w:val="004C6152"/>
    <w:rsid w:val="004F4956"/>
    <w:rsid w:val="004F5BDA"/>
    <w:rsid w:val="00514701"/>
    <w:rsid w:val="0051631E"/>
    <w:rsid w:val="00520452"/>
    <w:rsid w:val="00523FDE"/>
    <w:rsid w:val="00531DDC"/>
    <w:rsid w:val="005344B9"/>
    <w:rsid w:val="00537A1F"/>
    <w:rsid w:val="00561CE3"/>
    <w:rsid w:val="00566029"/>
    <w:rsid w:val="00572AF1"/>
    <w:rsid w:val="00580103"/>
    <w:rsid w:val="005923CB"/>
    <w:rsid w:val="005B391B"/>
    <w:rsid w:val="005D3D78"/>
    <w:rsid w:val="005E0EB2"/>
    <w:rsid w:val="005E2EF0"/>
    <w:rsid w:val="005F4092"/>
    <w:rsid w:val="005F7E6F"/>
    <w:rsid w:val="006046A5"/>
    <w:rsid w:val="00641D1F"/>
    <w:rsid w:val="00644455"/>
    <w:rsid w:val="0065690A"/>
    <w:rsid w:val="0068471E"/>
    <w:rsid w:val="00684F98"/>
    <w:rsid w:val="006878F8"/>
    <w:rsid w:val="00693FFD"/>
    <w:rsid w:val="006963B4"/>
    <w:rsid w:val="006D050C"/>
    <w:rsid w:val="006D2159"/>
    <w:rsid w:val="006E2F07"/>
    <w:rsid w:val="006F6C0D"/>
    <w:rsid w:val="006F787C"/>
    <w:rsid w:val="00701935"/>
    <w:rsid w:val="00702636"/>
    <w:rsid w:val="00712328"/>
    <w:rsid w:val="00724507"/>
    <w:rsid w:val="00740D49"/>
    <w:rsid w:val="0074776F"/>
    <w:rsid w:val="00747B03"/>
    <w:rsid w:val="0076215B"/>
    <w:rsid w:val="00762932"/>
    <w:rsid w:val="00773E6C"/>
    <w:rsid w:val="00781FB1"/>
    <w:rsid w:val="007D1B6D"/>
    <w:rsid w:val="007D2F73"/>
    <w:rsid w:val="007D5704"/>
    <w:rsid w:val="00813C37"/>
    <w:rsid w:val="00814625"/>
    <w:rsid w:val="008154B5"/>
    <w:rsid w:val="00823962"/>
    <w:rsid w:val="0084042B"/>
    <w:rsid w:val="00850410"/>
    <w:rsid w:val="00852719"/>
    <w:rsid w:val="00860115"/>
    <w:rsid w:val="00860775"/>
    <w:rsid w:val="00870A89"/>
    <w:rsid w:val="00876F04"/>
    <w:rsid w:val="00886B9F"/>
    <w:rsid w:val="0088783C"/>
    <w:rsid w:val="00896DA1"/>
    <w:rsid w:val="008A39A2"/>
    <w:rsid w:val="008B7381"/>
    <w:rsid w:val="008C37CB"/>
    <w:rsid w:val="008C52EC"/>
    <w:rsid w:val="008C6FE8"/>
    <w:rsid w:val="008D69F8"/>
    <w:rsid w:val="008E4274"/>
    <w:rsid w:val="008F2260"/>
    <w:rsid w:val="009077FE"/>
    <w:rsid w:val="009132B1"/>
    <w:rsid w:val="00922296"/>
    <w:rsid w:val="00926140"/>
    <w:rsid w:val="00927331"/>
    <w:rsid w:val="009370BC"/>
    <w:rsid w:val="0095578D"/>
    <w:rsid w:val="00970580"/>
    <w:rsid w:val="0098739B"/>
    <w:rsid w:val="00990F9B"/>
    <w:rsid w:val="009A282C"/>
    <w:rsid w:val="009B61E5"/>
    <w:rsid w:val="009C5F65"/>
    <w:rsid w:val="009D084F"/>
    <w:rsid w:val="009D1E89"/>
    <w:rsid w:val="009D22F2"/>
    <w:rsid w:val="009D28DE"/>
    <w:rsid w:val="009D6853"/>
    <w:rsid w:val="009E5707"/>
    <w:rsid w:val="009F0B37"/>
    <w:rsid w:val="00A17661"/>
    <w:rsid w:val="00A24B2D"/>
    <w:rsid w:val="00A40966"/>
    <w:rsid w:val="00A56D26"/>
    <w:rsid w:val="00A65642"/>
    <w:rsid w:val="00A921E0"/>
    <w:rsid w:val="00A922F4"/>
    <w:rsid w:val="00AA24AE"/>
    <w:rsid w:val="00AB6DD1"/>
    <w:rsid w:val="00AD60CD"/>
    <w:rsid w:val="00AE5526"/>
    <w:rsid w:val="00AF051B"/>
    <w:rsid w:val="00B00ADF"/>
    <w:rsid w:val="00B01578"/>
    <w:rsid w:val="00B0738F"/>
    <w:rsid w:val="00B07410"/>
    <w:rsid w:val="00B13D3B"/>
    <w:rsid w:val="00B230DB"/>
    <w:rsid w:val="00B26601"/>
    <w:rsid w:val="00B41951"/>
    <w:rsid w:val="00B53229"/>
    <w:rsid w:val="00B56C9B"/>
    <w:rsid w:val="00B61916"/>
    <w:rsid w:val="00B62480"/>
    <w:rsid w:val="00B6577D"/>
    <w:rsid w:val="00B7325D"/>
    <w:rsid w:val="00B81B70"/>
    <w:rsid w:val="00B9174D"/>
    <w:rsid w:val="00BB1BD8"/>
    <w:rsid w:val="00BB3BAB"/>
    <w:rsid w:val="00BB71C5"/>
    <w:rsid w:val="00BC0F8D"/>
    <w:rsid w:val="00BD05F6"/>
    <w:rsid w:val="00BD0724"/>
    <w:rsid w:val="00BD13FB"/>
    <w:rsid w:val="00BD2B91"/>
    <w:rsid w:val="00BD7164"/>
    <w:rsid w:val="00BE5521"/>
    <w:rsid w:val="00BF6C23"/>
    <w:rsid w:val="00C01706"/>
    <w:rsid w:val="00C117EC"/>
    <w:rsid w:val="00C23BDE"/>
    <w:rsid w:val="00C33E8D"/>
    <w:rsid w:val="00C345A6"/>
    <w:rsid w:val="00C518A8"/>
    <w:rsid w:val="00C53263"/>
    <w:rsid w:val="00C53361"/>
    <w:rsid w:val="00C623B2"/>
    <w:rsid w:val="00C676BD"/>
    <w:rsid w:val="00C75F1D"/>
    <w:rsid w:val="00C916DA"/>
    <w:rsid w:val="00C93B53"/>
    <w:rsid w:val="00C95156"/>
    <w:rsid w:val="00CA0DC2"/>
    <w:rsid w:val="00CA13F3"/>
    <w:rsid w:val="00CA1615"/>
    <w:rsid w:val="00CB4A60"/>
    <w:rsid w:val="00CB68E8"/>
    <w:rsid w:val="00D04F01"/>
    <w:rsid w:val="00D06414"/>
    <w:rsid w:val="00D11805"/>
    <w:rsid w:val="00D2003B"/>
    <w:rsid w:val="00D24E5A"/>
    <w:rsid w:val="00D275DF"/>
    <w:rsid w:val="00D338E4"/>
    <w:rsid w:val="00D44F4C"/>
    <w:rsid w:val="00D47CC8"/>
    <w:rsid w:val="00D51947"/>
    <w:rsid w:val="00D532F0"/>
    <w:rsid w:val="00D56E0F"/>
    <w:rsid w:val="00D65ADB"/>
    <w:rsid w:val="00D66E89"/>
    <w:rsid w:val="00D76E10"/>
    <w:rsid w:val="00D77413"/>
    <w:rsid w:val="00D82759"/>
    <w:rsid w:val="00D8449D"/>
    <w:rsid w:val="00D86DE4"/>
    <w:rsid w:val="00D9510F"/>
    <w:rsid w:val="00DB1C3F"/>
    <w:rsid w:val="00DB5659"/>
    <w:rsid w:val="00DE1909"/>
    <w:rsid w:val="00DE51DB"/>
    <w:rsid w:val="00DF4FA8"/>
    <w:rsid w:val="00DF7107"/>
    <w:rsid w:val="00E208DF"/>
    <w:rsid w:val="00E235A4"/>
    <w:rsid w:val="00E2362E"/>
    <w:rsid w:val="00E23F1D"/>
    <w:rsid w:val="00E30E05"/>
    <w:rsid w:val="00E36361"/>
    <w:rsid w:val="00E53D8C"/>
    <w:rsid w:val="00E55AE9"/>
    <w:rsid w:val="00E62BFB"/>
    <w:rsid w:val="00E71100"/>
    <w:rsid w:val="00E7229D"/>
    <w:rsid w:val="00E7349E"/>
    <w:rsid w:val="00E83537"/>
    <w:rsid w:val="00EA43FE"/>
    <w:rsid w:val="00EB0C84"/>
    <w:rsid w:val="00EB76AB"/>
    <w:rsid w:val="00EC18D5"/>
    <w:rsid w:val="00EF2FBD"/>
    <w:rsid w:val="00F0026E"/>
    <w:rsid w:val="00F17FDE"/>
    <w:rsid w:val="00F40D53"/>
    <w:rsid w:val="00F42F9B"/>
    <w:rsid w:val="00F4525C"/>
    <w:rsid w:val="00F50D86"/>
    <w:rsid w:val="00F52F68"/>
    <w:rsid w:val="00F806BE"/>
    <w:rsid w:val="00F844F8"/>
    <w:rsid w:val="00F955B7"/>
    <w:rsid w:val="00FA4F62"/>
    <w:rsid w:val="00FB13CE"/>
    <w:rsid w:val="00FB656D"/>
    <w:rsid w:val="00FD29D3"/>
    <w:rsid w:val="00FE3F0B"/>
    <w:rsid w:val="00FF0BED"/>
    <w:rsid w:val="06FD98E3"/>
    <w:rsid w:val="09E06330"/>
    <w:rsid w:val="0A4CABB6"/>
    <w:rsid w:val="122184CC"/>
    <w:rsid w:val="14541641"/>
    <w:rsid w:val="14F9523B"/>
    <w:rsid w:val="14F9B405"/>
    <w:rsid w:val="14F9E354"/>
    <w:rsid w:val="1A3DD223"/>
    <w:rsid w:val="1AD59A0D"/>
    <w:rsid w:val="1E518D3D"/>
    <w:rsid w:val="1E61C74E"/>
    <w:rsid w:val="20EC4F78"/>
    <w:rsid w:val="21BFC608"/>
    <w:rsid w:val="23480D6B"/>
    <w:rsid w:val="23802869"/>
    <w:rsid w:val="34575F87"/>
    <w:rsid w:val="35A220D7"/>
    <w:rsid w:val="35A8CF62"/>
    <w:rsid w:val="37A2709C"/>
    <w:rsid w:val="3B271D43"/>
    <w:rsid w:val="438F3E9E"/>
    <w:rsid w:val="43B073AF"/>
    <w:rsid w:val="44064368"/>
    <w:rsid w:val="4F3A3BEF"/>
    <w:rsid w:val="51561DB9"/>
    <w:rsid w:val="51900115"/>
    <w:rsid w:val="51F34FEF"/>
    <w:rsid w:val="65359319"/>
    <w:rsid w:val="6AF2E74C"/>
    <w:rsid w:val="6F9A67C1"/>
    <w:rsid w:val="7026B9AE"/>
    <w:rsid w:val="765FE4E2"/>
    <w:rsid w:val="769EC1DC"/>
    <w:rsid w:val="7E9B1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A43FE"/>
    <w:pPr>
      <w:spacing w:line="288" w:lineRule="auto"/>
    </w:pPr>
  </w:style>
  <w:style w:type="paragraph" w:styleId="Heading1">
    <w:name w:val="heading 1"/>
    <w:basedOn w:val="Normal"/>
    <w:next w:val="Normal"/>
    <w:link w:val="Heading1Char"/>
    <w:uiPriority w:val="9"/>
    <w:qFormat/>
    <w:rsid w:val="004226FE"/>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4226FE"/>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4226FE"/>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4226FE"/>
    <w:pPr>
      <w:spacing w:before="280" w:after="120"/>
      <w:outlineLvl w:val="3"/>
    </w:pPr>
    <w:rPr>
      <w:rFonts w:ascii="Arial" w:hAnsi="Arial" w:cs="Arial"/>
      <w:color w:val="0F7EB4"/>
      <w:sz w:val="28"/>
      <w:lang w:val="en-AU" w:eastAsia="en-AU"/>
    </w:rPr>
  </w:style>
  <w:style w:type="paragraph" w:styleId="Heading5">
    <w:name w:val="heading 5"/>
    <w:basedOn w:val="Heading3"/>
    <w:next w:val="Normal"/>
    <w:link w:val="Heading5Char"/>
    <w:uiPriority w:val="9"/>
    <w:unhideWhenUsed/>
    <w:qFormat/>
    <w:rsid w:val="004226FE"/>
    <w:pPr>
      <w:outlineLvl w:val="4"/>
    </w:pPr>
  </w:style>
  <w:style w:type="paragraph" w:styleId="Heading6">
    <w:name w:val="heading 6"/>
    <w:basedOn w:val="Normal"/>
    <w:next w:val="Normal"/>
    <w:link w:val="Heading6Char"/>
    <w:uiPriority w:val="9"/>
    <w:semiHidden/>
    <w:unhideWhenUsed/>
    <w:qFormat/>
    <w:rsid w:val="004226FE"/>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4226FE"/>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4226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26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226FE"/>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4226FE"/>
    <w:rPr>
      <w:color w:val="FFFFFF" w:themeColor="background1"/>
    </w:rPr>
  </w:style>
  <w:style w:type="paragraph" w:customStyle="1" w:styleId="Bullet">
    <w:name w:val="Bullet"/>
    <w:basedOn w:val="BodyText"/>
    <w:autoRedefine/>
    <w:qFormat/>
    <w:rsid w:val="00EA43FE"/>
    <w:pPr>
      <w:numPr>
        <w:numId w:val="34"/>
      </w:numPr>
      <w:tabs>
        <w:tab w:val="left" w:pos="425"/>
      </w:tabs>
      <w:spacing w:before="60" w:after="60"/>
      <w:ind w:left="357" w:hanging="357"/>
      <w:contextualSpacing/>
    </w:pPr>
    <w:rPr>
      <w:rFonts w:eastAsia="Times New Roman"/>
      <w:color w:val="231F20"/>
      <w:kern w:val="22"/>
      <w:lang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226FE"/>
    <w:pPr>
      <w:numPr>
        <w:numId w:val="32"/>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226FE"/>
    <w:pPr>
      <w:numPr>
        <w:numId w:val="33"/>
      </w:numPr>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4226FE"/>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4226FE"/>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4226FE"/>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4226FE"/>
    <w:pPr>
      <w:spacing w:after="0"/>
      <w:ind w:left="4252"/>
    </w:pPr>
  </w:style>
  <w:style w:type="character" w:customStyle="1" w:styleId="SignatureChar">
    <w:name w:val="Signature Char"/>
    <w:basedOn w:val="DefaultParagraphFont"/>
    <w:link w:val="Signature"/>
    <w:uiPriority w:val="99"/>
    <w:semiHidden/>
    <w:rsid w:val="004226FE"/>
  </w:style>
  <w:style w:type="paragraph" w:styleId="Subtitle">
    <w:name w:val="Subtitle"/>
    <w:basedOn w:val="Normal"/>
    <w:next w:val="Normal"/>
    <w:link w:val="SubtitleChar"/>
    <w:uiPriority w:val="11"/>
    <w:semiHidden/>
    <w:qFormat/>
    <w:rsid w:val="004226F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4226F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226FE"/>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4226FE"/>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4226FE"/>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4226FE"/>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4226FE"/>
    <w:rPr>
      <w:rFonts w:ascii="Arial" w:hAnsi="Arial" w:cs="Arial"/>
      <w:color w:val="0F7EB4"/>
      <w:sz w:val="32"/>
      <w:szCs w:val="24"/>
      <w:lang w:val="en-AU"/>
    </w:rPr>
  </w:style>
  <w:style w:type="character" w:customStyle="1" w:styleId="Heading6Char">
    <w:name w:val="Heading 6 Char"/>
    <w:basedOn w:val="DefaultParagraphFont"/>
    <w:link w:val="Heading6"/>
    <w:uiPriority w:val="9"/>
    <w:semiHidden/>
    <w:rsid w:val="004226FE"/>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4226FE"/>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4226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26F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table" w:customStyle="1" w:styleId="VCAATableClosed">
    <w:name w:val="VCAA Table Closed"/>
    <w:basedOn w:val="TableNormal"/>
    <w:uiPriority w:val="99"/>
    <w:rsid w:val="00BD05F6"/>
    <w:pPr>
      <w:spacing w:before="40" w:after="0" w:line="240" w:lineRule="auto"/>
    </w:pPr>
    <w:rPr>
      <w:rFonts w:ascii="Arial Narrow" w:eastAsia="Arial" w:hAnsi="Arial Narrow" w:cs="Times New Roman"/>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Segoe UI" w:hAnsi="Segoe UI" w:hint="default"/>
        <w:b/>
        <w:color w:val="FFFFFF" w:themeColor="background1"/>
        <w:sz w:val="22"/>
        <w:szCs w:val="22"/>
      </w:rPr>
      <w:tblPr/>
      <w:tcPr>
        <w:tcBorders>
          <w:insideV w:val="single" w:sz="4" w:space="0" w:color="FFFFFF" w:themeColor="background1"/>
        </w:tcBorders>
        <w:shd w:val="clear" w:color="auto" w:fill="0F7EB4"/>
      </w:tcPr>
    </w:tblStylePr>
  </w:style>
  <w:style w:type="paragraph" w:customStyle="1" w:styleId="VCAAHeading3">
    <w:name w:val="VCAA Heading 3"/>
    <w:next w:val="Normal"/>
    <w:qFormat/>
    <w:rsid w:val="00A56D26"/>
    <w:pPr>
      <w:spacing w:before="320" w:after="120" w:line="400" w:lineRule="exact"/>
      <w:outlineLvl w:val="3"/>
    </w:pPr>
    <w:rPr>
      <w:rFonts w:ascii="Arial" w:eastAsia="Arial" w:hAnsi="Arial" w:cs="Arial"/>
      <w:color w:val="0F7EB4"/>
      <w:sz w:val="32"/>
      <w:szCs w:val="24"/>
    </w:rPr>
  </w:style>
  <w:style w:type="table" w:customStyle="1" w:styleId="VCAATableClosed1">
    <w:name w:val="VCAA Table Closed1"/>
    <w:basedOn w:val="TableNormal"/>
    <w:uiPriority w:val="99"/>
    <w:rsid w:val="00D8449D"/>
    <w:pPr>
      <w:spacing w:before="40" w:after="0" w:line="240" w:lineRule="auto"/>
    </w:pPr>
    <w:rPr>
      <w:rFonts w:ascii="Arial Narrow" w:eastAsia="Arial" w:hAnsi="Arial Narrow" w:cs="Times New Roman"/>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character" w:customStyle="1" w:styleId="ListParagraphChar">
    <w:name w:val="List Paragraph Char"/>
    <w:link w:val="ListParagraph"/>
    <w:uiPriority w:val="34"/>
    <w:locked/>
    <w:rsid w:val="00514701"/>
  </w:style>
  <w:style w:type="paragraph" w:styleId="Revision">
    <w:name w:val="Revision"/>
    <w:hidden/>
    <w:uiPriority w:val="99"/>
    <w:semiHidden/>
    <w:rsid w:val="005344B9"/>
    <w:pPr>
      <w:spacing w:after="0" w:line="240" w:lineRule="auto"/>
    </w:pPr>
  </w:style>
  <w:style w:type="character" w:styleId="CommentReference">
    <w:name w:val="annotation reference"/>
    <w:basedOn w:val="DefaultParagraphFont"/>
    <w:uiPriority w:val="99"/>
    <w:semiHidden/>
    <w:unhideWhenUsed/>
    <w:rsid w:val="005344B9"/>
    <w:rPr>
      <w:sz w:val="16"/>
      <w:szCs w:val="16"/>
    </w:rPr>
  </w:style>
  <w:style w:type="paragraph" w:customStyle="1" w:styleId="studentresponse">
    <w:name w:val="student response"/>
    <w:basedOn w:val="Normal"/>
    <w:qFormat/>
    <w:rsid w:val="004226FE"/>
    <w:pPr>
      <w:spacing w:before="120" w:after="120" w:line="280" w:lineRule="exact"/>
      <w:ind w:left="284"/>
    </w:pPr>
    <w:rPr>
      <w:rFonts w:ascii="Arial" w:hAnsi="Arial" w:cs="Arial"/>
      <w:i/>
      <w:iCs/>
      <w:color w:val="000000" w:themeColor="text1"/>
      <w:sz w:val="20"/>
      <w:lang w:val="en-AU"/>
    </w:rPr>
  </w:style>
  <w:style w:type="character" w:customStyle="1" w:styleId="Italic">
    <w:name w:val="Italic"/>
    <w:rsid w:val="004226FE"/>
    <w:rPr>
      <w:i/>
      <w:iCs/>
    </w:rPr>
  </w:style>
  <w:style w:type="character" w:customStyle="1" w:styleId="bolditalic">
    <w:name w:val="bold italic"/>
    <w:uiPriority w:val="1"/>
    <w:qFormat/>
    <w:rsid w:val="004226FE"/>
    <w:rPr>
      <w:b/>
      <w:i/>
    </w:rPr>
  </w:style>
  <w:style w:type="paragraph" w:customStyle="1" w:styleId="Head2">
    <w:name w:val="Head 2"/>
    <w:basedOn w:val="Heading2"/>
    <w:qFormat/>
    <w:rsid w:val="00EA4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sociology/soci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4123</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Sociology external assessment report</dc:title>
  <dc:subject/>
  <dc:creator/>
  <cp:keywords/>
  <dc:description/>
  <cp:lastModifiedBy/>
  <cp:revision>1</cp:revision>
  <dcterms:created xsi:type="dcterms:W3CDTF">2026-05-15T05:18:00Z</dcterms:created>
  <dcterms:modified xsi:type="dcterms:W3CDTF">2026-05-15T05:18:00Z</dcterms:modified>
</cp:coreProperties>
</file>