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651C" w14:textId="2C4C746B" w:rsidR="00B52369" w:rsidRDefault="009D1C0D" w:rsidP="00B52369">
      <w:pPr>
        <w:pStyle w:val="VCAADocumenttitle"/>
        <w:spacing w:after="0"/>
      </w:pPr>
      <w:r>
        <w:t xml:space="preserve">VCE </w:t>
      </w:r>
      <w:r w:rsidR="00B52369">
        <w:t xml:space="preserve">Latin </w:t>
      </w:r>
      <w:r>
        <w:t>Prescribed Text</w:t>
      </w:r>
    </w:p>
    <w:p w14:paraId="5F89909B" w14:textId="132C6B12" w:rsidR="00F4525C" w:rsidRDefault="009D1C0D" w:rsidP="00B52369">
      <w:pPr>
        <w:pStyle w:val="VCAADocumenttitle"/>
        <w:spacing w:before="0"/>
      </w:pPr>
      <w:r>
        <w:t>202</w:t>
      </w:r>
      <w:r w:rsidR="00734368">
        <w:t>7</w:t>
      </w:r>
      <w:r w:rsidR="002E1ECB">
        <w:softHyphen/>
      </w:r>
      <w:r w:rsidR="002E1ECB">
        <w:softHyphen/>
      </w:r>
      <w:r w:rsidR="002E1ECB">
        <w:softHyphen/>
      </w:r>
      <w:r w:rsidR="002E1ECB">
        <w:softHyphen/>
      </w:r>
      <w:r w:rsidR="002E1ECB">
        <w:softHyphen/>
      </w:r>
      <w:r w:rsidR="002E1ECB">
        <w:softHyphen/>
      </w:r>
      <w:r w:rsidR="002E1ECB">
        <w:softHyphen/>
        <w:t xml:space="preserve"> </w:t>
      </w:r>
      <w:r w:rsidR="002E1ECB">
        <w:softHyphen/>
      </w:r>
      <w:r w:rsidR="002E1ECB" w:rsidRPr="002E1ECB">
        <w:t>–</w:t>
      </w:r>
      <w:r>
        <w:t xml:space="preserve"> </w:t>
      </w:r>
      <w:r w:rsidR="00AF7403">
        <w:t>202</w:t>
      </w:r>
      <w:r w:rsidR="00734368">
        <w:t>9</w:t>
      </w:r>
    </w:p>
    <w:p w14:paraId="3B7D6CFD" w14:textId="1DE4498A" w:rsidR="009D1C0D" w:rsidRPr="00823962" w:rsidRDefault="00B52369" w:rsidP="009D1C0D">
      <w:pPr>
        <w:pStyle w:val="VCAAHeading2"/>
      </w:pPr>
      <w:bookmarkStart w:id="0" w:name="TemplateOverview"/>
      <w:bookmarkEnd w:id="0"/>
      <w:r>
        <w:t>Prescribed lines</w:t>
      </w:r>
    </w:p>
    <w:p w14:paraId="7844E8EE" w14:textId="77777777" w:rsidR="000051D6" w:rsidRDefault="000051D6" w:rsidP="000051D6">
      <w:pPr>
        <w:pStyle w:val="VCAAHeading2"/>
        <w:spacing w:line="360" w:lineRule="auto"/>
        <w:rPr>
          <w:rFonts w:eastAsia="Times New Roman"/>
          <w:color w:val="auto"/>
          <w:kern w:val="22"/>
          <w:sz w:val="20"/>
          <w:szCs w:val="22"/>
          <w:lang w:val="en-AU" w:eastAsia="ja-JP"/>
        </w:rPr>
      </w:pPr>
    </w:p>
    <w:p w14:paraId="6C662AEB" w14:textId="646E5878" w:rsidR="00B52369" w:rsidRPr="00B52369" w:rsidRDefault="00B52369" w:rsidP="000051D6">
      <w:pPr>
        <w:pStyle w:val="VCAAHeading2"/>
        <w:spacing w:line="360" w:lineRule="auto"/>
        <w:rPr>
          <w:rFonts w:eastAsia="Times New Roman"/>
          <w:color w:val="auto"/>
          <w:kern w:val="22"/>
          <w:sz w:val="20"/>
          <w:szCs w:val="22"/>
          <w:lang w:val="en-AU" w:eastAsia="ja-JP"/>
        </w:rPr>
      </w:pPr>
      <w:r w:rsidRPr="00B52369">
        <w:rPr>
          <w:rFonts w:eastAsia="Times New Roman"/>
          <w:color w:val="auto"/>
          <w:kern w:val="22"/>
          <w:sz w:val="20"/>
          <w:szCs w:val="22"/>
          <w:lang w:val="en-AU" w:eastAsia="ja-JP"/>
        </w:rPr>
        <w:t>For 202</w:t>
      </w:r>
      <w:r>
        <w:rPr>
          <w:rFonts w:eastAsia="Times New Roman"/>
          <w:color w:val="auto"/>
          <w:kern w:val="22"/>
          <w:sz w:val="20"/>
          <w:szCs w:val="22"/>
          <w:lang w:val="en-AU" w:eastAsia="ja-JP"/>
        </w:rPr>
        <w:t>7</w:t>
      </w:r>
      <w:r w:rsidRPr="00B52369">
        <w:rPr>
          <w:rFonts w:eastAsia="Times New Roman"/>
          <w:color w:val="auto"/>
          <w:kern w:val="22"/>
          <w:sz w:val="20"/>
          <w:szCs w:val="22"/>
          <w:lang w:val="en-AU" w:eastAsia="ja-JP"/>
        </w:rPr>
        <w:t>–202</w:t>
      </w:r>
      <w:r>
        <w:rPr>
          <w:rFonts w:eastAsia="Times New Roman"/>
          <w:color w:val="auto"/>
          <w:kern w:val="22"/>
          <w:sz w:val="20"/>
          <w:szCs w:val="22"/>
          <w:lang w:val="en-AU" w:eastAsia="ja-JP"/>
        </w:rPr>
        <w:t>9</w:t>
      </w:r>
      <w:r w:rsidRPr="00B52369">
        <w:rPr>
          <w:rFonts w:eastAsia="Times New Roman"/>
          <w:color w:val="auto"/>
          <w:kern w:val="22"/>
          <w:sz w:val="20"/>
          <w:szCs w:val="22"/>
          <w:lang w:val="en-AU" w:eastAsia="ja-JP"/>
        </w:rPr>
        <w:t>, the following lines are prescribed for study in VCE Latin Unit 4, and for Section 2 of the end-of-year examination.</w:t>
      </w:r>
      <w:r w:rsidR="0068158B" w:rsidRPr="0068158B">
        <w:rPr>
          <w:rFonts w:eastAsia="Times New Roman"/>
          <w:color w:val="auto"/>
          <w:kern w:val="22"/>
          <w:sz w:val="20"/>
          <w:szCs w:val="22"/>
          <w:lang w:val="en-AU" w:eastAsia="ja-JP"/>
        </w:rPr>
        <w:t xml:space="preserve"> </w:t>
      </w:r>
      <w:r w:rsidR="001E172E">
        <w:rPr>
          <w:rFonts w:eastAsia="Times New Roman"/>
          <w:color w:val="auto"/>
          <w:kern w:val="22"/>
          <w:sz w:val="20"/>
          <w:szCs w:val="22"/>
          <w:lang w:val="en-AU" w:eastAsia="ja-JP"/>
        </w:rPr>
        <w:t xml:space="preserve"> </w:t>
      </w:r>
    </w:p>
    <w:p w14:paraId="0426B11F" w14:textId="7A8DF3B8" w:rsidR="000051D6" w:rsidRPr="000051D6" w:rsidRDefault="000051D6" w:rsidP="002E1ECB">
      <w:pPr>
        <w:pStyle w:val="VCAAHeading2"/>
        <w:tabs>
          <w:tab w:val="left" w:pos="8640"/>
        </w:tabs>
        <w:spacing w:after="0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 xml:space="preserve">Unit 4, 2027: Virgil Aeneid XII </w:t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 xml:space="preserve">   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 xml:space="preserve">Prescribed lines: 1–160; 793–952 </w:t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ab/>
      </w:r>
    </w:p>
    <w:p w14:paraId="5B659F71" w14:textId="5617B1D0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 xml:space="preserve">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>1 – 160 (‘</w:t>
      </w:r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Turnus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ut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infractos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turbatam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vulnere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mentis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64A2A032" w14:textId="660D66EE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 xml:space="preserve">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>793 - 952 (‘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quae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iam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finis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indignata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sub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umbras</w:t>
      </w:r>
      <w:proofErr w:type="spellEnd"/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4DE87874" w14:textId="77777777" w:rsidR="000051D6" w:rsidRPr="000051D6" w:rsidRDefault="000051D6" w:rsidP="000051D6">
      <w:pPr>
        <w:pStyle w:val="VCAAHeading2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 xml:space="preserve">Unit 4, 2028: Virgil Aeneid II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  <w:t>Prescribed lines: 199–317; 594–795</w:t>
      </w:r>
    </w:p>
    <w:p w14:paraId="6A61CF42" w14:textId="46EA79B8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 xml:space="preserve">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>199 – 317 (‘</w:t>
      </w:r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Hic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aliud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maius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succurrit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in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armis</w:t>
      </w:r>
      <w:proofErr w:type="spellEnd"/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4558FE01" w14:textId="79955FBF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 xml:space="preserve">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>594 - 795 (‘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nate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, quis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indomitas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consumpta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nocte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reviso</w:t>
      </w:r>
      <w:proofErr w:type="spellEnd"/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02153CD7" w14:textId="77777777" w:rsidR="000051D6" w:rsidRPr="000051D6" w:rsidRDefault="000051D6" w:rsidP="000051D6">
      <w:pPr>
        <w:pStyle w:val="VCAAHeading2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 xml:space="preserve">Unit 4, 2029: Virgil Aeneid IV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  <w:t>Prescribed lines: 54–128; 160–197; 296–387; 584-705</w:t>
      </w:r>
    </w:p>
    <w:p w14:paraId="03CBBABB" w14:textId="77777777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  <w:t xml:space="preserve"> 54 – 128 (‘</w:t>
      </w:r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His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dictis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impenso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risit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Cytherea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repertis</w:t>
      </w:r>
      <w:proofErr w:type="spellEnd"/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39C75B5F" w14:textId="72130FF1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 xml:space="preserve">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>160-197 (‘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Interea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magno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misceri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atque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aggerate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iras</w:t>
      </w:r>
      <w:proofErr w:type="spellEnd"/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30092844" w14:textId="77777777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  <w:t xml:space="preserve"> 296-387 (‘</w:t>
      </w:r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At regina dolos…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fama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sub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imos</w:t>
      </w:r>
      <w:proofErr w:type="spellEnd"/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6A5A7E4F" w14:textId="60577FE5" w:rsidR="000051D6" w:rsidRPr="000051D6" w:rsidRDefault="000051D6" w:rsidP="000051D6">
      <w:pPr>
        <w:pStyle w:val="VCAAHeading2"/>
        <w:spacing w:before="0" w:after="0" w:line="240" w:lineRule="exact"/>
        <w:ind w:left="2835" w:hanging="2835"/>
        <w:rPr>
          <w:rFonts w:eastAsia="Times New Roman"/>
          <w:color w:val="auto"/>
          <w:kern w:val="22"/>
          <w:sz w:val="20"/>
          <w:lang w:val="en-AU" w:eastAsia="ja-JP"/>
        </w:rPr>
      </w:pPr>
      <w:r w:rsidRPr="000051D6">
        <w:rPr>
          <w:rFonts w:eastAsia="Times New Roman"/>
          <w:color w:val="auto"/>
          <w:kern w:val="22"/>
          <w:sz w:val="20"/>
          <w:lang w:val="en-AU" w:eastAsia="ja-JP"/>
        </w:rPr>
        <w:tab/>
      </w:r>
      <w:r w:rsidR="002E1ECB">
        <w:rPr>
          <w:rFonts w:eastAsia="Times New Roman"/>
          <w:color w:val="auto"/>
          <w:kern w:val="22"/>
          <w:sz w:val="20"/>
          <w:lang w:val="en-AU" w:eastAsia="ja-JP"/>
        </w:rPr>
        <w:t xml:space="preserve"> </w:t>
      </w:r>
      <w:r w:rsidRPr="000051D6">
        <w:rPr>
          <w:rFonts w:eastAsia="Times New Roman"/>
          <w:color w:val="auto"/>
          <w:kern w:val="22"/>
          <w:sz w:val="20"/>
          <w:lang w:val="en-AU" w:eastAsia="ja-JP"/>
        </w:rPr>
        <w:t>584-705 (‘</w:t>
      </w:r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Et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iam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prima…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ventos</w:t>
      </w:r>
      <w:proofErr w:type="spellEnd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 xml:space="preserve"> vita </w:t>
      </w:r>
      <w:proofErr w:type="spellStart"/>
      <w:r w:rsidRPr="000051D6">
        <w:rPr>
          <w:rFonts w:eastAsia="Times New Roman"/>
          <w:i/>
          <w:iCs/>
          <w:color w:val="auto"/>
          <w:kern w:val="22"/>
          <w:sz w:val="20"/>
          <w:lang w:val="en-AU" w:eastAsia="ja-JP"/>
        </w:rPr>
        <w:t>recessit</w:t>
      </w:r>
      <w:proofErr w:type="spellEnd"/>
      <w:r w:rsidRPr="000051D6">
        <w:rPr>
          <w:rFonts w:eastAsia="Times New Roman"/>
          <w:color w:val="auto"/>
          <w:kern w:val="22"/>
          <w:sz w:val="20"/>
          <w:lang w:val="en-AU" w:eastAsia="ja-JP"/>
        </w:rPr>
        <w:t>.’)</w:t>
      </w:r>
    </w:p>
    <w:p w14:paraId="2CAFE814" w14:textId="4510E2BB" w:rsidR="0068158B" w:rsidRDefault="009E1E47" w:rsidP="009E1E47">
      <w:pPr>
        <w:tabs>
          <w:tab w:val="left" w:pos="3382"/>
        </w:tabs>
      </w:pPr>
      <w:r>
        <w:tab/>
      </w:r>
    </w:p>
    <w:p w14:paraId="7350203A" w14:textId="77777777" w:rsidR="0068158B" w:rsidRPr="0068158B" w:rsidRDefault="0068158B" w:rsidP="0068158B">
      <w:pPr>
        <w:pStyle w:val="VCAAHeading2"/>
        <w:rPr>
          <w:lang w:val="en-AU"/>
        </w:rPr>
      </w:pPr>
      <w:r w:rsidRPr="0068158B">
        <w:rPr>
          <w:lang w:val="en-AU"/>
        </w:rPr>
        <w:t>Editions used in examinations</w:t>
      </w:r>
    </w:p>
    <w:p w14:paraId="16946D85" w14:textId="77777777" w:rsidR="0068158B" w:rsidRDefault="0068158B" w:rsidP="0068158B">
      <w:pPr>
        <w:pStyle w:val="VCAAHeading2"/>
        <w:spacing w:before="0" w:after="0" w:line="240" w:lineRule="auto"/>
        <w:rPr>
          <w:rFonts w:eastAsia="Times New Roman"/>
          <w:color w:val="auto"/>
          <w:kern w:val="22"/>
          <w:sz w:val="20"/>
          <w:szCs w:val="22"/>
          <w:lang w:val="en-AU" w:eastAsia="ja-JP"/>
        </w:rPr>
      </w:pPr>
    </w:p>
    <w:p w14:paraId="52E594E7" w14:textId="7C9E8C8C" w:rsidR="007853F8" w:rsidRDefault="007853F8" w:rsidP="007853F8">
      <w:pPr>
        <w:rPr>
          <w:rFonts w:ascii="Arial" w:hAnsi="Arial" w:cs="Arial"/>
          <w:color w:val="000000" w:themeColor="text1"/>
          <w:sz w:val="20"/>
          <w:lang w:val="en-AU"/>
        </w:rPr>
      </w:pPr>
      <w:r w:rsidRPr="007853F8">
        <w:rPr>
          <w:rFonts w:ascii="Arial" w:hAnsi="Arial" w:cs="Arial"/>
          <w:color w:val="000000" w:themeColor="text1"/>
          <w:sz w:val="20"/>
          <w:lang w:val="en-AU"/>
        </w:rPr>
        <w:t xml:space="preserve">The following is the edition of the </w:t>
      </w:r>
      <w:r w:rsidRPr="007853F8">
        <w:rPr>
          <w:rFonts w:ascii="Arial" w:hAnsi="Arial" w:cs="Arial"/>
          <w:i/>
          <w:iCs/>
          <w:color w:val="000000" w:themeColor="text1"/>
          <w:sz w:val="20"/>
          <w:lang w:val="en-AU"/>
        </w:rPr>
        <w:t>Aeneid</w:t>
      </w:r>
      <w:r w:rsidRPr="007853F8">
        <w:rPr>
          <w:rFonts w:ascii="Arial" w:hAnsi="Arial" w:cs="Arial"/>
          <w:color w:val="000000" w:themeColor="text1"/>
          <w:sz w:val="20"/>
          <w:lang w:val="en-AU"/>
        </w:rPr>
        <w:t xml:space="preserve"> from which extracts from the prescribed lines will be taken for the end-of-the-year examination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>,</w:t>
      </w:r>
      <w:r w:rsidR="0016641F" w:rsidRPr="0016641F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 xml:space="preserve">with the exception that 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 xml:space="preserve">the 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>consonantal</w:t>
      </w:r>
      <w:r w:rsidR="0016641F" w:rsidRPr="00635E29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u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 xml:space="preserve"> will be printed as a </w:t>
      </w:r>
      <w:r w:rsidR="0016641F" w:rsidRPr="00635E29">
        <w:rPr>
          <w:rFonts w:ascii="Arial" w:hAnsi="Arial" w:cs="Arial"/>
          <w:i/>
          <w:iCs/>
          <w:color w:val="000000" w:themeColor="text1"/>
          <w:sz w:val="20"/>
          <w:lang w:val="en-AU"/>
        </w:rPr>
        <w:t>v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 xml:space="preserve">, and 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 xml:space="preserve">the 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>3rd declension acc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>usative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 xml:space="preserve"> pl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>ural</w:t>
      </w:r>
      <w:r w:rsidR="0016641F" w:rsidRPr="00635E29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>-</w:t>
      </w:r>
      <w:r w:rsidR="0016641F" w:rsidRPr="00635E29">
        <w:rPr>
          <w:rFonts w:ascii="Arial" w:hAnsi="Arial" w:cs="Arial"/>
          <w:i/>
          <w:iCs/>
          <w:color w:val="000000" w:themeColor="text1"/>
          <w:sz w:val="20"/>
          <w:lang w:val="en-AU"/>
        </w:rPr>
        <w:t>is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 xml:space="preserve"> will be 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>printed as</w:t>
      </w:r>
      <w:r w:rsidR="0016641F" w:rsidRPr="002611B6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 w:rsidR="0016641F" w:rsidRPr="00635E29">
        <w:rPr>
          <w:rFonts w:ascii="Arial" w:hAnsi="Arial" w:cs="Arial"/>
          <w:i/>
          <w:iCs/>
          <w:color w:val="000000" w:themeColor="text1"/>
          <w:sz w:val="20"/>
          <w:lang w:val="en-AU"/>
        </w:rPr>
        <w:t>-es</w:t>
      </w:r>
      <w:r w:rsidR="0016641F"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1213FEF2" w14:textId="77777777" w:rsidR="007853F8" w:rsidRPr="007853F8" w:rsidRDefault="007853F8" w:rsidP="007853F8">
      <w:pPr>
        <w:rPr>
          <w:rFonts w:ascii="Arial" w:hAnsi="Arial" w:cs="Arial"/>
          <w:color w:val="000000" w:themeColor="text1"/>
          <w:sz w:val="20"/>
          <w:lang w:val="en-AU"/>
        </w:rPr>
      </w:pPr>
    </w:p>
    <w:p w14:paraId="117E7C15" w14:textId="433AF7A9" w:rsidR="0068158B" w:rsidRDefault="0068158B" w:rsidP="0068158B">
      <w:pPr>
        <w:ind w:firstLine="720"/>
        <w:rPr>
          <w:rFonts w:ascii="Arial" w:hAnsi="Arial" w:cs="Arial"/>
          <w:color w:val="000000" w:themeColor="text1"/>
          <w:sz w:val="20"/>
          <w:lang w:val="en-AU"/>
        </w:rPr>
      </w:pPr>
      <w:r w:rsidRPr="0068158B">
        <w:rPr>
          <w:rFonts w:ascii="Arial" w:hAnsi="Arial" w:cs="Arial"/>
          <w:color w:val="000000" w:themeColor="text1"/>
          <w:sz w:val="20"/>
          <w:lang w:val="en-AU"/>
        </w:rPr>
        <w:t xml:space="preserve"> Virgil, </w:t>
      </w:r>
      <w:r w:rsidR="00AE27C3">
        <w:rPr>
          <w:rFonts w:ascii="Arial" w:hAnsi="Arial" w:cs="Arial"/>
          <w:color w:val="000000" w:themeColor="text1"/>
          <w:sz w:val="20"/>
          <w:lang w:val="en-AU"/>
        </w:rPr>
        <w:t xml:space="preserve">P. </w:t>
      </w:r>
      <w:r w:rsidRPr="00C22B74">
        <w:rPr>
          <w:rFonts w:ascii="Arial" w:hAnsi="Arial" w:cs="Arial"/>
          <w:i/>
          <w:iCs/>
          <w:color w:val="000000" w:themeColor="text1"/>
          <w:sz w:val="20"/>
          <w:lang w:val="en-AU"/>
        </w:rPr>
        <w:t>Virgil</w:t>
      </w:r>
      <w:r w:rsidR="00AE27C3" w:rsidRPr="00C22B74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i </w:t>
      </w:r>
      <w:proofErr w:type="spellStart"/>
      <w:r w:rsidR="00AE27C3" w:rsidRPr="00C22B74">
        <w:rPr>
          <w:rFonts w:ascii="Arial" w:hAnsi="Arial" w:cs="Arial"/>
          <w:i/>
          <w:iCs/>
          <w:color w:val="000000" w:themeColor="text1"/>
          <w:sz w:val="20"/>
          <w:lang w:val="en-AU"/>
        </w:rPr>
        <w:t>Maronis</w:t>
      </w:r>
      <w:proofErr w:type="spellEnd"/>
      <w:r w:rsidRPr="00C22B74">
        <w:rPr>
          <w:rFonts w:ascii="Arial" w:hAnsi="Arial" w:cs="Arial"/>
          <w:i/>
          <w:iCs/>
          <w:color w:val="000000" w:themeColor="text1"/>
          <w:sz w:val="20"/>
          <w:lang w:val="en-AU"/>
        </w:rPr>
        <w:t xml:space="preserve"> Opera</w:t>
      </w:r>
      <w:r w:rsidRPr="0068158B">
        <w:rPr>
          <w:rFonts w:ascii="Arial" w:hAnsi="Arial" w:cs="Arial"/>
          <w:color w:val="000000" w:themeColor="text1"/>
          <w:sz w:val="20"/>
          <w:lang w:val="en-AU"/>
        </w:rPr>
        <w:t>, Edited by Roger Mynors, Oxford University Press, 1969</w:t>
      </w:r>
    </w:p>
    <w:p w14:paraId="2535D57E" w14:textId="77777777" w:rsidR="003609EF" w:rsidRPr="008D6B4A" w:rsidRDefault="003609EF" w:rsidP="003609EF">
      <w:pPr>
        <w:ind w:left="1440" w:firstLine="7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b/>
          <w:bCs/>
          <w:color w:val="000000" w:themeColor="text1"/>
          <w:sz w:val="20"/>
          <w:lang w:val="en-AU"/>
        </w:rPr>
        <w:t>I</w:t>
      </w:r>
      <w:r w:rsidRPr="008D6B4A">
        <w:rPr>
          <w:rFonts w:ascii="Arial" w:hAnsi="Arial" w:cs="Arial"/>
          <w:b/>
          <w:bCs/>
          <w:color w:val="000000" w:themeColor="text1"/>
          <w:sz w:val="20"/>
          <w:lang w:val="en-AU"/>
        </w:rPr>
        <w:t>SBN: </w:t>
      </w:r>
      <w:r w:rsidRPr="008D6B4A">
        <w:rPr>
          <w:rFonts w:ascii="Arial" w:hAnsi="Arial" w:cs="Arial"/>
          <w:color w:val="000000" w:themeColor="text1"/>
          <w:sz w:val="20"/>
          <w:lang w:val="en-AU"/>
        </w:rPr>
        <w:t>9780198146537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>
        <w:rPr>
          <w:rFonts w:ascii="Arial" w:hAnsi="Arial" w:cs="Arial"/>
          <w:color w:val="000000" w:themeColor="text1"/>
          <w:sz w:val="20"/>
          <w:lang w:val="en-AU"/>
        </w:rPr>
        <w:tab/>
      </w:r>
      <w:r w:rsidRPr="008D6B4A">
        <w:rPr>
          <w:rFonts w:ascii="Arial" w:hAnsi="Arial" w:cs="Arial"/>
          <w:b/>
          <w:bCs/>
          <w:color w:val="000000" w:themeColor="text1"/>
          <w:sz w:val="20"/>
          <w:lang w:val="en-AU"/>
        </w:rPr>
        <w:t>EISBN: </w:t>
      </w:r>
      <w:r w:rsidRPr="008D6B4A">
        <w:rPr>
          <w:rFonts w:ascii="Arial" w:hAnsi="Arial" w:cs="Arial"/>
          <w:color w:val="000000" w:themeColor="text1"/>
          <w:sz w:val="20"/>
          <w:lang w:val="en-AU"/>
        </w:rPr>
        <w:t>9780191819117</w:t>
      </w:r>
    </w:p>
    <w:p w14:paraId="5FEECD46" w14:textId="77777777" w:rsidR="0073774B" w:rsidRPr="002C0B67" w:rsidRDefault="0073774B" w:rsidP="002C0B67">
      <w:pPr>
        <w:spacing w:after="0" w:line="240" w:lineRule="auto"/>
        <w:rPr>
          <w:rFonts w:ascii="Arial" w:hAnsi="Arial" w:cs="Arial"/>
          <w:color w:val="0F7EB4"/>
          <w:sz w:val="21"/>
          <w:szCs w:val="18"/>
        </w:rPr>
      </w:pPr>
    </w:p>
    <w:p w14:paraId="232ABB1E" w14:textId="5346D88F" w:rsidR="0068158B" w:rsidRPr="007853F8" w:rsidRDefault="0068158B" w:rsidP="0068158B">
      <w:pPr>
        <w:spacing w:after="0"/>
        <w:rPr>
          <w:rFonts w:ascii="Arial" w:hAnsi="Arial" w:cs="Arial"/>
          <w:color w:val="0F7EB4"/>
          <w:sz w:val="32"/>
          <w:szCs w:val="24"/>
        </w:rPr>
      </w:pPr>
      <w:r w:rsidRPr="007853F8">
        <w:rPr>
          <w:rFonts w:ascii="Arial" w:hAnsi="Arial" w:cs="Arial"/>
          <w:color w:val="0F7EB4"/>
          <w:sz w:val="32"/>
          <w:szCs w:val="24"/>
        </w:rPr>
        <w:t xml:space="preserve">Note: </w:t>
      </w:r>
    </w:p>
    <w:p w14:paraId="78FDBDD0" w14:textId="2A144AB6" w:rsidR="0068158B" w:rsidRPr="002E1ECB" w:rsidRDefault="0068158B" w:rsidP="002E1ECB">
      <w:pPr>
        <w:rPr>
          <w:rFonts w:ascii="Arial" w:hAnsi="Arial" w:cs="Arial"/>
          <w:color w:val="000000" w:themeColor="text1"/>
          <w:sz w:val="20"/>
          <w:lang w:val="en-AU"/>
        </w:rPr>
      </w:pPr>
      <w:r w:rsidRPr="002611B6">
        <w:rPr>
          <w:rFonts w:ascii="Arial" w:hAnsi="Arial" w:cs="Arial"/>
          <w:color w:val="000000" w:themeColor="text1"/>
          <w:sz w:val="20"/>
          <w:lang w:val="en-AU"/>
        </w:rPr>
        <w:t xml:space="preserve">This text is also available at </w:t>
      </w:r>
      <w:hyperlink r:id="rId12" w:history="1">
        <w:r w:rsidRPr="002B0AA4">
          <w:rPr>
            <w:rStyle w:val="Hyperlink"/>
            <w:rFonts w:ascii="Arial" w:hAnsi="Arial" w:cs="Arial"/>
            <w:sz w:val="20"/>
            <w:lang w:val="en-AU"/>
          </w:rPr>
          <w:t>https://latin.packhum.org</w:t>
        </w:r>
      </w:hyperlink>
      <w:r w:rsidR="007853F8">
        <w:t>.</w:t>
      </w:r>
      <w:r w:rsidRPr="002611B6">
        <w:rPr>
          <w:rFonts w:ascii="Arial" w:hAnsi="Arial" w:cs="Arial"/>
          <w:color w:val="000000" w:themeColor="text1"/>
          <w:sz w:val="20"/>
          <w:lang w:val="en-AU"/>
        </w:rPr>
        <w:t xml:space="preserve"> </w:t>
      </w:r>
    </w:p>
    <w:p w14:paraId="365D2726" w14:textId="5DBB575B" w:rsidR="009D1C0D" w:rsidRPr="0065735D" w:rsidRDefault="009D1C0D" w:rsidP="009D1C0D">
      <w:pPr>
        <w:pStyle w:val="VCAAHeading3"/>
      </w:pPr>
      <w:r w:rsidRPr="0065735D">
        <w:t xml:space="preserve">Suggested </w:t>
      </w:r>
      <w:r w:rsidR="00D34FF4">
        <w:t>additional texts</w:t>
      </w:r>
    </w:p>
    <w:p w14:paraId="18AB6FF1" w14:textId="3DE7C5D0" w:rsidR="00BE10FA" w:rsidRPr="00BA47E9" w:rsidRDefault="0016641F" w:rsidP="0068158B">
      <w:pPr>
        <w:pStyle w:val="VCAAbody"/>
        <w:spacing w:after="0"/>
        <w:rPr>
          <w:i/>
          <w:iCs/>
          <w:color w:val="7030A0"/>
          <w:sz w:val="22"/>
          <w:szCs w:val="28"/>
        </w:rPr>
      </w:pPr>
      <w:r w:rsidRPr="007853F8">
        <w:rPr>
          <w:lang w:val="en-AU"/>
        </w:rPr>
        <w:t>Teachers are advised to consult a range of commentaries.</w:t>
      </w:r>
      <w:r>
        <w:rPr>
          <w:lang w:val="en-AU"/>
        </w:rPr>
        <w:t xml:space="preserve"> </w:t>
      </w:r>
      <w:r w:rsidR="007D15B5" w:rsidRPr="002611B6">
        <w:rPr>
          <w:lang w:val="en-AU"/>
        </w:rPr>
        <w:t>Te</w:t>
      </w:r>
      <w:r w:rsidR="007D15B5">
        <w:rPr>
          <w:lang w:val="en-AU"/>
        </w:rPr>
        <w:t xml:space="preserve">achers can access further information about resources, texts and reference materials on the </w:t>
      </w:r>
      <w:hyperlink r:id="rId13" w:history="1">
        <w:r w:rsidR="007D15B5" w:rsidRPr="006B3FEF">
          <w:rPr>
            <w:rStyle w:val="Hyperlink"/>
            <w:lang w:val="en-AU"/>
          </w:rPr>
          <w:t>VCE Latin Resources page</w:t>
        </w:r>
      </w:hyperlink>
      <w:r w:rsidR="007D15B5">
        <w:rPr>
          <w:lang w:val="en-AU"/>
        </w:rPr>
        <w:t xml:space="preserve">, </w:t>
      </w:r>
      <w:r w:rsidR="006B3FEF">
        <w:rPr>
          <w:lang w:val="en-AU"/>
        </w:rPr>
        <w:t>accessible under the</w:t>
      </w:r>
      <w:r w:rsidR="007D15B5">
        <w:rPr>
          <w:lang w:val="en-AU"/>
        </w:rPr>
        <w:t xml:space="preserve"> </w:t>
      </w:r>
      <w:r w:rsidR="007D15B5" w:rsidRPr="006B3FEF">
        <w:rPr>
          <w:lang w:val="en-AU"/>
        </w:rPr>
        <w:t>‘</w:t>
      </w:r>
      <w:r>
        <w:rPr>
          <w:lang w:val="en-AU"/>
        </w:rPr>
        <w:t>Seen texts</w:t>
      </w:r>
      <w:r w:rsidR="007D15B5" w:rsidRPr="006B3FEF">
        <w:rPr>
          <w:lang w:val="en-AU"/>
        </w:rPr>
        <w:t>’</w:t>
      </w:r>
      <w:r w:rsidR="006B3FEF">
        <w:rPr>
          <w:lang w:val="en-AU"/>
        </w:rPr>
        <w:t xml:space="preserve"> tab.</w:t>
      </w:r>
    </w:p>
    <w:sectPr w:rsidR="00BE10FA" w:rsidRPr="00BA47E9" w:rsidSect="00B230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3176" w14:textId="77777777" w:rsidR="00D61CFD" w:rsidRDefault="00D61CFD" w:rsidP="00304EA1">
      <w:pPr>
        <w:spacing w:after="0" w:line="240" w:lineRule="auto"/>
      </w:pPr>
      <w:r>
        <w:separator/>
      </w:r>
    </w:p>
  </w:endnote>
  <w:endnote w:type="continuationSeparator" w:id="0">
    <w:p w14:paraId="2E4A0DA0" w14:textId="77777777" w:rsidR="00D61CFD" w:rsidRDefault="00D61CFD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A129" w14:textId="77777777" w:rsidR="00E8572F" w:rsidRDefault="00E85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D1C0D" w:rsidRPr="00D06414" w14:paraId="70565149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3274B5E8" w14:textId="77777777" w:rsidR="009D1C0D" w:rsidRPr="00D06414" w:rsidRDefault="009D1C0D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273541B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D6E6CF1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A794166" w14:textId="77777777" w:rsidR="009D1C0D" w:rsidRPr="00D06414" w:rsidRDefault="009D1C0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6192" behindDoc="1" locked="1" layoutInCell="1" allowOverlap="1" wp14:anchorId="47CB512B" wp14:editId="5DF5B563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9D1C0D" w:rsidRPr="00D06414" w14:paraId="3D405FCE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578D9074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6CEBA202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26B307D6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9A82B1D" w14:textId="77777777" w:rsidR="009D1C0D" w:rsidRPr="00D06414" w:rsidRDefault="009D1C0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0" behindDoc="1" locked="1" layoutInCell="1" allowOverlap="1" wp14:anchorId="2E1F2D98" wp14:editId="7D24E2E7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F86" w14:textId="77777777" w:rsidR="00D61CFD" w:rsidRDefault="00D61CFD" w:rsidP="00304EA1">
      <w:pPr>
        <w:spacing w:after="0" w:line="240" w:lineRule="auto"/>
      </w:pPr>
      <w:r>
        <w:separator/>
      </w:r>
    </w:p>
  </w:footnote>
  <w:footnote w:type="continuationSeparator" w:id="0">
    <w:p w14:paraId="3EEDB332" w14:textId="77777777" w:rsidR="00D61CFD" w:rsidRDefault="00D61CFD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0DE9" w14:textId="2966CEBA" w:rsidR="00E8572F" w:rsidRDefault="009E1E47">
    <w:pPr>
      <w:pStyle w:val="Header"/>
    </w:pPr>
    <w:r>
      <w:rPr>
        <w:noProof/>
      </w:rPr>
      <w:pict w14:anchorId="6D2B1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69188" o:spid="_x0000_s1027" type="#_x0000_t136" style="position:absolute;margin-left:0;margin-top:0;width:601.1pt;height:78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FOR 2027 USE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3F8A" w14:textId="59E4A485" w:rsidR="009D1C0D" w:rsidRPr="00D86DE4" w:rsidRDefault="009E1E47" w:rsidP="00D86DE4">
    <w:pPr>
      <w:pStyle w:val="VCAAcaptionsandfootnotes"/>
      <w:rPr>
        <w:color w:val="999999" w:themeColor="accent2"/>
      </w:rPr>
    </w:pPr>
    <w:r>
      <w:rPr>
        <w:noProof/>
      </w:rPr>
      <w:pict w14:anchorId="3C0D0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69189" o:spid="_x0000_s1028" type="#_x0000_t136" style="position:absolute;margin-left:0;margin-top:0;width:601.1pt;height:78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FOR 2027 USE ONLY"/>
        </v:shape>
      </w:pict>
    </w: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D1C0D">
          <w:rPr>
            <w:color w:val="999999" w:themeColor="accent2"/>
          </w:rPr>
          <w:t>VCE Chinese Language, Culture and Society Prescribed Texts 2020 to 2022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3D55" w14:textId="3CACE3B0" w:rsidR="009D1C0D" w:rsidRPr="009370BC" w:rsidRDefault="009E1E47" w:rsidP="00970580">
    <w:pPr>
      <w:spacing w:after="0"/>
      <w:ind w:right="-142"/>
      <w:jc w:val="right"/>
    </w:pPr>
    <w:r>
      <w:rPr>
        <w:noProof/>
      </w:rPr>
      <w:pict w14:anchorId="48F53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69187" o:spid="_x0000_s1026" type="#_x0000_t136" style="position:absolute;left:0;text-align:left;margin-left:0;margin-top:0;width:601.1pt;height:78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FOR 2027 USE ONLY"/>
        </v:shape>
      </w:pict>
    </w:r>
    <w:r w:rsidR="009D1C0D">
      <w:rPr>
        <w:noProof/>
        <w:lang w:val="en-AU" w:eastAsia="ja-JP"/>
      </w:rPr>
      <w:drawing>
        <wp:anchor distT="0" distB="0" distL="114300" distR="114300" simplePos="0" relativeHeight="251657216" behindDoc="1" locked="1" layoutInCell="1" allowOverlap="1" wp14:anchorId="363C7DD8" wp14:editId="49B48A01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789785864">
    <w:abstractNumId w:val="4"/>
  </w:num>
  <w:num w:numId="2" w16cid:durableId="2004624427">
    <w:abstractNumId w:val="2"/>
  </w:num>
  <w:num w:numId="3" w16cid:durableId="1996759109">
    <w:abstractNumId w:val="1"/>
  </w:num>
  <w:num w:numId="4" w16cid:durableId="462388216">
    <w:abstractNumId w:val="0"/>
  </w:num>
  <w:num w:numId="5" w16cid:durableId="333193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51D6"/>
    <w:rsid w:val="00043E53"/>
    <w:rsid w:val="00052B5B"/>
    <w:rsid w:val="0005780E"/>
    <w:rsid w:val="00065CC6"/>
    <w:rsid w:val="00067B67"/>
    <w:rsid w:val="000A71F7"/>
    <w:rsid w:val="000F09E4"/>
    <w:rsid w:val="000F16FD"/>
    <w:rsid w:val="000F5AAF"/>
    <w:rsid w:val="00143520"/>
    <w:rsid w:val="00153AD2"/>
    <w:rsid w:val="00162DB4"/>
    <w:rsid w:val="001648E5"/>
    <w:rsid w:val="0016641F"/>
    <w:rsid w:val="001722B4"/>
    <w:rsid w:val="001779EA"/>
    <w:rsid w:val="001A1357"/>
    <w:rsid w:val="001D3246"/>
    <w:rsid w:val="001E172E"/>
    <w:rsid w:val="001E4B5D"/>
    <w:rsid w:val="002279BA"/>
    <w:rsid w:val="002329F3"/>
    <w:rsid w:val="00243F0D"/>
    <w:rsid w:val="00260767"/>
    <w:rsid w:val="002647BB"/>
    <w:rsid w:val="002675CF"/>
    <w:rsid w:val="002754C1"/>
    <w:rsid w:val="002841C8"/>
    <w:rsid w:val="0028516B"/>
    <w:rsid w:val="00295D75"/>
    <w:rsid w:val="002B0D0B"/>
    <w:rsid w:val="002C0B67"/>
    <w:rsid w:val="002C6F90"/>
    <w:rsid w:val="002D0A07"/>
    <w:rsid w:val="002D45B5"/>
    <w:rsid w:val="002E1ECB"/>
    <w:rsid w:val="002E4FB5"/>
    <w:rsid w:val="002E5372"/>
    <w:rsid w:val="00302FB8"/>
    <w:rsid w:val="00304EA1"/>
    <w:rsid w:val="003120D3"/>
    <w:rsid w:val="00314D81"/>
    <w:rsid w:val="00322FC6"/>
    <w:rsid w:val="00334ABB"/>
    <w:rsid w:val="003377B6"/>
    <w:rsid w:val="00337C14"/>
    <w:rsid w:val="00343898"/>
    <w:rsid w:val="0035293F"/>
    <w:rsid w:val="00357C46"/>
    <w:rsid w:val="003609EF"/>
    <w:rsid w:val="00391986"/>
    <w:rsid w:val="003A00B4"/>
    <w:rsid w:val="003C5E71"/>
    <w:rsid w:val="003D552B"/>
    <w:rsid w:val="0040001C"/>
    <w:rsid w:val="004078CD"/>
    <w:rsid w:val="00416F2A"/>
    <w:rsid w:val="00417AA3"/>
    <w:rsid w:val="00425DFE"/>
    <w:rsid w:val="00434EDB"/>
    <w:rsid w:val="00440B32"/>
    <w:rsid w:val="004450EF"/>
    <w:rsid w:val="00457C52"/>
    <w:rsid w:val="0046078D"/>
    <w:rsid w:val="00462E5E"/>
    <w:rsid w:val="00470FF1"/>
    <w:rsid w:val="00483C26"/>
    <w:rsid w:val="00495C80"/>
    <w:rsid w:val="00495ED5"/>
    <w:rsid w:val="004A2ED8"/>
    <w:rsid w:val="004B598D"/>
    <w:rsid w:val="004C2C37"/>
    <w:rsid w:val="004F5BDA"/>
    <w:rsid w:val="0051631E"/>
    <w:rsid w:val="00537A1F"/>
    <w:rsid w:val="00566029"/>
    <w:rsid w:val="00574417"/>
    <w:rsid w:val="005923CB"/>
    <w:rsid w:val="00594084"/>
    <w:rsid w:val="005B391B"/>
    <w:rsid w:val="005B4685"/>
    <w:rsid w:val="005B513B"/>
    <w:rsid w:val="005D0346"/>
    <w:rsid w:val="005D3D78"/>
    <w:rsid w:val="005E2EF0"/>
    <w:rsid w:val="005F4092"/>
    <w:rsid w:val="005F5C7D"/>
    <w:rsid w:val="00624D7A"/>
    <w:rsid w:val="00632369"/>
    <w:rsid w:val="0064256F"/>
    <w:rsid w:val="00677979"/>
    <w:rsid w:val="0068158B"/>
    <w:rsid w:val="00682D3C"/>
    <w:rsid w:val="00683DE0"/>
    <w:rsid w:val="0068471E"/>
    <w:rsid w:val="00684F98"/>
    <w:rsid w:val="00693FFD"/>
    <w:rsid w:val="006B3FEF"/>
    <w:rsid w:val="006D2159"/>
    <w:rsid w:val="006D540D"/>
    <w:rsid w:val="006F787C"/>
    <w:rsid w:val="00702636"/>
    <w:rsid w:val="0072375B"/>
    <w:rsid w:val="00724507"/>
    <w:rsid w:val="00734368"/>
    <w:rsid w:val="0073774B"/>
    <w:rsid w:val="00773E6C"/>
    <w:rsid w:val="00780B8E"/>
    <w:rsid w:val="00781FB1"/>
    <w:rsid w:val="007853F8"/>
    <w:rsid w:val="007B0923"/>
    <w:rsid w:val="007B6A21"/>
    <w:rsid w:val="007D15B5"/>
    <w:rsid w:val="007D1B6D"/>
    <w:rsid w:val="007E7F89"/>
    <w:rsid w:val="007E7F9D"/>
    <w:rsid w:val="00813C37"/>
    <w:rsid w:val="008154B5"/>
    <w:rsid w:val="00823962"/>
    <w:rsid w:val="00850410"/>
    <w:rsid w:val="00851F4E"/>
    <w:rsid w:val="00852719"/>
    <w:rsid w:val="00855875"/>
    <w:rsid w:val="00860115"/>
    <w:rsid w:val="0088783C"/>
    <w:rsid w:val="00891750"/>
    <w:rsid w:val="009370BC"/>
    <w:rsid w:val="00970580"/>
    <w:rsid w:val="0098739B"/>
    <w:rsid w:val="009A066D"/>
    <w:rsid w:val="009B61E5"/>
    <w:rsid w:val="009D1C0D"/>
    <w:rsid w:val="009D1E89"/>
    <w:rsid w:val="009D27D6"/>
    <w:rsid w:val="009D4A69"/>
    <w:rsid w:val="009E1E47"/>
    <w:rsid w:val="009E5707"/>
    <w:rsid w:val="009F04BF"/>
    <w:rsid w:val="009F223E"/>
    <w:rsid w:val="00A012A3"/>
    <w:rsid w:val="00A14431"/>
    <w:rsid w:val="00A159A4"/>
    <w:rsid w:val="00A17661"/>
    <w:rsid w:val="00A24B2D"/>
    <w:rsid w:val="00A35845"/>
    <w:rsid w:val="00A40966"/>
    <w:rsid w:val="00A67FF6"/>
    <w:rsid w:val="00A748AA"/>
    <w:rsid w:val="00A921E0"/>
    <w:rsid w:val="00A922F4"/>
    <w:rsid w:val="00AE27C3"/>
    <w:rsid w:val="00AE5526"/>
    <w:rsid w:val="00AF051B"/>
    <w:rsid w:val="00AF7403"/>
    <w:rsid w:val="00B01578"/>
    <w:rsid w:val="00B040CA"/>
    <w:rsid w:val="00B0738F"/>
    <w:rsid w:val="00B13D3B"/>
    <w:rsid w:val="00B156D6"/>
    <w:rsid w:val="00B230DB"/>
    <w:rsid w:val="00B26601"/>
    <w:rsid w:val="00B41951"/>
    <w:rsid w:val="00B4797F"/>
    <w:rsid w:val="00B52369"/>
    <w:rsid w:val="00B53229"/>
    <w:rsid w:val="00B62480"/>
    <w:rsid w:val="00B6315B"/>
    <w:rsid w:val="00B8061A"/>
    <w:rsid w:val="00B81B70"/>
    <w:rsid w:val="00BA47E9"/>
    <w:rsid w:val="00BB3BAB"/>
    <w:rsid w:val="00BD0724"/>
    <w:rsid w:val="00BD2B91"/>
    <w:rsid w:val="00BE10FA"/>
    <w:rsid w:val="00BE5521"/>
    <w:rsid w:val="00BF6C23"/>
    <w:rsid w:val="00C13597"/>
    <w:rsid w:val="00C22B74"/>
    <w:rsid w:val="00C24B61"/>
    <w:rsid w:val="00C36E6B"/>
    <w:rsid w:val="00C53263"/>
    <w:rsid w:val="00C75F1D"/>
    <w:rsid w:val="00C95156"/>
    <w:rsid w:val="00CA0DC2"/>
    <w:rsid w:val="00CB68E8"/>
    <w:rsid w:val="00CF00F0"/>
    <w:rsid w:val="00D04F01"/>
    <w:rsid w:val="00D06414"/>
    <w:rsid w:val="00D105CD"/>
    <w:rsid w:val="00D2327B"/>
    <w:rsid w:val="00D24E5A"/>
    <w:rsid w:val="00D31BAF"/>
    <w:rsid w:val="00D32794"/>
    <w:rsid w:val="00D338E4"/>
    <w:rsid w:val="00D34FF4"/>
    <w:rsid w:val="00D51947"/>
    <w:rsid w:val="00D532F0"/>
    <w:rsid w:val="00D56E0F"/>
    <w:rsid w:val="00D61CFD"/>
    <w:rsid w:val="00D77192"/>
    <w:rsid w:val="00D77413"/>
    <w:rsid w:val="00D82759"/>
    <w:rsid w:val="00D86DE4"/>
    <w:rsid w:val="00DB526E"/>
    <w:rsid w:val="00DB55A8"/>
    <w:rsid w:val="00DC5994"/>
    <w:rsid w:val="00DE1909"/>
    <w:rsid w:val="00DE51DB"/>
    <w:rsid w:val="00DF1819"/>
    <w:rsid w:val="00E05AC5"/>
    <w:rsid w:val="00E23F1D"/>
    <w:rsid w:val="00E271CD"/>
    <w:rsid w:val="00E30E05"/>
    <w:rsid w:val="00E36361"/>
    <w:rsid w:val="00E537E5"/>
    <w:rsid w:val="00E55AE9"/>
    <w:rsid w:val="00E8572F"/>
    <w:rsid w:val="00E8671B"/>
    <w:rsid w:val="00EA60B9"/>
    <w:rsid w:val="00EA6421"/>
    <w:rsid w:val="00EB0C84"/>
    <w:rsid w:val="00EC7D3B"/>
    <w:rsid w:val="00EE3E23"/>
    <w:rsid w:val="00F0076B"/>
    <w:rsid w:val="00F107DA"/>
    <w:rsid w:val="00F17FDE"/>
    <w:rsid w:val="00F2233B"/>
    <w:rsid w:val="00F40D53"/>
    <w:rsid w:val="00F42120"/>
    <w:rsid w:val="00F4525C"/>
    <w:rsid w:val="00F477C6"/>
    <w:rsid w:val="00F50D86"/>
    <w:rsid w:val="00F67416"/>
    <w:rsid w:val="00F70EFA"/>
    <w:rsid w:val="00FA22CB"/>
    <w:rsid w:val="00FC2887"/>
    <w:rsid w:val="00FD29D3"/>
    <w:rsid w:val="00FD6638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D258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3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15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4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E5E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D31BAF"/>
    <w:pPr>
      <w:spacing w:after="0" w:line="240" w:lineRule="auto"/>
    </w:pPr>
  </w:style>
  <w:style w:type="paragraph" w:customStyle="1" w:styleId="Bullet">
    <w:name w:val="Bullet"/>
    <w:basedOn w:val="Normal"/>
    <w:autoRedefine/>
    <w:qFormat/>
    <w:rsid w:val="00E8572F"/>
    <w:pPr>
      <w:tabs>
        <w:tab w:val="left" w:pos="0"/>
      </w:tabs>
      <w:spacing w:before="60" w:after="60" w:line="288" w:lineRule="auto"/>
      <w:contextualSpacing/>
    </w:pPr>
    <w:rPr>
      <w:rFonts w:ascii="Arial" w:eastAsia="Times New Roman" w:hAnsi="Arial" w:cs="Arial"/>
      <w:kern w:val="22"/>
      <w:sz w:val="20"/>
      <w:lang w:val="en-AU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81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caa.vic.edu.au/curriculum/vce-curriculum/vce-study-designs/latin/advice-teachers/advice-teachers-latin-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latin.packhum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01543"/>
    <w:rsid w:val="001A0C91"/>
    <w:rsid w:val="001B4938"/>
    <w:rsid w:val="002B0D0B"/>
    <w:rsid w:val="002F633D"/>
    <w:rsid w:val="0030093E"/>
    <w:rsid w:val="00334ABB"/>
    <w:rsid w:val="00380A25"/>
    <w:rsid w:val="004078CD"/>
    <w:rsid w:val="00416F2A"/>
    <w:rsid w:val="0042182C"/>
    <w:rsid w:val="005053F8"/>
    <w:rsid w:val="00512FA2"/>
    <w:rsid w:val="005F5C7D"/>
    <w:rsid w:val="00610CEB"/>
    <w:rsid w:val="00632369"/>
    <w:rsid w:val="0064256F"/>
    <w:rsid w:val="006B4EFE"/>
    <w:rsid w:val="008223E6"/>
    <w:rsid w:val="0090058D"/>
    <w:rsid w:val="009325D2"/>
    <w:rsid w:val="009F04BF"/>
    <w:rsid w:val="00D105CD"/>
    <w:rsid w:val="00D2327B"/>
    <w:rsid w:val="00DC5994"/>
    <w:rsid w:val="00E338A0"/>
    <w:rsid w:val="00F0717C"/>
    <w:rsid w:val="00F6691E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3F8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Props1.xml><?xml version="1.0" encoding="utf-8"?>
<ds:datastoreItem xmlns:ds="http://schemas.openxmlformats.org/officeDocument/2006/customXml" ds:itemID="{982722DD-4102-47F8-9E24-FFAFE59B1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C4DD7-CC91-4FA8-8F4D-C15BFBD1F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EDBE4A-8D83-496A-918C-164C02CB38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Chinese Language, Culture and Society Prescribed Texts 2020 to 2022</vt:lpstr>
    </vt:vector>
  </TitlesOfParts>
  <Company>Victorian Curriculum and Assessment Authority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Chinese Language, Culture and Society Prescribed Texts 2020 to 2022</dc:title>
  <dc:subject>VCE Chinese Language, Culture and Society</dc:subject>
  <dc:creator>vcaa@education.vic.gov.au</dc:creator>
  <cp:keywords>chinese, language, culture, society, prescribed, texts</cp:keywords>
  <cp:lastModifiedBy>Vanessa Flores</cp:lastModifiedBy>
  <cp:revision>4</cp:revision>
  <cp:lastPrinted>2015-05-15T02:36:00Z</cp:lastPrinted>
  <dcterms:created xsi:type="dcterms:W3CDTF">2026-05-01T03:07:00Z</dcterms:created>
  <dcterms:modified xsi:type="dcterms:W3CDTF">2026-05-04T03:22:00Z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  <property fmtid="{D5CDD505-2E9C-101B-9397-08002B2CF9AE}" pid="8" name="MediaServiceImageTags">
    <vt:lpwstr/>
  </property>
</Properties>
</file>