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426587749"/>
        <w:lock w:val="contentLocked"/>
        <w:placeholder>
          <w:docPart w:val="D3ADEF08D35B62479188E253AA1DD246"/>
        </w:placeholder>
        <w:group/>
      </w:sdtPr>
      <w:sdtEndPr/>
      <w:sdtContent>
        <w:p w14:paraId="79EA75D0" w14:textId="0BAC15C1" w:rsidR="00BA73BA" w:rsidRPr="006302F7" w:rsidRDefault="003F47A8" w:rsidP="006302F7">
          <w:pPr>
            <w:pStyle w:val="Title"/>
          </w:pPr>
          <w:sdt>
            <w:sdtPr>
              <w:alias w:val="Title"/>
              <w:tag w:val=""/>
              <w:id w:val="1621577399"/>
              <w:placeholder>
                <w:docPart w:val="80EF9B6B2776F84C93BE008DDBC2361D"/>
              </w:placeholder>
              <w:dataBinding w:prefixMappings="xmlns:ns0='http://purl.org/dc/elements/1.1/' xmlns:ns1='http://schemas.openxmlformats.org/package/2006/metadata/core-properties' " w:xpath="/ns1:coreProperties[1]/ns0:title[1]" w:storeItemID="{6C3C8BC8-F283-45AE-878A-BAB7291924A1}"/>
              <w:text/>
            </w:sdtPr>
            <w:sdtEndPr/>
            <w:sdtContent>
              <w:r w:rsidR="0080181A" w:rsidRPr="001465DB">
                <w:t xml:space="preserve">Policy: </w:t>
              </w:r>
              <w:r w:rsidR="00B44412">
                <w:t xml:space="preserve">Long </w:t>
              </w:r>
              <w:r w:rsidR="00C2506A">
                <w:t>S</w:t>
              </w:r>
              <w:r w:rsidR="00B44412">
                <w:t xml:space="preserve">ervice </w:t>
              </w:r>
              <w:r w:rsidR="00C2506A">
                <w:t>L</w:t>
              </w:r>
              <w:r w:rsidR="00B44412">
                <w:t>eave</w:t>
              </w:r>
            </w:sdtContent>
          </w:sdt>
        </w:p>
      </w:sdtContent>
    </w:sdt>
    <w:p w14:paraId="24D22E40" w14:textId="153C3E41" w:rsidR="00322123" w:rsidRPr="001465DB" w:rsidRDefault="00322123" w:rsidP="001465DB">
      <w:pPr>
        <w:rPr>
          <w:sz w:val="40"/>
          <w:szCs w:val="40"/>
        </w:rPr>
      </w:pPr>
      <w:r w:rsidRPr="001465DB">
        <w:rPr>
          <w:color w:val="117EB4"/>
          <w:sz w:val="40"/>
          <w:szCs w:val="40"/>
        </w:rPr>
        <w:t>Contents</w:t>
      </w:r>
    </w:p>
    <w:p w14:paraId="65D5AFE1" w14:textId="0E4B6944" w:rsidR="00E15C1F" w:rsidRDefault="00F800CE">
      <w:pPr>
        <w:pStyle w:val="TOC2"/>
        <w:rPr>
          <w:rFonts w:asciiTheme="minorHAnsi" w:eastAsiaTheme="minorEastAsia" w:hAnsiTheme="minorHAnsi" w:cstheme="minorBidi"/>
          <w:b w:val="0"/>
          <w:kern w:val="2"/>
          <w:sz w:val="24"/>
          <w14:ligatures w14:val="standardContextual"/>
        </w:rPr>
      </w:pPr>
      <w:r>
        <w:rPr>
          <w:b w:val="0"/>
          <w:bCs/>
        </w:rPr>
        <w:fldChar w:fldCharType="begin"/>
      </w:r>
      <w:r>
        <w:rPr>
          <w:b w:val="0"/>
          <w:bCs/>
        </w:rPr>
        <w:instrText xml:space="preserve"> TOC \o "1-3" \h \z \u </w:instrText>
      </w:r>
      <w:r>
        <w:rPr>
          <w:b w:val="0"/>
          <w:bCs/>
        </w:rPr>
        <w:fldChar w:fldCharType="separate"/>
      </w:r>
      <w:hyperlink w:anchor="_Toc233379920" w:history="1">
        <w:r w:rsidR="00E15C1F" w:rsidRPr="00BB3E57">
          <w:rPr>
            <w:rStyle w:val="Hyperlink"/>
          </w:rPr>
          <w:t>Purpose</w:t>
        </w:r>
        <w:r w:rsidR="00E15C1F">
          <w:rPr>
            <w:webHidden/>
          </w:rPr>
          <w:tab/>
        </w:r>
        <w:r w:rsidR="00E15C1F">
          <w:rPr>
            <w:webHidden/>
          </w:rPr>
          <w:fldChar w:fldCharType="begin"/>
        </w:r>
        <w:r w:rsidR="00E15C1F">
          <w:rPr>
            <w:webHidden/>
          </w:rPr>
          <w:instrText xml:space="preserve"> PAGEREF _Toc233379920 \h </w:instrText>
        </w:r>
        <w:r w:rsidR="00E15C1F">
          <w:rPr>
            <w:webHidden/>
          </w:rPr>
        </w:r>
        <w:r w:rsidR="00E15C1F">
          <w:rPr>
            <w:webHidden/>
          </w:rPr>
          <w:fldChar w:fldCharType="separate"/>
        </w:r>
        <w:r w:rsidR="00E15C1F">
          <w:rPr>
            <w:webHidden/>
          </w:rPr>
          <w:t>1</w:t>
        </w:r>
        <w:r w:rsidR="00E15C1F">
          <w:rPr>
            <w:webHidden/>
          </w:rPr>
          <w:fldChar w:fldCharType="end"/>
        </w:r>
      </w:hyperlink>
    </w:p>
    <w:p w14:paraId="51C931D7" w14:textId="17E259C3" w:rsidR="00E15C1F" w:rsidRDefault="00E15C1F">
      <w:pPr>
        <w:pStyle w:val="TOC2"/>
        <w:rPr>
          <w:rFonts w:asciiTheme="minorHAnsi" w:eastAsiaTheme="minorEastAsia" w:hAnsiTheme="minorHAnsi" w:cstheme="minorBidi"/>
          <w:b w:val="0"/>
          <w:kern w:val="2"/>
          <w:sz w:val="24"/>
          <w14:ligatures w14:val="standardContextual"/>
        </w:rPr>
      </w:pPr>
      <w:hyperlink w:anchor="_Toc233379921" w:history="1">
        <w:r w:rsidRPr="00BB3E57">
          <w:rPr>
            <w:rStyle w:val="Hyperlink"/>
          </w:rPr>
          <w:t>Context and scope</w:t>
        </w:r>
        <w:r>
          <w:rPr>
            <w:webHidden/>
          </w:rPr>
          <w:tab/>
        </w:r>
        <w:r>
          <w:rPr>
            <w:webHidden/>
          </w:rPr>
          <w:fldChar w:fldCharType="begin"/>
        </w:r>
        <w:r>
          <w:rPr>
            <w:webHidden/>
          </w:rPr>
          <w:instrText xml:space="preserve"> PAGEREF _Toc233379921 \h </w:instrText>
        </w:r>
        <w:r>
          <w:rPr>
            <w:webHidden/>
          </w:rPr>
        </w:r>
        <w:r>
          <w:rPr>
            <w:webHidden/>
          </w:rPr>
          <w:fldChar w:fldCharType="separate"/>
        </w:r>
        <w:r>
          <w:rPr>
            <w:webHidden/>
          </w:rPr>
          <w:t>1</w:t>
        </w:r>
        <w:r>
          <w:rPr>
            <w:webHidden/>
          </w:rPr>
          <w:fldChar w:fldCharType="end"/>
        </w:r>
      </w:hyperlink>
    </w:p>
    <w:p w14:paraId="2E89DC8C" w14:textId="76248DF5" w:rsidR="00E15C1F" w:rsidRDefault="00E15C1F">
      <w:pPr>
        <w:pStyle w:val="TOC2"/>
        <w:rPr>
          <w:rFonts w:asciiTheme="minorHAnsi" w:eastAsiaTheme="minorEastAsia" w:hAnsiTheme="minorHAnsi" w:cstheme="minorBidi"/>
          <w:b w:val="0"/>
          <w:kern w:val="2"/>
          <w:sz w:val="24"/>
          <w14:ligatures w14:val="standardContextual"/>
        </w:rPr>
      </w:pPr>
      <w:hyperlink w:anchor="_Toc233379922" w:history="1">
        <w:r w:rsidRPr="00BB3E57">
          <w:rPr>
            <w:rStyle w:val="Hyperlink"/>
          </w:rPr>
          <w:t>Key principles</w:t>
        </w:r>
        <w:r>
          <w:rPr>
            <w:webHidden/>
          </w:rPr>
          <w:tab/>
        </w:r>
        <w:r>
          <w:rPr>
            <w:webHidden/>
          </w:rPr>
          <w:fldChar w:fldCharType="begin"/>
        </w:r>
        <w:r>
          <w:rPr>
            <w:webHidden/>
          </w:rPr>
          <w:instrText xml:space="preserve"> PAGEREF _Toc233379922 \h </w:instrText>
        </w:r>
        <w:r>
          <w:rPr>
            <w:webHidden/>
          </w:rPr>
        </w:r>
        <w:r>
          <w:rPr>
            <w:webHidden/>
          </w:rPr>
          <w:fldChar w:fldCharType="separate"/>
        </w:r>
        <w:r>
          <w:rPr>
            <w:webHidden/>
          </w:rPr>
          <w:t>1</w:t>
        </w:r>
        <w:r>
          <w:rPr>
            <w:webHidden/>
          </w:rPr>
          <w:fldChar w:fldCharType="end"/>
        </w:r>
      </w:hyperlink>
    </w:p>
    <w:p w14:paraId="79DEBFB9" w14:textId="4C84D0BF" w:rsidR="00E15C1F" w:rsidRDefault="00E15C1F">
      <w:pPr>
        <w:pStyle w:val="TOC2"/>
        <w:rPr>
          <w:rFonts w:asciiTheme="minorHAnsi" w:eastAsiaTheme="minorEastAsia" w:hAnsiTheme="minorHAnsi" w:cstheme="minorBidi"/>
          <w:b w:val="0"/>
          <w:kern w:val="2"/>
          <w:sz w:val="24"/>
          <w14:ligatures w14:val="standardContextual"/>
        </w:rPr>
      </w:pPr>
      <w:hyperlink w:anchor="_Toc233379923" w:history="1">
        <w:r w:rsidRPr="00BB3E57">
          <w:rPr>
            <w:rStyle w:val="Hyperlink"/>
          </w:rPr>
          <w:t>How we will administer long service leave</w:t>
        </w:r>
        <w:r>
          <w:rPr>
            <w:webHidden/>
          </w:rPr>
          <w:tab/>
        </w:r>
        <w:r>
          <w:rPr>
            <w:webHidden/>
          </w:rPr>
          <w:fldChar w:fldCharType="begin"/>
        </w:r>
        <w:r>
          <w:rPr>
            <w:webHidden/>
          </w:rPr>
          <w:instrText xml:space="preserve"> PAGEREF _Toc233379923 \h </w:instrText>
        </w:r>
        <w:r>
          <w:rPr>
            <w:webHidden/>
          </w:rPr>
        </w:r>
        <w:r>
          <w:rPr>
            <w:webHidden/>
          </w:rPr>
          <w:fldChar w:fldCharType="separate"/>
        </w:r>
        <w:r>
          <w:rPr>
            <w:webHidden/>
          </w:rPr>
          <w:t>1</w:t>
        </w:r>
        <w:r>
          <w:rPr>
            <w:webHidden/>
          </w:rPr>
          <w:fldChar w:fldCharType="end"/>
        </w:r>
      </w:hyperlink>
    </w:p>
    <w:p w14:paraId="716E0661" w14:textId="72418FC2" w:rsidR="00E15C1F" w:rsidRDefault="00E15C1F">
      <w:pPr>
        <w:pStyle w:val="TOC3"/>
        <w:rPr>
          <w:rFonts w:asciiTheme="minorHAnsi" w:eastAsiaTheme="minorEastAsia" w:hAnsiTheme="minorHAnsi" w:cstheme="minorBidi"/>
          <w:kern w:val="2"/>
          <w:sz w:val="24"/>
          <w14:ligatures w14:val="standardContextual"/>
        </w:rPr>
      </w:pPr>
      <w:hyperlink w:anchor="_Toc233379924" w:history="1">
        <w:r w:rsidRPr="00BB3E57">
          <w:rPr>
            <w:rStyle w:val="Hyperlink"/>
          </w:rPr>
          <w:t>1. Entitlements</w:t>
        </w:r>
        <w:r>
          <w:rPr>
            <w:webHidden/>
          </w:rPr>
          <w:tab/>
        </w:r>
        <w:r>
          <w:rPr>
            <w:webHidden/>
          </w:rPr>
          <w:fldChar w:fldCharType="begin"/>
        </w:r>
        <w:r>
          <w:rPr>
            <w:webHidden/>
          </w:rPr>
          <w:instrText xml:space="preserve"> PAGEREF _Toc233379924 \h </w:instrText>
        </w:r>
        <w:r>
          <w:rPr>
            <w:webHidden/>
          </w:rPr>
        </w:r>
        <w:r>
          <w:rPr>
            <w:webHidden/>
          </w:rPr>
          <w:fldChar w:fldCharType="separate"/>
        </w:r>
        <w:r>
          <w:rPr>
            <w:webHidden/>
          </w:rPr>
          <w:t>1</w:t>
        </w:r>
        <w:r>
          <w:rPr>
            <w:webHidden/>
          </w:rPr>
          <w:fldChar w:fldCharType="end"/>
        </w:r>
      </w:hyperlink>
    </w:p>
    <w:p w14:paraId="24F79FEA" w14:textId="03224D3E" w:rsidR="00E15C1F" w:rsidRDefault="00E15C1F">
      <w:pPr>
        <w:pStyle w:val="TOC3"/>
        <w:rPr>
          <w:rFonts w:asciiTheme="minorHAnsi" w:eastAsiaTheme="minorEastAsia" w:hAnsiTheme="minorHAnsi" w:cstheme="minorBidi"/>
          <w:kern w:val="2"/>
          <w:sz w:val="24"/>
          <w14:ligatures w14:val="standardContextual"/>
        </w:rPr>
      </w:pPr>
      <w:hyperlink w:anchor="_Toc233379925" w:history="1">
        <w:r w:rsidRPr="00BB3E57">
          <w:rPr>
            <w:rStyle w:val="Hyperlink"/>
          </w:rPr>
          <w:t>2. Continuous service</w:t>
        </w:r>
        <w:r>
          <w:rPr>
            <w:webHidden/>
          </w:rPr>
          <w:tab/>
        </w:r>
        <w:r>
          <w:rPr>
            <w:webHidden/>
          </w:rPr>
          <w:fldChar w:fldCharType="begin"/>
        </w:r>
        <w:r>
          <w:rPr>
            <w:webHidden/>
          </w:rPr>
          <w:instrText xml:space="preserve"> PAGEREF _Toc233379925 \h </w:instrText>
        </w:r>
        <w:r>
          <w:rPr>
            <w:webHidden/>
          </w:rPr>
        </w:r>
        <w:r>
          <w:rPr>
            <w:webHidden/>
          </w:rPr>
          <w:fldChar w:fldCharType="separate"/>
        </w:r>
        <w:r>
          <w:rPr>
            <w:webHidden/>
          </w:rPr>
          <w:t>2</w:t>
        </w:r>
        <w:r>
          <w:rPr>
            <w:webHidden/>
          </w:rPr>
          <w:fldChar w:fldCharType="end"/>
        </w:r>
      </w:hyperlink>
    </w:p>
    <w:p w14:paraId="4ABEA468" w14:textId="6EAE4D64" w:rsidR="00E15C1F" w:rsidRDefault="00E15C1F">
      <w:pPr>
        <w:pStyle w:val="TOC3"/>
        <w:rPr>
          <w:rFonts w:asciiTheme="minorHAnsi" w:eastAsiaTheme="minorEastAsia" w:hAnsiTheme="minorHAnsi" w:cstheme="minorBidi"/>
          <w:kern w:val="2"/>
          <w:sz w:val="24"/>
          <w14:ligatures w14:val="standardContextual"/>
        </w:rPr>
      </w:pPr>
      <w:hyperlink w:anchor="_Toc233379926" w:history="1">
        <w:r w:rsidRPr="00BB3E57">
          <w:rPr>
            <w:rStyle w:val="Hyperlink"/>
          </w:rPr>
          <w:t>3. Payment in Lieu of Long Service Leave</w:t>
        </w:r>
        <w:r>
          <w:rPr>
            <w:webHidden/>
          </w:rPr>
          <w:tab/>
        </w:r>
        <w:r>
          <w:rPr>
            <w:webHidden/>
          </w:rPr>
          <w:fldChar w:fldCharType="begin"/>
        </w:r>
        <w:r>
          <w:rPr>
            <w:webHidden/>
          </w:rPr>
          <w:instrText xml:space="preserve"> PAGEREF _Toc233379926 \h </w:instrText>
        </w:r>
        <w:r>
          <w:rPr>
            <w:webHidden/>
          </w:rPr>
        </w:r>
        <w:r>
          <w:rPr>
            <w:webHidden/>
          </w:rPr>
          <w:fldChar w:fldCharType="separate"/>
        </w:r>
        <w:r>
          <w:rPr>
            <w:webHidden/>
          </w:rPr>
          <w:t>3</w:t>
        </w:r>
        <w:r>
          <w:rPr>
            <w:webHidden/>
          </w:rPr>
          <w:fldChar w:fldCharType="end"/>
        </w:r>
      </w:hyperlink>
    </w:p>
    <w:p w14:paraId="0EB5FFCD" w14:textId="230E43AD" w:rsidR="00E15C1F" w:rsidRDefault="00E15C1F">
      <w:pPr>
        <w:pStyle w:val="TOC3"/>
        <w:rPr>
          <w:rFonts w:asciiTheme="minorHAnsi" w:eastAsiaTheme="minorEastAsia" w:hAnsiTheme="minorHAnsi" w:cstheme="minorBidi"/>
          <w:kern w:val="2"/>
          <w:sz w:val="24"/>
          <w14:ligatures w14:val="standardContextual"/>
        </w:rPr>
      </w:pPr>
      <w:hyperlink w:anchor="_Toc233379927" w:history="1">
        <w:r w:rsidRPr="00BB3E57">
          <w:rPr>
            <w:rStyle w:val="Hyperlink"/>
          </w:rPr>
          <w:t>4. Applying for and Approving Long Service Leave</w:t>
        </w:r>
        <w:r>
          <w:rPr>
            <w:webHidden/>
          </w:rPr>
          <w:tab/>
        </w:r>
        <w:r>
          <w:rPr>
            <w:webHidden/>
          </w:rPr>
          <w:fldChar w:fldCharType="begin"/>
        </w:r>
        <w:r>
          <w:rPr>
            <w:webHidden/>
          </w:rPr>
          <w:instrText xml:space="preserve"> PAGEREF _Toc233379927 \h </w:instrText>
        </w:r>
        <w:r>
          <w:rPr>
            <w:webHidden/>
          </w:rPr>
        </w:r>
        <w:r>
          <w:rPr>
            <w:webHidden/>
          </w:rPr>
          <w:fldChar w:fldCharType="separate"/>
        </w:r>
        <w:r>
          <w:rPr>
            <w:webHidden/>
          </w:rPr>
          <w:t>3</w:t>
        </w:r>
        <w:r>
          <w:rPr>
            <w:webHidden/>
          </w:rPr>
          <w:fldChar w:fldCharType="end"/>
        </w:r>
      </w:hyperlink>
    </w:p>
    <w:p w14:paraId="77232307" w14:textId="3EE418D1" w:rsidR="00E15C1F" w:rsidRDefault="00E15C1F">
      <w:pPr>
        <w:pStyle w:val="TOC3"/>
        <w:rPr>
          <w:rFonts w:asciiTheme="minorHAnsi" w:eastAsiaTheme="minorEastAsia" w:hAnsiTheme="minorHAnsi" w:cstheme="minorBidi"/>
          <w:kern w:val="2"/>
          <w:sz w:val="24"/>
          <w14:ligatures w14:val="standardContextual"/>
        </w:rPr>
      </w:pPr>
      <w:hyperlink w:anchor="_Toc233379928" w:history="1">
        <w:r w:rsidRPr="00BB3E57">
          <w:rPr>
            <w:rStyle w:val="Hyperlink"/>
          </w:rPr>
          <w:t>5. Interaction with Other Leave Types</w:t>
        </w:r>
        <w:r>
          <w:rPr>
            <w:webHidden/>
          </w:rPr>
          <w:tab/>
        </w:r>
        <w:r>
          <w:rPr>
            <w:webHidden/>
          </w:rPr>
          <w:fldChar w:fldCharType="begin"/>
        </w:r>
        <w:r>
          <w:rPr>
            <w:webHidden/>
          </w:rPr>
          <w:instrText xml:space="preserve"> PAGEREF _Toc233379928 \h </w:instrText>
        </w:r>
        <w:r>
          <w:rPr>
            <w:webHidden/>
          </w:rPr>
        </w:r>
        <w:r>
          <w:rPr>
            <w:webHidden/>
          </w:rPr>
          <w:fldChar w:fldCharType="separate"/>
        </w:r>
        <w:r>
          <w:rPr>
            <w:webHidden/>
          </w:rPr>
          <w:t>4</w:t>
        </w:r>
        <w:r>
          <w:rPr>
            <w:webHidden/>
          </w:rPr>
          <w:fldChar w:fldCharType="end"/>
        </w:r>
      </w:hyperlink>
    </w:p>
    <w:p w14:paraId="1A03AF4B" w14:textId="35727E61" w:rsidR="00E15C1F" w:rsidRDefault="00E15C1F">
      <w:pPr>
        <w:pStyle w:val="TOC2"/>
        <w:rPr>
          <w:rFonts w:asciiTheme="minorHAnsi" w:eastAsiaTheme="minorEastAsia" w:hAnsiTheme="minorHAnsi" w:cstheme="minorBidi"/>
          <w:b w:val="0"/>
          <w:kern w:val="2"/>
          <w:sz w:val="24"/>
          <w14:ligatures w14:val="standardContextual"/>
        </w:rPr>
      </w:pPr>
      <w:hyperlink w:anchor="_Toc233379929" w:history="1">
        <w:r w:rsidRPr="00BB3E57">
          <w:rPr>
            <w:rStyle w:val="Hyperlink"/>
          </w:rPr>
          <w:t>Legislative context</w:t>
        </w:r>
        <w:r>
          <w:rPr>
            <w:webHidden/>
          </w:rPr>
          <w:tab/>
        </w:r>
        <w:r>
          <w:rPr>
            <w:webHidden/>
          </w:rPr>
          <w:fldChar w:fldCharType="begin"/>
        </w:r>
        <w:r>
          <w:rPr>
            <w:webHidden/>
          </w:rPr>
          <w:instrText xml:space="preserve"> PAGEREF _Toc233379929 \h </w:instrText>
        </w:r>
        <w:r>
          <w:rPr>
            <w:webHidden/>
          </w:rPr>
        </w:r>
        <w:r>
          <w:rPr>
            <w:webHidden/>
          </w:rPr>
          <w:fldChar w:fldCharType="separate"/>
        </w:r>
        <w:r>
          <w:rPr>
            <w:webHidden/>
          </w:rPr>
          <w:t>4</w:t>
        </w:r>
        <w:r>
          <w:rPr>
            <w:webHidden/>
          </w:rPr>
          <w:fldChar w:fldCharType="end"/>
        </w:r>
      </w:hyperlink>
    </w:p>
    <w:p w14:paraId="1A688B84" w14:textId="02C84B27" w:rsidR="00E15C1F" w:rsidRDefault="00E15C1F">
      <w:pPr>
        <w:pStyle w:val="TOC2"/>
        <w:rPr>
          <w:rFonts w:asciiTheme="minorHAnsi" w:eastAsiaTheme="minorEastAsia" w:hAnsiTheme="minorHAnsi" w:cstheme="minorBidi"/>
          <w:b w:val="0"/>
          <w:kern w:val="2"/>
          <w:sz w:val="24"/>
          <w14:ligatures w14:val="standardContextual"/>
        </w:rPr>
      </w:pPr>
      <w:hyperlink w:anchor="_Toc233379930" w:history="1">
        <w:r w:rsidRPr="00BB3E57">
          <w:rPr>
            <w:rStyle w:val="Hyperlink"/>
          </w:rPr>
          <w:t>Related resources/supporting documents</w:t>
        </w:r>
        <w:r>
          <w:rPr>
            <w:webHidden/>
          </w:rPr>
          <w:tab/>
        </w:r>
        <w:r>
          <w:rPr>
            <w:webHidden/>
          </w:rPr>
          <w:fldChar w:fldCharType="begin"/>
        </w:r>
        <w:r>
          <w:rPr>
            <w:webHidden/>
          </w:rPr>
          <w:instrText xml:space="preserve"> PAGEREF _Toc233379930 \h </w:instrText>
        </w:r>
        <w:r>
          <w:rPr>
            <w:webHidden/>
          </w:rPr>
        </w:r>
        <w:r>
          <w:rPr>
            <w:webHidden/>
          </w:rPr>
          <w:fldChar w:fldCharType="separate"/>
        </w:r>
        <w:r>
          <w:rPr>
            <w:webHidden/>
          </w:rPr>
          <w:t>4</w:t>
        </w:r>
        <w:r>
          <w:rPr>
            <w:webHidden/>
          </w:rPr>
          <w:fldChar w:fldCharType="end"/>
        </w:r>
      </w:hyperlink>
    </w:p>
    <w:p w14:paraId="37BD146E" w14:textId="32E147BE" w:rsidR="00E15C1F" w:rsidRDefault="00E15C1F">
      <w:pPr>
        <w:pStyle w:val="TOC2"/>
        <w:rPr>
          <w:rFonts w:asciiTheme="minorHAnsi" w:eastAsiaTheme="minorEastAsia" w:hAnsiTheme="minorHAnsi" w:cstheme="minorBidi"/>
          <w:b w:val="0"/>
          <w:kern w:val="2"/>
          <w:sz w:val="24"/>
          <w14:ligatures w14:val="standardContextual"/>
        </w:rPr>
      </w:pPr>
      <w:hyperlink w:anchor="_Toc233379931" w:history="1">
        <w:r w:rsidRPr="00BB3E57">
          <w:rPr>
            <w:rStyle w:val="Hyperlink"/>
          </w:rPr>
          <w:t>Policy management</w:t>
        </w:r>
        <w:r>
          <w:rPr>
            <w:webHidden/>
          </w:rPr>
          <w:tab/>
        </w:r>
        <w:r>
          <w:rPr>
            <w:webHidden/>
          </w:rPr>
          <w:fldChar w:fldCharType="begin"/>
        </w:r>
        <w:r>
          <w:rPr>
            <w:webHidden/>
          </w:rPr>
          <w:instrText xml:space="preserve"> PAGEREF _Toc233379931 \h </w:instrText>
        </w:r>
        <w:r>
          <w:rPr>
            <w:webHidden/>
          </w:rPr>
        </w:r>
        <w:r>
          <w:rPr>
            <w:webHidden/>
          </w:rPr>
          <w:fldChar w:fldCharType="separate"/>
        </w:r>
        <w:r>
          <w:rPr>
            <w:webHidden/>
          </w:rPr>
          <w:t>4</w:t>
        </w:r>
        <w:r>
          <w:rPr>
            <w:webHidden/>
          </w:rPr>
          <w:fldChar w:fldCharType="end"/>
        </w:r>
      </w:hyperlink>
    </w:p>
    <w:p w14:paraId="1A103208" w14:textId="08EC6F6E" w:rsidR="00674366" w:rsidRPr="00407CA4" w:rsidRDefault="00F800CE" w:rsidP="00E31299">
      <w:pPr>
        <w:pStyle w:val="TOC1"/>
        <w:rPr>
          <w:rStyle w:val="cf01"/>
          <w:i/>
          <w:iCs/>
          <w:color w:val="C00000"/>
          <w:szCs w:val="16"/>
        </w:rPr>
      </w:pPr>
      <w:r>
        <w:rPr>
          <w:rFonts w:cs="Times New Roman"/>
          <w:b w:val="0"/>
          <w:bCs w:val="0"/>
        </w:rPr>
        <w:fldChar w:fldCharType="end"/>
      </w:r>
    </w:p>
    <w:p w14:paraId="7041546A" w14:textId="77777777" w:rsidR="009648DE" w:rsidRDefault="009648DE" w:rsidP="007766B5">
      <w:pPr>
        <w:rPr>
          <w:lang w:val="en-AU" w:eastAsia="en-AU"/>
        </w:rPr>
        <w:sectPr w:rsidR="009648DE" w:rsidSect="0098544E">
          <w:headerReference w:type="default" r:id="rId11"/>
          <w:footerReference w:type="default" r:id="rId12"/>
          <w:headerReference w:type="first" r:id="rId13"/>
          <w:footerReference w:type="first" r:id="rId14"/>
          <w:pgSz w:w="11906" w:h="16838" w:code="9"/>
          <w:pgMar w:top="2495" w:right="1134" w:bottom="1321" w:left="1134" w:header="454" w:footer="0" w:gutter="0"/>
          <w:cols w:space="708"/>
          <w:titlePg/>
          <w:docGrid w:linePitch="360"/>
        </w:sectPr>
      </w:pPr>
    </w:p>
    <w:p w14:paraId="7AB19159" w14:textId="31AF7315" w:rsidR="00295E14" w:rsidRPr="00BA73BA" w:rsidRDefault="00451719" w:rsidP="0034058C">
      <w:pPr>
        <w:pStyle w:val="Heading2"/>
        <w:rPr>
          <w:color w:val="117EB4"/>
        </w:rPr>
      </w:pPr>
      <w:bookmarkStart w:id="0" w:name="_Toc233379920"/>
      <w:bookmarkStart w:id="1" w:name="_Hlk178854105"/>
      <w:bookmarkStart w:id="2" w:name="_Hlk178853881"/>
      <w:r w:rsidRPr="00BA73BA">
        <w:rPr>
          <w:color w:val="117EB4"/>
        </w:rPr>
        <w:lastRenderedPageBreak/>
        <w:t>Purpose</w:t>
      </w:r>
      <w:bookmarkEnd w:id="0"/>
    </w:p>
    <w:p w14:paraId="2CF0D7F1" w14:textId="77777777" w:rsidR="00B44412" w:rsidRPr="00E74D69" w:rsidRDefault="00B44412" w:rsidP="00CE4823">
      <w:pPr>
        <w:pStyle w:val="VCAAbody"/>
        <w:rPr>
          <w:lang w:eastAsia="en-AU"/>
        </w:rPr>
      </w:pPr>
      <w:r w:rsidRPr="00E74D69">
        <w:rPr>
          <w:lang w:eastAsia="en-AU"/>
        </w:rPr>
        <w:t>This policy sets out the long service leave entitlements and arrangements for Victorian Curriculum and Assessment Authority (VCAA) employees engaged under Ministerial Order 1451 (MO1451), including casual, sessional</w:t>
      </w:r>
      <w:r>
        <w:rPr>
          <w:lang w:eastAsia="en-AU"/>
        </w:rPr>
        <w:t xml:space="preserve"> </w:t>
      </w:r>
      <w:r w:rsidRPr="00E74D69">
        <w:rPr>
          <w:lang w:eastAsia="en-AU"/>
        </w:rPr>
        <w:t>and fixed-term staff.</w:t>
      </w:r>
    </w:p>
    <w:p w14:paraId="54E05338" w14:textId="0DFAC387" w:rsidR="00295E14" w:rsidRDefault="00CF6944" w:rsidP="0034058C">
      <w:pPr>
        <w:pStyle w:val="Heading2"/>
      </w:pPr>
      <w:bookmarkStart w:id="3" w:name="_Toc233379921"/>
      <w:r>
        <w:t>Context and s</w:t>
      </w:r>
      <w:r w:rsidR="003F46B8">
        <w:t>cope</w:t>
      </w:r>
      <w:bookmarkEnd w:id="3"/>
      <w:r w:rsidR="003F46B8">
        <w:t xml:space="preserve"> </w:t>
      </w:r>
      <w:r w:rsidR="00A24820">
        <w:tab/>
      </w:r>
    </w:p>
    <w:bookmarkEnd w:id="1"/>
    <w:p w14:paraId="6620A024" w14:textId="01DF4C38" w:rsidR="00FB6D19" w:rsidRPr="00CE4823" w:rsidRDefault="00FB6D19" w:rsidP="00CE4823">
      <w:pPr>
        <w:pStyle w:val="VCAAbody"/>
        <w:rPr>
          <w:lang w:eastAsia="en-AU"/>
        </w:rPr>
      </w:pPr>
      <w:r w:rsidRPr="00CE4823">
        <w:rPr>
          <w:lang w:eastAsia="en-AU"/>
        </w:rPr>
        <w:t xml:space="preserve">This policy applies to employees engaged under s.2.5.5(1A) of the </w:t>
      </w:r>
      <w:r w:rsidRPr="00E31299">
        <w:rPr>
          <w:i/>
          <w:iCs/>
          <w:lang w:eastAsia="en-AU"/>
        </w:rPr>
        <w:t>Education and Training Reform Act 2006</w:t>
      </w:r>
      <w:r w:rsidRPr="00CE4823">
        <w:rPr>
          <w:lang w:eastAsia="en-AU"/>
        </w:rPr>
        <w:t xml:space="preserve"> and Ministerial Order 1451.</w:t>
      </w:r>
    </w:p>
    <w:p w14:paraId="536E48F1" w14:textId="20894B3C" w:rsidR="00B028CF" w:rsidRPr="00CE4823" w:rsidRDefault="00FB6D19" w:rsidP="00CE4823">
      <w:pPr>
        <w:pStyle w:val="VCAAbody"/>
        <w:rPr>
          <w:lang w:eastAsia="en-AU"/>
        </w:rPr>
      </w:pPr>
      <w:r w:rsidRPr="00CE4823">
        <w:rPr>
          <w:lang w:eastAsia="en-AU"/>
        </w:rPr>
        <w:t xml:space="preserve">The policy does not relate to </w:t>
      </w:r>
      <w:r w:rsidR="00A9324E" w:rsidRPr="00CE4823">
        <w:rPr>
          <w:lang w:eastAsia="en-AU"/>
        </w:rPr>
        <w:t>Victorian Public Service</w:t>
      </w:r>
      <w:r w:rsidRPr="00CE4823">
        <w:rPr>
          <w:lang w:eastAsia="en-AU"/>
        </w:rPr>
        <w:t xml:space="preserve"> employees </w:t>
      </w:r>
      <w:r w:rsidR="00EB7287" w:rsidRPr="00CE4823">
        <w:rPr>
          <w:lang w:eastAsia="en-AU"/>
        </w:rPr>
        <w:t xml:space="preserve">in </w:t>
      </w:r>
      <w:r w:rsidRPr="00CE4823">
        <w:rPr>
          <w:lang w:eastAsia="en-AU"/>
        </w:rPr>
        <w:t>the VCAA.</w:t>
      </w:r>
    </w:p>
    <w:p w14:paraId="02E3D2FE" w14:textId="07422589" w:rsidR="00295E14" w:rsidRDefault="003F46B8" w:rsidP="0034058C">
      <w:pPr>
        <w:pStyle w:val="Heading2"/>
      </w:pPr>
      <w:bookmarkStart w:id="4" w:name="_Toc233379922"/>
      <w:r>
        <w:t>Key principles</w:t>
      </w:r>
      <w:bookmarkEnd w:id="4"/>
      <w:r>
        <w:t xml:space="preserve"> </w:t>
      </w:r>
    </w:p>
    <w:p w14:paraId="6FD61A07" w14:textId="77777777" w:rsidR="00B44412" w:rsidRPr="00CE4823" w:rsidRDefault="00B44412" w:rsidP="00CE4823">
      <w:pPr>
        <w:pStyle w:val="VCAAbody"/>
        <w:rPr>
          <w:lang w:eastAsia="en-AU"/>
        </w:rPr>
      </w:pPr>
      <w:r w:rsidRPr="00CE4823">
        <w:rPr>
          <w:lang w:eastAsia="en-AU"/>
        </w:rPr>
        <w:t>The VCAA is committed to ensuring:</w:t>
      </w:r>
    </w:p>
    <w:p w14:paraId="03B17EF9" w14:textId="77777777" w:rsidR="00B44412" w:rsidRPr="00E74D69" w:rsidRDefault="00B44412" w:rsidP="00153B07">
      <w:pPr>
        <w:pStyle w:val="VCAAbody"/>
        <w:numPr>
          <w:ilvl w:val="0"/>
          <w:numId w:val="16"/>
        </w:numPr>
        <w:rPr>
          <w:lang w:eastAsia="en-AU"/>
        </w:rPr>
      </w:pPr>
      <w:r w:rsidRPr="00E74D69">
        <w:rPr>
          <w:lang w:eastAsia="en-AU"/>
        </w:rPr>
        <w:t>fair and transparent access to accrued entitlements</w:t>
      </w:r>
    </w:p>
    <w:p w14:paraId="4B60D6D2" w14:textId="77777777" w:rsidR="00B44412" w:rsidRPr="00E74D69" w:rsidRDefault="00B44412" w:rsidP="00153B07">
      <w:pPr>
        <w:pStyle w:val="VCAAbody"/>
        <w:numPr>
          <w:ilvl w:val="0"/>
          <w:numId w:val="16"/>
        </w:numPr>
        <w:rPr>
          <w:lang w:eastAsia="en-AU"/>
        </w:rPr>
      </w:pPr>
      <w:r w:rsidRPr="00E74D69">
        <w:rPr>
          <w:lang w:eastAsia="en-AU"/>
        </w:rPr>
        <w:t>recognition of intermittent</w:t>
      </w:r>
      <w:r>
        <w:rPr>
          <w:lang w:eastAsia="en-AU"/>
        </w:rPr>
        <w:t xml:space="preserve"> </w:t>
      </w:r>
      <w:r w:rsidRPr="00E74D69">
        <w:rPr>
          <w:lang w:eastAsia="en-AU"/>
        </w:rPr>
        <w:t>sessional patterns of work</w:t>
      </w:r>
    </w:p>
    <w:p w14:paraId="5D1E1140" w14:textId="77777777" w:rsidR="00B44412" w:rsidRPr="00E74D69" w:rsidRDefault="00B44412" w:rsidP="00153B07">
      <w:pPr>
        <w:pStyle w:val="VCAAbody"/>
        <w:numPr>
          <w:ilvl w:val="0"/>
          <w:numId w:val="16"/>
        </w:numPr>
        <w:rPr>
          <w:lang w:eastAsia="en-AU"/>
        </w:rPr>
      </w:pPr>
      <w:r w:rsidRPr="00E74D69">
        <w:rPr>
          <w:lang w:eastAsia="en-AU"/>
        </w:rPr>
        <w:t>compliance with legislative and industrial obligations</w:t>
      </w:r>
    </w:p>
    <w:p w14:paraId="6588B1B8" w14:textId="77777777" w:rsidR="00B44412" w:rsidRPr="00E74D69" w:rsidRDefault="00B44412" w:rsidP="00153B07">
      <w:pPr>
        <w:pStyle w:val="VCAAbody"/>
        <w:numPr>
          <w:ilvl w:val="0"/>
          <w:numId w:val="16"/>
        </w:numPr>
        <w:rPr>
          <w:lang w:eastAsia="en-AU"/>
        </w:rPr>
      </w:pPr>
      <w:r w:rsidRPr="00E74D69">
        <w:rPr>
          <w:lang w:eastAsia="en-AU"/>
        </w:rPr>
        <w:t>timely processing of leave applications</w:t>
      </w:r>
      <w:r>
        <w:rPr>
          <w:lang w:eastAsia="en-AU"/>
        </w:rPr>
        <w:t>.</w:t>
      </w:r>
    </w:p>
    <w:p w14:paraId="5996A012" w14:textId="0C4AEC81" w:rsidR="001733C0" w:rsidRPr="003F46B8" w:rsidRDefault="001733C0" w:rsidP="0034058C">
      <w:pPr>
        <w:pStyle w:val="Heading2"/>
      </w:pPr>
      <w:bookmarkStart w:id="5" w:name="_Toc233379923"/>
      <w:r w:rsidRPr="003F46B8">
        <w:t xml:space="preserve">How we will administer </w:t>
      </w:r>
      <w:r w:rsidR="00B44412">
        <w:t>long service leave</w:t>
      </w:r>
      <w:bookmarkEnd w:id="5"/>
      <w:r w:rsidRPr="003F46B8">
        <w:t xml:space="preserve"> </w:t>
      </w:r>
    </w:p>
    <w:p w14:paraId="17835CD3" w14:textId="77777777" w:rsidR="00B44412" w:rsidRPr="00916F2F" w:rsidRDefault="00B44412" w:rsidP="00B44412">
      <w:pPr>
        <w:pStyle w:val="Heading3"/>
      </w:pPr>
      <w:bookmarkStart w:id="6" w:name="_Toc233379924"/>
      <w:r w:rsidRPr="00916F2F">
        <w:t>1. Entitlements</w:t>
      </w:r>
      <w:bookmarkEnd w:id="6"/>
    </w:p>
    <w:p w14:paraId="258CD043" w14:textId="77777777" w:rsidR="00B44412" w:rsidRPr="00E74D69" w:rsidRDefault="00B44412" w:rsidP="00B44412">
      <w:pPr>
        <w:pStyle w:val="Heading5"/>
      </w:pPr>
      <w:r w:rsidRPr="00E74D69">
        <w:t xml:space="preserve">1.1 Accrual and Access </w:t>
      </w:r>
    </w:p>
    <w:p w14:paraId="261E6A5D" w14:textId="77777777" w:rsidR="00B44412" w:rsidRPr="00E74D69" w:rsidRDefault="00B44412" w:rsidP="00CE4823">
      <w:pPr>
        <w:pStyle w:val="VCAAbody"/>
        <w:rPr>
          <w:lang w:eastAsia="en-AU"/>
        </w:rPr>
      </w:pPr>
      <w:r w:rsidRPr="00E74D69">
        <w:rPr>
          <w:lang w:eastAsia="en-AU"/>
        </w:rPr>
        <w:t xml:space="preserve">An employee is entitled to 495.6967 </w:t>
      </w:r>
      <w:r>
        <w:rPr>
          <w:lang w:eastAsia="en-AU"/>
        </w:rPr>
        <w:t xml:space="preserve">hours </w:t>
      </w:r>
      <w:r w:rsidRPr="00E74D69">
        <w:rPr>
          <w:lang w:eastAsia="en-AU"/>
        </w:rPr>
        <w:t>(approximately 3 calendar months) of long service leave after 10 years of full</w:t>
      </w:r>
      <w:r>
        <w:rPr>
          <w:lang w:eastAsia="en-AU"/>
        </w:rPr>
        <w:t>-</w:t>
      </w:r>
      <w:r w:rsidRPr="00E74D69">
        <w:rPr>
          <w:lang w:eastAsia="en-AU"/>
        </w:rPr>
        <w:t xml:space="preserve">time eligible service. An employee may, however, access their long service leave entitlement on a pro rata basis after 7 years of eligible service. </w:t>
      </w:r>
    </w:p>
    <w:p w14:paraId="77E34B52" w14:textId="77777777" w:rsidR="00B44412" w:rsidRPr="00E74D69" w:rsidRDefault="00B44412" w:rsidP="00CE4823">
      <w:pPr>
        <w:pStyle w:val="VCAAbody"/>
        <w:rPr>
          <w:lang w:eastAsia="en-AU"/>
        </w:rPr>
      </w:pPr>
      <w:r w:rsidRPr="00E74D69">
        <w:rPr>
          <w:lang w:eastAsia="en-AU"/>
        </w:rPr>
        <w:t>Part-t</w:t>
      </w:r>
      <w:r>
        <w:rPr>
          <w:lang w:eastAsia="en-AU"/>
        </w:rPr>
        <w:t>i</w:t>
      </w:r>
      <w:r w:rsidRPr="00E74D69">
        <w:rPr>
          <w:lang w:eastAsia="en-AU"/>
        </w:rPr>
        <w:t>m</w:t>
      </w:r>
      <w:r>
        <w:rPr>
          <w:lang w:eastAsia="en-AU"/>
        </w:rPr>
        <w:t>e</w:t>
      </w:r>
      <w:r w:rsidRPr="00E74D69">
        <w:rPr>
          <w:lang w:eastAsia="en-AU"/>
        </w:rPr>
        <w:t xml:space="preserve">, casual and sessional employees accrue long service leave on a pro rata </w:t>
      </w:r>
      <w:r w:rsidRPr="00F13CB5">
        <w:rPr>
          <w:lang w:eastAsia="en-AU"/>
        </w:rPr>
        <w:t xml:space="preserve">basis </w:t>
      </w:r>
      <w:r w:rsidRPr="00F13CB5">
        <w:t>based on days and hours worked</w:t>
      </w:r>
      <w:r w:rsidRPr="00F13CB5">
        <w:rPr>
          <w:lang w:eastAsia="en-AU"/>
        </w:rPr>
        <w:t>.</w:t>
      </w:r>
    </w:p>
    <w:p w14:paraId="65CD8B50" w14:textId="77777777" w:rsidR="00B44412" w:rsidRPr="00E74D69" w:rsidRDefault="00B44412" w:rsidP="00CE4823">
      <w:pPr>
        <w:pStyle w:val="VCAAbody"/>
        <w:rPr>
          <w:lang w:eastAsia="en-AU"/>
        </w:rPr>
      </w:pPr>
      <w:r w:rsidRPr="00E74D69">
        <w:rPr>
          <w:lang w:eastAsia="en-AU"/>
        </w:rPr>
        <w:t xml:space="preserve">Where accrual under the Long Service Leave Act 2018 (Vic) results in a higher entitlement because of the way service accrues on average, the </w:t>
      </w:r>
      <w:r>
        <w:rPr>
          <w:lang w:eastAsia="en-AU"/>
        </w:rPr>
        <w:t xml:space="preserve">higher accrual will be paid. </w:t>
      </w:r>
    </w:p>
    <w:p w14:paraId="19666617" w14:textId="77777777" w:rsidR="00B44412" w:rsidRPr="00E74D69" w:rsidRDefault="00B44412" w:rsidP="00CE4823">
      <w:pPr>
        <w:pStyle w:val="VCAAbody"/>
        <w:rPr>
          <w:lang w:eastAsia="en-AU"/>
        </w:rPr>
      </w:pPr>
      <w:r w:rsidRPr="00E74D69">
        <w:rPr>
          <w:lang w:eastAsia="en-AU"/>
        </w:rPr>
        <w:t>Long service leave is to be negotiated</w:t>
      </w:r>
      <w:r>
        <w:rPr>
          <w:lang w:eastAsia="en-AU"/>
        </w:rPr>
        <w:t xml:space="preserve"> with consideration of </w:t>
      </w:r>
      <w:r w:rsidRPr="00CA2B02">
        <w:rPr>
          <w:lang w:eastAsia="en-AU"/>
        </w:rPr>
        <w:t>operational requirements</w:t>
      </w:r>
      <w:r>
        <w:rPr>
          <w:lang w:eastAsia="en-AU"/>
        </w:rPr>
        <w:t xml:space="preserve"> </w:t>
      </w:r>
      <w:r w:rsidRPr="00E74D69">
        <w:rPr>
          <w:lang w:eastAsia="en-AU"/>
        </w:rPr>
        <w:t xml:space="preserve">between </w:t>
      </w:r>
      <w:r>
        <w:rPr>
          <w:lang w:eastAsia="en-AU"/>
        </w:rPr>
        <w:t xml:space="preserve">the </w:t>
      </w:r>
      <w:r w:rsidRPr="00E74D69">
        <w:rPr>
          <w:lang w:eastAsia="en-AU"/>
        </w:rPr>
        <w:t>employee and manager</w:t>
      </w:r>
      <w:r>
        <w:rPr>
          <w:lang w:eastAsia="en-AU"/>
        </w:rPr>
        <w:t>. Long service leave is to be submitted</w:t>
      </w:r>
      <w:r w:rsidRPr="00E74D69">
        <w:rPr>
          <w:lang w:eastAsia="en-AU"/>
        </w:rPr>
        <w:t xml:space="preserve"> via an application and approval process</w:t>
      </w:r>
      <w:r>
        <w:rPr>
          <w:lang w:eastAsia="en-AU"/>
        </w:rPr>
        <w:t>. Leave</w:t>
      </w:r>
      <w:r w:rsidRPr="00E74D69">
        <w:rPr>
          <w:lang w:eastAsia="en-AU"/>
        </w:rPr>
        <w:t xml:space="preserve"> can be approved at any time while an employee is in continuous service, </w:t>
      </w:r>
      <w:r>
        <w:rPr>
          <w:lang w:eastAsia="en-AU"/>
        </w:rPr>
        <w:t xml:space="preserve">subject to the leave being taken within contract periods. </w:t>
      </w:r>
      <w:r w:rsidRPr="00E74D69">
        <w:rPr>
          <w:lang w:eastAsia="en-AU"/>
        </w:rPr>
        <w:t>Long service leave can be taken in increments of up to 7.6 hours per day.</w:t>
      </w:r>
      <w:r>
        <w:rPr>
          <w:lang w:eastAsia="en-AU"/>
        </w:rPr>
        <w:t xml:space="preserve"> </w:t>
      </w:r>
      <w:r w:rsidRPr="00CA2B02">
        <w:rPr>
          <w:lang w:eastAsia="en-AU"/>
        </w:rPr>
        <w:t xml:space="preserve"> </w:t>
      </w:r>
    </w:p>
    <w:p w14:paraId="086734A9" w14:textId="3A7C3B4E" w:rsidR="00B44412" w:rsidRPr="00B44412" w:rsidRDefault="00B44412" w:rsidP="00B44412">
      <w:pPr>
        <w:pStyle w:val="Heading5"/>
      </w:pPr>
      <w:r>
        <w:t xml:space="preserve">1.2 </w:t>
      </w:r>
      <w:r w:rsidRPr="00B44412">
        <w:t>Payment</w:t>
      </w:r>
    </w:p>
    <w:p w14:paraId="7A5BE2A0" w14:textId="77777777" w:rsidR="00B44412" w:rsidRPr="00F13CB5" w:rsidRDefault="00B44412" w:rsidP="00CE4823">
      <w:pPr>
        <w:pStyle w:val="VCAAbody"/>
        <w:rPr>
          <w:lang w:eastAsia="en-AU"/>
        </w:rPr>
      </w:pPr>
      <w:r w:rsidRPr="00CE4823">
        <w:rPr>
          <w:lang w:eastAsia="en-AU"/>
        </w:rPr>
        <w:t>An employee granted long service leave at full pay will be paid their ordinary rate of pay during the period of long service leave. For casual and sessional employees, this includes casual loading</w:t>
      </w:r>
      <w:r>
        <w:rPr>
          <w:lang w:eastAsia="en-AU"/>
        </w:rPr>
        <w:t>.</w:t>
      </w:r>
      <w:r w:rsidRPr="00CE4823">
        <w:rPr>
          <w:lang w:eastAsia="en-AU"/>
        </w:rPr>
        <w:t xml:space="preserve"> </w:t>
      </w:r>
    </w:p>
    <w:p w14:paraId="32120CE9" w14:textId="77777777" w:rsidR="00B44412" w:rsidRPr="00CE4823" w:rsidRDefault="00B44412" w:rsidP="00CE4823">
      <w:pPr>
        <w:pStyle w:val="VCAAbody"/>
        <w:rPr>
          <w:lang w:eastAsia="en-AU"/>
        </w:rPr>
      </w:pPr>
      <w:r w:rsidRPr="00CE4823">
        <w:rPr>
          <w:lang w:eastAsia="en-AU"/>
        </w:rPr>
        <w:lastRenderedPageBreak/>
        <w:t>Long service leave is paid at the employee’s ordinary pay based on usual working arrangements immediately prior to commencing leave, as if the employee had continued working. Employees working multiple roles concurrently at the time of accessing long service leave will have their leave paid proportionately based on their usual working arrangements immediately before the leave commenced.</w:t>
      </w:r>
    </w:p>
    <w:p w14:paraId="798618FD" w14:textId="77777777" w:rsidR="00B44412" w:rsidRPr="00CE4823" w:rsidRDefault="00B44412" w:rsidP="00CE4823">
      <w:pPr>
        <w:pStyle w:val="VCAAbody"/>
        <w:rPr>
          <w:lang w:eastAsia="en-AU"/>
        </w:rPr>
      </w:pPr>
      <w:r w:rsidRPr="00CE4823">
        <w:rPr>
          <w:lang w:eastAsia="en-AU"/>
        </w:rPr>
        <w:t xml:space="preserve">An employee may apply to take all or part of their long service leave at half pay. </w:t>
      </w:r>
    </w:p>
    <w:p w14:paraId="287993A7" w14:textId="77777777" w:rsidR="00B44412" w:rsidRPr="00E74D69" w:rsidRDefault="00B44412" w:rsidP="00CE4823">
      <w:pPr>
        <w:pStyle w:val="VCAAbody"/>
        <w:rPr>
          <w:lang w:eastAsia="en-AU"/>
        </w:rPr>
      </w:pPr>
      <w:r w:rsidRPr="00E74D69">
        <w:rPr>
          <w:lang w:eastAsia="en-AU"/>
        </w:rPr>
        <w:t>Public holidays which occur during a period of long service leave will not form part of the leave.</w:t>
      </w:r>
    </w:p>
    <w:p w14:paraId="5B223D51" w14:textId="5DBAD9F8" w:rsidR="00B44412" w:rsidRPr="00CE4823" w:rsidRDefault="00B44412" w:rsidP="00CE4823">
      <w:pPr>
        <w:pStyle w:val="VCAAbody"/>
        <w:rPr>
          <w:lang w:eastAsia="en-AU"/>
        </w:rPr>
      </w:pPr>
      <w:r w:rsidRPr="00CE4823">
        <w:rPr>
          <w:lang w:eastAsia="en-AU"/>
        </w:rPr>
        <w:t xml:space="preserve">The Long Service Leave Act 2018 </w:t>
      </w:r>
      <w:r w:rsidR="004254D2" w:rsidRPr="00CE4823">
        <w:rPr>
          <w:lang w:eastAsia="en-AU"/>
        </w:rPr>
        <w:t xml:space="preserve">(Vic) </w:t>
      </w:r>
      <w:r w:rsidRPr="00CE4823">
        <w:rPr>
          <w:lang w:eastAsia="en-AU"/>
        </w:rPr>
        <w:t>does not allow for long service leave to be cashed out. Long service leave may only be paid out on termination of employment with VCAA.</w:t>
      </w:r>
    </w:p>
    <w:p w14:paraId="1CBCAF1F" w14:textId="77777777" w:rsidR="00B44412" w:rsidRPr="00916F2F" w:rsidRDefault="00B44412" w:rsidP="00B44412">
      <w:pPr>
        <w:pStyle w:val="Heading3"/>
      </w:pPr>
      <w:bookmarkStart w:id="7" w:name="_Toc233379925"/>
      <w:bookmarkStart w:id="8" w:name="_Toc190247222"/>
      <w:r w:rsidRPr="00916F2F">
        <w:t>2. Continuous service</w:t>
      </w:r>
      <w:bookmarkEnd w:id="7"/>
      <w:r w:rsidRPr="00916F2F">
        <w:t xml:space="preserve"> </w:t>
      </w:r>
    </w:p>
    <w:p w14:paraId="0D96EA78" w14:textId="77777777" w:rsidR="00B44412" w:rsidRPr="00B44412" w:rsidRDefault="00B44412" w:rsidP="00B44412">
      <w:pPr>
        <w:pStyle w:val="Heading5"/>
      </w:pPr>
      <w:r w:rsidRPr="00B44412">
        <w:t>2.1 Meaning and application of continuous service</w:t>
      </w:r>
    </w:p>
    <w:p w14:paraId="71ADA587" w14:textId="77777777" w:rsidR="00B44412" w:rsidRPr="00CE4823" w:rsidRDefault="00B44412" w:rsidP="00CE4823">
      <w:pPr>
        <w:pStyle w:val="VCAAbody"/>
        <w:rPr>
          <w:lang w:eastAsia="en-AU"/>
        </w:rPr>
      </w:pPr>
      <w:r w:rsidRPr="00CE4823">
        <w:rPr>
          <w:lang w:eastAsia="en-AU"/>
        </w:rPr>
        <w:t xml:space="preserve">Continuous service is an unbroken period of service. An employee’s long service leave entitlements are determined on the aggregate of the employee’s current service. </w:t>
      </w:r>
    </w:p>
    <w:p w14:paraId="2DB42521" w14:textId="77777777" w:rsidR="00B44412" w:rsidRPr="00CE4823" w:rsidRDefault="00B44412" w:rsidP="00CE4823">
      <w:pPr>
        <w:pStyle w:val="VCAAbody"/>
        <w:rPr>
          <w:lang w:eastAsia="en-AU"/>
        </w:rPr>
      </w:pPr>
      <w:r w:rsidRPr="00CE4823">
        <w:rPr>
          <w:lang w:eastAsia="en-AU"/>
        </w:rPr>
        <w:t>Absences for sessional reasons between contracted periods of employment do not break continuous of service for long service leave purposes. However, these periods of absence will also not count as service for the purpose of calculating long service leave accrual.</w:t>
      </w:r>
    </w:p>
    <w:p w14:paraId="73012AD7" w14:textId="77777777" w:rsidR="00B44412" w:rsidRPr="00CE4823" w:rsidRDefault="00B44412" w:rsidP="00CE4823">
      <w:pPr>
        <w:pStyle w:val="VCAAbody"/>
        <w:rPr>
          <w:lang w:eastAsia="en-AU"/>
        </w:rPr>
      </w:pPr>
      <w:r w:rsidRPr="00CE4823">
        <w:rPr>
          <w:lang w:eastAsia="en-AU"/>
        </w:rPr>
        <w:t xml:space="preserve">An employee will maintain continuous service without accruing long service leave for periods of approved and unpaid parental leave greater than 52 weeks (but limited to a maximum additional 52 weeks for casual and sessional employees) and for other periods determined by the VCAA from time to time. </w:t>
      </w:r>
    </w:p>
    <w:p w14:paraId="0ED581BB" w14:textId="77777777" w:rsidR="00B44412" w:rsidRPr="00B44412" w:rsidRDefault="00B44412" w:rsidP="00B44412">
      <w:pPr>
        <w:pStyle w:val="Heading5"/>
      </w:pPr>
      <w:r w:rsidRPr="00B44412">
        <w:t>2.2 Recognised service that counts towards accrual of long service leave</w:t>
      </w:r>
    </w:p>
    <w:p w14:paraId="2FDE8DB8" w14:textId="77777777" w:rsidR="00B44412" w:rsidRPr="00CE4823" w:rsidRDefault="00B44412" w:rsidP="00CE4823">
      <w:pPr>
        <w:pStyle w:val="VCAAbody"/>
        <w:rPr>
          <w:lang w:eastAsia="en-AU"/>
        </w:rPr>
      </w:pPr>
      <w:r w:rsidRPr="00CE4823">
        <w:rPr>
          <w:lang w:eastAsia="en-AU"/>
        </w:rPr>
        <w:t>An employee will accrue long service leave during the following periods of service, subject to maintaining the continuity of that service:</w:t>
      </w:r>
    </w:p>
    <w:p w14:paraId="07EF9AD2" w14:textId="77777777" w:rsidR="00B44412" w:rsidRPr="006A58BA" w:rsidRDefault="00B44412" w:rsidP="00153B07">
      <w:pPr>
        <w:pStyle w:val="VCAAbody"/>
        <w:numPr>
          <w:ilvl w:val="0"/>
          <w:numId w:val="16"/>
        </w:numPr>
        <w:rPr>
          <w:lang w:eastAsia="en-AU"/>
        </w:rPr>
      </w:pPr>
      <w:r>
        <w:rPr>
          <w:lang w:eastAsia="en-AU"/>
        </w:rPr>
        <w:t>E</w:t>
      </w:r>
      <w:r w:rsidRPr="006A58BA">
        <w:rPr>
          <w:lang w:eastAsia="en-AU"/>
        </w:rPr>
        <w:t>mployment with</w:t>
      </w:r>
      <w:r>
        <w:rPr>
          <w:lang w:eastAsia="en-AU"/>
        </w:rPr>
        <w:t xml:space="preserve"> the</w:t>
      </w:r>
      <w:r w:rsidRPr="006A58BA">
        <w:rPr>
          <w:lang w:eastAsia="en-AU"/>
        </w:rPr>
        <w:t xml:space="preserve"> VCAA </w:t>
      </w:r>
    </w:p>
    <w:p w14:paraId="0E132F00" w14:textId="77777777" w:rsidR="00B44412" w:rsidRDefault="00B44412" w:rsidP="00153B07">
      <w:pPr>
        <w:pStyle w:val="VCAAbody"/>
        <w:numPr>
          <w:ilvl w:val="0"/>
          <w:numId w:val="16"/>
        </w:numPr>
        <w:rPr>
          <w:lang w:eastAsia="en-AU"/>
        </w:rPr>
      </w:pPr>
      <w:r>
        <w:rPr>
          <w:lang w:eastAsia="en-AU"/>
        </w:rPr>
        <w:t xml:space="preserve">Approved </w:t>
      </w:r>
      <w:r w:rsidRPr="006A58BA">
        <w:rPr>
          <w:lang w:eastAsia="en-AU"/>
        </w:rPr>
        <w:t>paid leave, including annual leave, personal leave</w:t>
      </w:r>
      <w:r w:rsidRPr="00413860">
        <w:rPr>
          <w:lang w:eastAsia="en-AU"/>
        </w:rPr>
        <w:t xml:space="preserve">, </w:t>
      </w:r>
      <w:r>
        <w:rPr>
          <w:lang w:eastAsia="en-AU"/>
        </w:rPr>
        <w:t xml:space="preserve">parental leave, </w:t>
      </w:r>
      <w:r w:rsidRPr="00413860">
        <w:rPr>
          <w:lang w:eastAsia="en-AU"/>
        </w:rPr>
        <w:t xml:space="preserve">public holidays and long </w:t>
      </w:r>
      <w:r w:rsidRPr="006A58BA">
        <w:rPr>
          <w:lang w:eastAsia="en-AU"/>
        </w:rPr>
        <w:t>service leave</w:t>
      </w:r>
    </w:p>
    <w:p w14:paraId="10FEDC22" w14:textId="77777777" w:rsidR="00B44412" w:rsidRPr="00F13CB5" w:rsidRDefault="00B44412" w:rsidP="00153B07">
      <w:pPr>
        <w:pStyle w:val="VCAAbody"/>
        <w:numPr>
          <w:ilvl w:val="0"/>
          <w:numId w:val="16"/>
        </w:numPr>
        <w:rPr>
          <w:lang w:eastAsia="en-AU"/>
        </w:rPr>
      </w:pPr>
      <w:r w:rsidRPr="00F13CB5">
        <w:rPr>
          <w:lang w:eastAsia="en-AU"/>
        </w:rPr>
        <w:t xml:space="preserve">Up to 52 weeks of approved and unpaid parental leave  </w:t>
      </w:r>
    </w:p>
    <w:p w14:paraId="1C4FC29F" w14:textId="77777777" w:rsidR="00B44412" w:rsidRPr="0083185E" w:rsidRDefault="00B44412" w:rsidP="00153B07">
      <w:pPr>
        <w:pStyle w:val="VCAAbody"/>
        <w:numPr>
          <w:ilvl w:val="0"/>
          <w:numId w:val="16"/>
        </w:numPr>
        <w:rPr>
          <w:lang w:eastAsia="en-AU"/>
        </w:rPr>
      </w:pPr>
      <w:r w:rsidRPr="0036340A">
        <w:rPr>
          <w:lang w:eastAsia="en-AU"/>
        </w:rPr>
        <w:t>Unpaid leave taken on account of illness or injury</w:t>
      </w:r>
      <w:r w:rsidRPr="00F13CB5">
        <w:rPr>
          <w:lang w:eastAsia="en-AU"/>
        </w:rPr>
        <w:t xml:space="preserve">, including </w:t>
      </w:r>
      <w:proofErr w:type="spellStart"/>
      <w:r w:rsidRPr="00F13CB5">
        <w:rPr>
          <w:lang w:eastAsia="en-AU"/>
        </w:rPr>
        <w:t>WorkCover</w:t>
      </w:r>
      <w:proofErr w:type="spellEnd"/>
      <w:r w:rsidRPr="00F13CB5">
        <w:rPr>
          <w:lang w:eastAsia="en-AU"/>
        </w:rPr>
        <w:t xml:space="preserve"> leave</w:t>
      </w:r>
    </w:p>
    <w:p w14:paraId="3AE9FF11" w14:textId="77777777" w:rsidR="00B44412" w:rsidRPr="00F13CB5" w:rsidRDefault="00B44412" w:rsidP="00153B07">
      <w:pPr>
        <w:pStyle w:val="VCAAbody"/>
        <w:numPr>
          <w:ilvl w:val="0"/>
          <w:numId w:val="16"/>
        </w:numPr>
        <w:rPr>
          <w:lang w:eastAsia="en-AU"/>
        </w:rPr>
      </w:pPr>
      <w:r w:rsidRPr="00F13CB5">
        <w:rPr>
          <w:lang w:eastAsia="en-AU"/>
        </w:rPr>
        <w:t xml:space="preserve">Any other </w:t>
      </w:r>
      <w:r>
        <w:rPr>
          <w:lang w:eastAsia="en-AU"/>
        </w:rPr>
        <w:t xml:space="preserve">period of </w:t>
      </w:r>
      <w:r w:rsidRPr="00F13CB5">
        <w:rPr>
          <w:lang w:eastAsia="en-AU"/>
        </w:rPr>
        <w:t xml:space="preserve">service </w:t>
      </w:r>
      <w:r>
        <w:rPr>
          <w:lang w:eastAsia="en-AU"/>
        </w:rPr>
        <w:t xml:space="preserve">specifically </w:t>
      </w:r>
      <w:proofErr w:type="spellStart"/>
      <w:r w:rsidRPr="00F13CB5">
        <w:rPr>
          <w:lang w:eastAsia="en-AU"/>
        </w:rPr>
        <w:t>recognised</w:t>
      </w:r>
      <w:proofErr w:type="spellEnd"/>
      <w:r w:rsidRPr="00F13CB5">
        <w:rPr>
          <w:lang w:eastAsia="en-AU"/>
        </w:rPr>
        <w:t xml:space="preserve"> by </w:t>
      </w:r>
      <w:r>
        <w:rPr>
          <w:lang w:eastAsia="en-AU"/>
        </w:rPr>
        <w:t xml:space="preserve">the </w:t>
      </w:r>
      <w:r w:rsidRPr="00F13CB5">
        <w:rPr>
          <w:lang w:eastAsia="en-AU"/>
        </w:rPr>
        <w:t>VCA</w:t>
      </w:r>
      <w:r>
        <w:rPr>
          <w:lang w:eastAsia="en-AU"/>
        </w:rPr>
        <w:t>A</w:t>
      </w:r>
    </w:p>
    <w:p w14:paraId="3DEAF695" w14:textId="77777777" w:rsidR="00B44412" w:rsidRPr="00B44412" w:rsidRDefault="00B44412" w:rsidP="00B44412">
      <w:pPr>
        <w:pStyle w:val="Heading5"/>
      </w:pPr>
      <w:r w:rsidRPr="00B44412">
        <w:t>2.3 Gaps in service for casual and sessional employees</w:t>
      </w:r>
    </w:p>
    <w:p w14:paraId="7A028FF0" w14:textId="77777777" w:rsidR="00B44412" w:rsidRPr="0083185E" w:rsidRDefault="00B44412" w:rsidP="0083185E">
      <w:pPr>
        <w:pStyle w:val="VCAAbody"/>
        <w:rPr>
          <w:lang w:eastAsia="en-AU"/>
        </w:rPr>
      </w:pPr>
      <w:r w:rsidRPr="0083185E">
        <w:rPr>
          <w:lang w:eastAsia="en-AU"/>
        </w:rPr>
        <w:t>The following examples illustrate the application of this policy to continuity of service for casual and sessional employees:</w:t>
      </w:r>
    </w:p>
    <w:p w14:paraId="4F58D3E9" w14:textId="77777777" w:rsidR="00B44412" w:rsidRPr="0083185E" w:rsidRDefault="00B44412" w:rsidP="00153B07">
      <w:pPr>
        <w:pStyle w:val="VCAAbody"/>
        <w:numPr>
          <w:ilvl w:val="0"/>
          <w:numId w:val="16"/>
        </w:numPr>
        <w:rPr>
          <w:lang w:eastAsia="en-AU"/>
        </w:rPr>
      </w:pPr>
      <w:r w:rsidRPr="0083185E">
        <w:rPr>
          <w:lang w:eastAsia="en-AU"/>
        </w:rPr>
        <w:t xml:space="preserve">If a casual or sessional employee is reemployed within </w:t>
      </w:r>
      <w:proofErr w:type="gramStart"/>
      <w:r w:rsidRPr="0083185E">
        <w:rPr>
          <w:lang w:eastAsia="en-AU"/>
        </w:rPr>
        <w:t>12-months</w:t>
      </w:r>
      <w:proofErr w:type="gramEnd"/>
      <w:r w:rsidRPr="0083185E">
        <w:rPr>
          <w:lang w:eastAsia="en-AU"/>
        </w:rPr>
        <w:t xml:space="preserve"> from the end date of their previous contract, the period between engagements will be treated as part of the employee’s continuous service for long service leave purposes.</w:t>
      </w:r>
    </w:p>
    <w:p w14:paraId="1DC676E0" w14:textId="77777777" w:rsidR="00B44412" w:rsidRPr="0083185E" w:rsidRDefault="00B44412" w:rsidP="00153B07">
      <w:pPr>
        <w:pStyle w:val="VCAAbody"/>
        <w:numPr>
          <w:ilvl w:val="0"/>
          <w:numId w:val="16"/>
        </w:numPr>
        <w:rPr>
          <w:lang w:eastAsia="en-AU"/>
        </w:rPr>
      </w:pPr>
      <w:r w:rsidRPr="0083185E">
        <w:rPr>
          <w:lang w:eastAsia="en-AU"/>
        </w:rPr>
        <w:t xml:space="preserve">If a casual or sessional employee does not </w:t>
      </w:r>
      <w:proofErr w:type="gramStart"/>
      <w:r w:rsidRPr="0083185E">
        <w:rPr>
          <w:lang w:eastAsia="en-AU"/>
        </w:rPr>
        <w:t>recommence</w:t>
      </w:r>
      <w:proofErr w:type="gramEnd"/>
      <w:r w:rsidRPr="0083185E">
        <w:rPr>
          <w:lang w:eastAsia="en-AU"/>
        </w:rPr>
        <w:t xml:space="preserve"> employment within </w:t>
      </w:r>
      <w:proofErr w:type="gramStart"/>
      <w:r w:rsidRPr="0083185E">
        <w:rPr>
          <w:lang w:eastAsia="en-AU"/>
        </w:rPr>
        <w:t>12-months</w:t>
      </w:r>
      <w:proofErr w:type="gramEnd"/>
      <w:r w:rsidRPr="0083185E">
        <w:rPr>
          <w:lang w:eastAsia="en-AU"/>
        </w:rPr>
        <w:t xml:space="preserve"> of the end date of their previous contract, this will be considered a break in continuous service.</w:t>
      </w:r>
    </w:p>
    <w:p w14:paraId="61CB320F" w14:textId="77777777" w:rsidR="00B44412" w:rsidRPr="0083185E" w:rsidRDefault="00B44412" w:rsidP="00153B07">
      <w:pPr>
        <w:pStyle w:val="VCAAbody"/>
        <w:numPr>
          <w:ilvl w:val="0"/>
          <w:numId w:val="16"/>
        </w:numPr>
        <w:rPr>
          <w:lang w:eastAsia="en-AU"/>
        </w:rPr>
      </w:pPr>
      <w:r w:rsidRPr="0083185E">
        <w:rPr>
          <w:lang w:eastAsia="en-AU"/>
        </w:rPr>
        <w:t xml:space="preserve">Absences of more than </w:t>
      </w:r>
      <w:proofErr w:type="gramStart"/>
      <w:r w:rsidRPr="0083185E">
        <w:rPr>
          <w:lang w:eastAsia="en-AU"/>
        </w:rPr>
        <w:t>12-months</w:t>
      </w:r>
      <w:proofErr w:type="gramEnd"/>
      <w:r w:rsidRPr="0083185E">
        <w:rPr>
          <w:lang w:eastAsia="en-AU"/>
        </w:rPr>
        <w:t xml:space="preserve"> between engagements from the end date of their previous contract will be regarded as outside normal sessional factors and will generally break continuous service unless legislative exceptions apply. In these circumstances, the employee’s continuous </w:t>
      </w:r>
      <w:r w:rsidRPr="0083185E">
        <w:rPr>
          <w:lang w:eastAsia="en-AU"/>
        </w:rPr>
        <w:lastRenderedPageBreak/>
        <w:t xml:space="preserve">service for the purpose of long service leave will be deemed to have ended </w:t>
      </w:r>
      <w:proofErr w:type="gramStart"/>
      <w:r w:rsidRPr="0083185E">
        <w:rPr>
          <w:lang w:eastAsia="en-AU"/>
        </w:rPr>
        <w:t>12-months</w:t>
      </w:r>
      <w:proofErr w:type="gramEnd"/>
      <w:r w:rsidRPr="0083185E">
        <w:rPr>
          <w:lang w:eastAsia="en-AU"/>
        </w:rPr>
        <w:t xml:space="preserve"> after the end of their previous contract. </w:t>
      </w:r>
    </w:p>
    <w:p w14:paraId="4B4C5C9D" w14:textId="77777777" w:rsidR="00B44412" w:rsidRPr="0083185E" w:rsidRDefault="00B44412" w:rsidP="00153B07">
      <w:pPr>
        <w:pStyle w:val="VCAAbody"/>
        <w:numPr>
          <w:ilvl w:val="0"/>
          <w:numId w:val="16"/>
        </w:numPr>
        <w:rPr>
          <w:lang w:eastAsia="en-AU"/>
        </w:rPr>
      </w:pPr>
      <w:r w:rsidRPr="0083185E">
        <w:rPr>
          <w:lang w:eastAsia="en-AU"/>
        </w:rPr>
        <w:t xml:space="preserve">If an employee </w:t>
      </w:r>
      <w:proofErr w:type="gramStart"/>
      <w:r w:rsidRPr="0083185E">
        <w:rPr>
          <w:lang w:eastAsia="en-AU"/>
        </w:rPr>
        <w:t>recommences</w:t>
      </w:r>
      <w:proofErr w:type="gramEnd"/>
      <w:r w:rsidRPr="0083185E">
        <w:rPr>
          <w:lang w:eastAsia="en-AU"/>
        </w:rPr>
        <w:t xml:space="preserve"> employment with the VCAA more than </w:t>
      </w:r>
      <w:proofErr w:type="gramStart"/>
      <w:r w:rsidRPr="0083185E">
        <w:rPr>
          <w:lang w:eastAsia="en-AU"/>
        </w:rPr>
        <w:t>12-months</w:t>
      </w:r>
      <w:proofErr w:type="gramEnd"/>
      <w:r w:rsidRPr="0083185E">
        <w:rPr>
          <w:lang w:eastAsia="en-AU"/>
        </w:rPr>
        <w:t xml:space="preserve"> after their contract end date, they will begin a new period of </w:t>
      </w:r>
      <w:proofErr w:type="gramStart"/>
      <w:r w:rsidRPr="0083185E">
        <w:rPr>
          <w:lang w:eastAsia="en-AU"/>
        </w:rPr>
        <w:t>service</w:t>
      </w:r>
      <w:proofErr w:type="gramEnd"/>
      <w:r w:rsidRPr="0083185E">
        <w:rPr>
          <w:lang w:eastAsia="en-AU"/>
        </w:rPr>
        <w:t xml:space="preserve"> and their long service leave accrual will start again from their new commencement date.</w:t>
      </w:r>
    </w:p>
    <w:p w14:paraId="4B89D3D8" w14:textId="77777777" w:rsidR="00B44412" w:rsidRPr="0083185E" w:rsidRDefault="00B44412" w:rsidP="0083185E">
      <w:pPr>
        <w:pStyle w:val="VCAAbody"/>
        <w:rPr>
          <w:lang w:eastAsia="en-AU"/>
        </w:rPr>
      </w:pPr>
      <w:r w:rsidRPr="0083185E">
        <w:rPr>
          <w:lang w:eastAsia="en-AU"/>
        </w:rPr>
        <w:t xml:space="preserve">If an employee resigns before the end of their </w:t>
      </w:r>
      <w:proofErr w:type="gramStart"/>
      <w:r w:rsidRPr="0083185E">
        <w:rPr>
          <w:lang w:eastAsia="en-AU"/>
        </w:rPr>
        <w:t>contracted</w:t>
      </w:r>
      <w:proofErr w:type="gramEnd"/>
      <w:r w:rsidRPr="0083185E">
        <w:rPr>
          <w:lang w:eastAsia="en-AU"/>
        </w:rPr>
        <w:t xml:space="preserve"> period, their contract end date will be adjusted. If the employee returns within </w:t>
      </w:r>
      <w:proofErr w:type="gramStart"/>
      <w:r w:rsidRPr="0083185E">
        <w:rPr>
          <w:lang w:eastAsia="en-AU"/>
        </w:rPr>
        <w:t>12-months</w:t>
      </w:r>
      <w:proofErr w:type="gramEnd"/>
      <w:r w:rsidRPr="0083185E">
        <w:rPr>
          <w:lang w:eastAsia="en-AU"/>
        </w:rPr>
        <w:t xml:space="preserve"> of the adjusted contract end date they will maintain continuity of service for the purposes of long service leave. </w:t>
      </w:r>
    </w:p>
    <w:p w14:paraId="0190D306" w14:textId="77777777" w:rsidR="00B44412" w:rsidRPr="00B44412" w:rsidRDefault="00B44412" w:rsidP="00B44412">
      <w:pPr>
        <w:pStyle w:val="Heading5"/>
      </w:pPr>
      <w:r w:rsidRPr="00B44412">
        <w:t>2.4 Breaks in service</w:t>
      </w:r>
    </w:p>
    <w:p w14:paraId="2BFC4095" w14:textId="77777777" w:rsidR="00B44412" w:rsidRPr="0083185E" w:rsidRDefault="00B44412" w:rsidP="0083185E">
      <w:pPr>
        <w:pStyle w:val="VCAAbody"/>
        <w:rPr>
          <w:lang w:eastAsia="en-AU"/>
        </w:rPr>
      </w:pPr>
      <w:r w:rsidRPr="0083185E">
        <w:rPr>
          <w:lang w:eastAsia="en-AU"/>
        </w:rPr>
        <w:t>A break in service happens when an employee’s employment ends and there is no ongoing employment relationship.</w:t>
      </w:r>
    </w:p>
    <w:p w14:paraId="07465ED6" w14:textId="77777777" w:rsidR="00B44412" w:rsidRPr="0083185E" w:rsidRDefault="00B44412" w:rsidP="0083185E">
      <w:pPr>
        <w:pStyle w:val="VCAAbody"/>
        <w:rPr>
          <w:lang w:eastAsia="en-AU"/>
        </w:rPr>
      </w:pPr>
      <w:r w:rsidRPr="0083185E">
        <w:rPr>
          <w:lang w:eastAsia="en-AU"/>
        </w:rPr>
        <w:t>Subject to statutory exceptions, absences beyond 52 weeks from the end of one contract period to the start of the next contract period are considered outside of sessional reasons and therefore will break continuous service.</w:t>
      </w:r>
    </w:p>
    <w:p w14:paraId="31B0FA64" w14:textId="77777777" w:rsidR="00B44412" w:rsidRPr="0083185E" w:rsidRDefault="00B44412" w:rsidP="0083185E">
      <w:pPr>
        <w:pStyle w:val="VCAAbody"/>
        <w:rPr>
          <w:lang w:eastAsia="en-AU"/>
        </w:rPr>
      </w:pPr>
      <w:r w:rsidRPr="0083185E">
        <w:rPr>
          <w:lang w:eastAsia="en-AU"/>
        </w:rPr>
        <w:t>Examples of breaks in service include:</w:t>
      </w:r>
    </w:p>
    <w:p w14:paraId="6D82AAD3" w14:textId="77777777" w:rsidR="00B44412" w:rsidRPr="0083185E" w:rsidRDefault="00B44412" w:rsidP="00153B07">
      <w:pPr>
        <w:pStyle w:val="VCAAbody"/>
        <w:numPr>
          <w:ilvl w:val="0"/>
          <w:numId w:val="16"/>
        </w:numPr>
        <w:rPr>
          <w:lang w:eastAsia="en-AU"/>
        </w:rPr>
      </w:pPr>
      <w:r w:rsidRPr="0083185E">
        <w:rPr>
          <w:lang w:eastAsia="en-AU"/>
        </w:rPr>
        <w:t>resigning from employment</w:t>
      </w:r>
    </w:p>
    <w:p w14:paraId="48E056B4" w14:textId="77777777" w:rsidR="00B44412" w:rsidRPr="0083185E" w:rsidRDefault="00B44412" w:rsidP="00153B07">
      <w:pPr>
        <w:pStyle w:val="VCAAbody"/>
        <w:numPr>
          <w:ilvl w:val="0"/>
          <w:numId w:val="16"/>
        </w:numPr>
        <w:rPr>
          <w:lang w:eastAsia="en-AU"/>
        </w:rPr>
      </w:pPr>
      <w:r w:rsidRPr="0083185E">
        <w:rPr>
          <w:lang w:eastAsia="en-AU"/>
        </w:rPr>
        <w:t>termination of employment</w:t>
      </w:r>
    </w:p>
    <w:p w14:paraId="616B04CA" w14:textId="77777777" w:rsidR="00B44412" w:rsidRPr="0083185E" w:rsidRDefault="00B44412" w:rsidP="00153B07">
      <w:pPr>
        <w:pStyle w:val="VCAAbody"/>
        <w:numPr>
          <w:ilvl w:val="0"/>
          <w:numId w:val="16"/>
        </w:numPr>
        <w:rPr>
          <w:lang w:eastAsia="en-AU"/>
        </w:rPr>
      </w:pPr>
      <w:proofErr w:type="gramStart"/>
      <w:r w:rsidRPr="0083185E">
        <w:rPr>
          <w:lang w:eastAsia="en-AU"/>
        </w:rPr>
        <w:t>retirement</w:t>
      </w:r>
      <w:proofErr w:type="gramEnd"/>
    </w:p>
    <w:p w14:paraId="61A3AB92" w14:textId="77777777" w:rsidR="00B44412" w:rsidRPr="0083185E" w:rsidRDefault="00B44412" w:rsidP="00153B07">
      <w:pPr>
        <w:pStyle w:val="VCAAbody"/>
        <w:numPr>
          <w:ilvl w:val="0"/>
          <w:numId w:val="16"/>
        </w:numPr>
        <w:rPr>
          <w:lang w:eastAsia="en-AU"/>
        </w:rPr>
      </w:pPr>
      <w:r w:rsidRPr="0083185E">
        <w:rPr>
          <w:lang w:eastAsia="en-AU"/>
        </w:rPr>
        <w:t>abandonment of employment</w:t>
      </w:r>
    </w:p>
    <w:p w14:paraId="5EF9F959" w14:textId="77777777" w:rsidR="00B44412" w:rsidRPr="0083185E" w:rsidRDefault="00B44412" w:rsidP="00153B07">
      <w:pPr>
        <w:pStyle w:val="VCAAbody"/>
        <w:numPr>
          <w:ilvl w:val="0"/>
          <w:numId w:val="16"/>
        </w:numPr>
        <w:rPr>
          <w:lang w:eastAsia="en-AU"/>
        </w:rPr>
      </w:pPr>
      <w:r w:rsidRPr="0083185E">
        <w:rPr>
          <w:lang w:eastAsia="en-AU"/>
        </w:rPr>
        <w:t>extended gaps between periods of employment, outside of sessional reasons</w:t>
      </w:r>
    </w:p>
    <w:p w14:paraId="36DFA818" w14:textId="5BC455D7" w:rsidR="00B44412" w:rsidRPr="0083185E" w:rsidRDefault="00B44412" w:rsidP="0083185E">
      <w:pPr>
        <w:pStyle w:val="VCAAbody"/>
        <w:rPr>
          <w:lang w:eastAsia="en-AU"/>
        </w:rPr>
      </w:pPr>
      <w:r w:rsidRPr="0083185E">
        <w:rPr>
          <w:lang w:eastAsia="en-AU"/>
        </w:rPr>
        <w:t xml:space="preserve">Where a gap in employment results in </w:t>
      </w:r>
      <w:r w:rsidR="00C779FF" w:rsidRPr="0083185E">
        <w:rPr>
          <w:lang w:eastAsia="en-AU"/>
        </w:rPr>
        <w:t xml:space="preserve">an </w:t>
      </w:r>
      <w:r w:rsidRPr="0083185E">
        <w:rPr>
          <w:lang w:eastAsia="en-AU"/>
        </w:rPr>
        <w:t>employee’s continuous service being broken and the individual is subsequently re-employed, they will begin a new period of continuous service based on their new hire date and must complete the eligibility period again before accessing long service leave.</w:t>
      </w:r>
    </w:p>
    <w:p w14:paraId="3D40759D" w14:textId="77777777" w:rsidR="00B44412" w:rsidRPr="00916F2F" w:rsidRDefault="00B44412" w:rsidP="00916F2F">
      <w:pPr>
        <w:pStyle w:val="Heading3"/>
      </w:pPr>
      <w:bookmarkStart w:id="9" w:name="_Toc233379926"/>
      <w:r w:rsidRPr="00916F2F">
        <w:t>3. Payment in Lieu of Long Service Leave</w:t>
      </w:r>
      <w:bookmarkEnd w:id="9"/>
    </w:p>
    <w:p w14:paraId="6CECDA27" w14:textId="77777777" w:rsidR="00B44412" w:rsidRPr="0083185E" w:rsidRDefault="00B44412" w:rsidP="0083185E">
      <w:pPr>
        <w:pStyle w:val="VCAAbody"/>
        <w:rPr>
          <w:lang w:eastAsia="en-AU"/>
        </w:rPr>
      </w:pPr>
      <w:r w:rsidRPr="0083185E">
        <w:rPr>
          <w:lang w:eastAsia="en-AU"/>
        </w:rPr>
        <w:t>Unused long service leave credits are paid out on termination of employment, including:</w:t>
      </w:r>
      <w:r w:rsidRPr="0083185E">
        <w:rPr>
          <w:lang w:eastAsia="en-AU"/>
        </w:rPr>
        <w:tab/>
      </w:r>
    </w:p>
    <w:p w14:paraId="557A0D5E" w14:textId="77777777" w:rsidR="00B44412" w:rsidRPr="0083185E" w:rsidRDefault="00B44412" w:rsidP="00153B07">
      <w:pPr>
        <w:pStyle w:val="VCAAbody"/>
        <w:numPr>
          <w:ilvl w:val="0"/>
          <w:numId w:val="16"/>
        </w:numPr>
        <w:rPr>
          <w:lang w:eastAsia="en-AU"/>
        </w:rPr>
      </w:pPr>
      <w:r w:rsidRPr="0083185E">
        <w:rPr>
          <w:lang w:eastAsia="en-AU"/>
        </w:rPr>
        <w:t>When an employee resigns or retires from their employment or in the event of their death</w:t>
      </w:r>
    </w:p>
    <w:p w14:paraId="465FAB16" w14:textId="77777777" w:rsidR="00B44412" w:rsidRPr="0083185E" w:rsidRDefault="00B44412" w:rsidP="00153B07">
      <w:pPr>
        <w:pStyle w:val="VCAAbody"/>
        <w:numPr>
          <w:ilvl w:val="0"/>
          <w:numId w:val="16"/>
        </w:numPr>
        <w:rPr>
          <w:lang w:eastAsia="en-AU"/>
        </w:rPr>
      </w:pPr>
      <w:r w:rsidRPr="0083185E">
        <w:rPr>
          <w:lang w:eastAsia="en-AU"/>
        </w:rPr>
        <w:t>When an employee is advised by the VCAA that their services are no longer required in any role due to suitability, performance or conduct, or</w:t>
      </w:r>
    </w:p>
    <w:p w14:paraId="5F333FF6" w14:textId="77777777" w:rsidR="00B44412" w:rsidRPr="0083185E" w:rsidRDefault="00B44412" w:rsidP="00153B07">
      <w:pPr>
        <w:pStyle w:val="VCAAbody"/>
        <w:numPr>
          <w:ilvl w:val="0"/>
          <w:numId w:val="16"/>
        </w:numPr>
        <w:rPr>
          <w:lang w:eastAsia="en-AU"/>
        </w:rPr>
      </w:pPr>
      <w:r w:rsidRPr="0083185E">
        <w:rPr>
          <w:lang w:eastAsia="en-AU"/>
        </w:rPr>
        <w:t>After a gap in service of 52 weeks and 1 day.</w:t>
      </w:r>
    </w:p>
    <w:p w14:paraId="4C299975" w14:textId="77777777" w:rsidR="00B44412" w:rsidRPr="0083185E" w:rsidRDefault="00B44412" w:rsidP="0083185E">
      <w:pPr>
        <w:pStyle w:val="VCAAbody"/>
        <w:rPr>
          <w:lang w:eastAsia="en-AU"/>
        </w:rPr>
      </w:pPr>
      <w:r w:rsidRPr="0083185E">
        <w:rPr>
          <w:lang w:eastAsia="en-AU"/>
        </w:rPr>
        <w:t xml:space="preserve">Where the calculation of the long service leave is more beneficial under the Long Service Leave Act 2018 (Vic) accrual formula, the employee will be paid the more beneficial amount. </w:t>
      </w:r>
    </w:p>
    <w:p w14:paraId="72F0F637" w14:textId="77777777" w:rsidR="00B44412" w:rsidRPr="00916F2F" w:rsidRDefault="00B44412" w:rsidP="00916F2F">
      <w:pPr>
        <w:pStyle w:val="Heading3"/>
      </w:pPr>
      <w:bookmarkStart w:id="10" w:name="_Toc233379927"/>
      <w:r w:rsidRPr="00916F2F">
        <w:t>4. Applying for and Approving Long Service Leave</w:t>
      </w:r>
      <w:bookmarkEnd w:id="10"/>
    </w:p>
    <w:p w14:paraId="21229E95" w14:textId="77777777" w:rsidR="00B44412" w:rsidRPr="00E74D69" w:rsidRDefault="00B44412" w:rsidP="0083185E">
      <w:pPr>
        <w:pStyle w:val="VCAAbody"/>
        <w:rPr>
          <w:b/>
          <w:bCs/>
          <w:sz w:val="27"/>
          <w:szCs w:val="27"/>
          <w:lang w:eastAsia="en-AU"/>
        </w:rPr>
      </w:pPr>
      <w:r>
        <w:rPr>
          <w:lang w:eastAsia="en-AU"/>
        </w:rPr>
        <w:t xml:space="preserve">Employees are required to apply for long service leave. </w:t>
      </w:r>
      <w:r w:rsidRPr="005A0FB7">
        <w:rPr>
          <w:lang w:eastAsia="en-AU"/>
        </w:rPr>
        <w:t>An application for long service leave needs to be lodged with sufficient notice before the intended commencement of leave</w:t>
      </w:r>
      <w:r>
        <w:rPr>
          <w:lang w:eastAsia="en-AU"/>
        </w:rPr>
        <w:t>.</w:t>
      </w:r>
      <w:r w:rsidRPr="005A0FB7" w:rsidDel="009C6249">
        <w:rPr>
          <w:lang w:eastAsia="en-AU"/>
        </w:rPr>
        <w:t xml:space="preserve"> </w:t>
      </w:r>
      <w:r>
        <w:rPr>
          <w:lang w:eastAsia="en-AU"/>
        </w:rPr>
        <w:t>L</w:t>
      </w:r>
      <w:r w:rsidRPr="004D606F">
        <w:rPr>
          <w:lang w:eastAsia="en-AU"/>
        </w:rPr>
        <w:t xml:space="preserve">ong service leave </w:t>
      </w:r>
      <w:r>
        <w:rPr>
          <w:lang w:eastAsia="en-AU"/>
        </w:rPr>
        <w:t xml:space="preserve">can only be taken </w:t>
      </w:r>
      <w:r w:rsidRPr="004D606F">
        <w:rPr>
          <w:lang w:eastAsia="en-AU"/>
        </w:rPr>
        <w:t>within an employee’s contract</w:t>
      </w:r>
      <w:r>
        <w:rPr>
          <w:lang w:eastAsia="en-AU"/>
        </w:rPr>
        <w:t>ed</w:t>
      </w:r>
      <w:r w:rsidRPr="004D606F">
        <w:rPr>
          <w:lang w:eastAsia="en-AU"/>
        </w:rPr>
        <w:t xml:space="preserve"> period</w:t>
      </w:r>
      <w:r>
        <w:rPr>
          <w:lang w:eastAsia="en-AU"/>
        </w:rPr>
        <w:t xml:space="preserve"> of employment</w:t>
      </w:r>
      <w:r w:rsidRPr="004D606F">
        <w:rPr>
          <w:lang w:eastAsia="en-AU"/>
        </w:rPr>
        <w:t>.</w:t>
      </w:r>
    </w:p>
    <w:p w14:paraId="482A84AF" w14:textId="77777777" w:rsidR="00B44412" w:rsidRPr="00E74D69" w:rsidRDefault="00B44412" w:rsidP="0083185E">
      <w:pPr>
        <w:pStyle w:val="VCAAbody"/>
        <w:rPr>
          <w:lang w:eastAsia="en-AU"/>
        </w:rPr>
      </w:pPr>
      <w:r w:rsidRPr="00E74D69">
        <w:rPr>
          <w:lang w:eastAsia="en-AU"/>
        </w:rPr>
        <w:t>Whil</w:t>
      </w:r>
      <w:r>
        <w:rPr>
          <w:lang w:eastAsia="en-AU"/>
        </w:rPr>
        <w:t>e</w:t>
      </w:r>
      <w:r w:rsidRPr="00E74D69">
        <w:rPr>
          <w:lang w:eastAsia="en-AU"/>
        </w:rPr>
        <w:t xml:space="preserve"> long service leave is an entitlement, the timing of the leave is discretionary. In considering applications for long service leave, the manager will have regard to the operational requirements of the work area, </w:t>
      </w:r>
      <w:proofErr w:type="gramStart"/>
      <w:r w:rsidRPr="00E74D69">
        <w:rPr>
          <w:lang w:eastAsia="en-AU"/>
        </w:rPr>
        <w:t>taking into account</w:t>
      </w:r>
      <w:proofErr w:type="gramEnd"/>
      <w:r w:rsidRPr="00E74D69">
        <w:rPr>
          <w:lang w:eastAsia="en-AU"/>
        </w:rPr>
        <w:t xml:space="preserve"> the availability of replacement staff and the number of staff who wish to take leave at the same </w:t>
      </w:r>
      <w:r w:rsidRPr="00E74D69">
        <w:rPr>
          <w:lang w:eastAsia="en-AU"/>
        </w:rPr>
        <w:lastRenderedPageBreak/>
        <w:t xml:space="preserve">time. Where long service leave is not granted, </w:t>
      </w:r>
      <w:r w:rsidRPr="00C151EE">
        <w:rPr>
          <w:lang w:eastAsia="en-AU"/>
        </w:rPr>
        <w:t xml:space="preserve">arrangements will be </w:t>
      </w:r>
      <w:r>
        <w:rPr>
          <w:lang w:eastAsia="en-AU"/>
        </w:rPr>
        <w:t xml:space="preserve">made </w:t>
      </w:r>
      <w:r w:rsidRPr="00E74D69">
        <w:rPr>
          <w:lang w:eastAsia="en-AU"/>
        </w:rPr>
        <w:t>to enable leave to be taken at an alternative date in the future.</w:t>
      </w:r>
    </w:p>
    <w:p w14:paraId="2230FD26" w14:textId="77777777" w:rsidR="00B44412" w:rsidRPr="0083185E" w:rsidRDefault="00B44412" w:rsidP="0083185E">
      <w:pPr>
        <w:pStyle w:val="VCAAbody"/>
        <w:rPr>
          <w:lang w:eastAsia="en-AU"/>
        </w:rPr>
      </w:pPr>
      <w:r w:rsidRPr="0083185E">
        <w:rPr>
          <w:lang w:eastAsia="en-AU"/>
        </w:rPr>
        <w:t>Employees are not permitted to undertake paid work outside the VCAA while on long service leave.</w:t>
      </w:r>
    </w:p>
    <w:p w14:paraId="4C6C70E6" w14:textId="77777777" w:rsidR="00B44412" w:rsidRPr="00916F2F" w:rsidRDefault="00B44412" w:rsidP="00916F2F">
      <w:pPr>
        <w:pStyle w:val="Heading3"/>
      </w:pPr>
      <w:bookmarkStart w:id="11" w:name="_Toc233379928"/>
      <w:r w:rsidRPr="00916F2F">
        <w:t>5. Interaction with Other Leave Types</w:t>
      </w:r>
      <w:bookmarkEnd w:id="11"/>
    </w:p>
    <w:p w14:paraId="7733F614" w14:textId="77777777" w:rsidR="00B44412" w:rsidRPr="00B44412" w:rsidRDefault="00B44412" w:rsidP="00B44412">
      <w:pPr>
        <w:pStyle w:val="Heading5"/>
      </w:pPr>
      <w:r w:rsidRPr="00B44412">
        <w:t>5.1 Personal leave while on long service leave</w:t>
      </w:r>
    </w:p>
    <w:p w14:paraId="4A83C0C2" w14:textId="3552E325" w:rsidR="00B44412" w:rsidRPr="0083185E" w:rsidRDefault="00B44412" w:rsidP="0083185E">
      <w:pPr>
        <w:pStyle w:val="VCAAbody"/>
        <w:rPr>
          <w:lang w:eastAsia="en-AU"/>
        </w:rPr>
      </w:pPr>
      <w:r w:rsidRPr="0083185E">
        <w:rPr>
          <w:lang w:eastAsia="en-AU"/>
        </w:rPr>
        <w:t xml:space="preserve">An employee other than a sessional or casual employee who becomes ill or is injured during long service leave may be granted personal leave. Where this occurs, the equivalent amount of long service credits will be restored to the </w:t>
      </w:r>
      <w:proofErr w:type="gramStart"/>
      <w:r w:rsidRPr="0083185E">
        <w:rPr>
          <w:lang w:eastAsia="en-AU"/>
        </w:rPr>
        <w:t>employee</w:t>
      </w:r>
      <w:proofErr w:type="gramEnd"/>
      <w:r w:rsidRPr="0083185E">
        <w:rPr>
          <w:lang w:eastAsia="en-AU"/>
        </w:rPr>
        <w:t xml:space="preserve"> </w:t>
      </w:r>
      <w:r w:rsidRPr="00C151EE">
        <w:rPr>
          <w:lang w:eastAsia="en-AU"/>
        </w:rPr>
        <w:t>and the employee will access their accrual of personal leave</w:t>
      </w:r>
      <w:r w:rsidRPr="0083185E">
        <w:rPr>
          <w:lang w:eastAsia="en-AU"/>
        </w:rPr>
        <w:t>. The initial period of long service leave will not be automatically extended; however, an employee may apply for an extension of the leave.</w:t>
      </w:r>
      <w:r w:rsidR="00CC654B">
        <w:rPr>
          <w:lang w:eastAsia="en-AU"/>
        </w:rPr>
        <w:t xml:space="preserve"> </w:t>
      </w:r>
      <w:r w:rsidRPr="0083185E">
        <w:rPr>
          <w:lang w:eastAsia="en-AU"/>
        </w:rPr>
        <w:t xml:space="preserve">An application to substitute leave must include a required document to support the request. </w:t>
      </w:r>
    </w:p>
    <w:p w14:paraId="0974AD39" w14:textId="5897CAFA" w:rsidR="003F46B8" w:rsidRDefault="0031197E" w:rsidP="0034058C">
      <w:pPr>
        <w:pStyle w:val="Heading2"/>
      </w:pPr>
      <w:bookmarkStart w:id="12" w:name="_Toc233379929"/>
      <w:bookmarkEnd w:id="8"/>
      <w:r>
        <w:t>Legislative context</w:t>
      </w:r>
      <w:bookmarkEnd w:id="12"/>
      <w:r>
        <w:t xml:space="preserve"> </w:t>
      </w:r>
    </w:p>
    <w:p w14:paraId="3B5A3E63" w14:textId="6266E9F1" w:rsidR="00B44412" w:rsidRPr="0083185E" w:rsidRDefault="00B44412" w:rsidP="0083185E">
      <w:pPr>
        <w:pStyle w:val="VCAAbody"/>
        <w:rPr>
          <w:lang w:eastAsia="en-AU"/>
        </w:rPr>
      </w:pPr>
      <w:bookmarkStart w:id="13" w:name="_Hlk192844956"/>
      <w:r w:rsidRPr="0083185E">
        <w:rPr>
          <w:lang w:eastAsia="en-AU"/>
        </w:rPr>
        <w:t>The VCAA provides access to long service leave under this policy in accordance with:</w:t>
      </w:r>
    </w:p>
    <w:p w14:paraId="101841F2" w14:textId="77777777" w:rsidR="00B44412" w:rsidRPr="0083185E" w:rsidRDefault="00B44412" w:rsidP="00153B07">
      <w:pPr>
        <w:pStyle w:val="VCAAbody"/>
        <w:numPr>
          <w:ilvl w:val="0"/>
          <w:numId w:val="16"/>
        </w:numPr>
        <w:rPr>
          <w:lang w:eastAsia="en-AU"/>
        </w:rPr>
      </w:pPr>
      <w:r w:rsidRPr="0083185E">
        <w:rPr>
          <w:lang w:eastAsia="en-AU"/>
        </w:rPr>
        <w:t>the Long Service Leave Act 2018 (Vic)</w:t>
      </w:r>
    </w:p>
    <w:p w14:paraId="0DA69C8F" w14:textId="77777777" w:rsidR="00B44412" w:rsidRPr="0083185E" w:rsidRDefault="00B44412" w:rsidP="00153B07">
      <w:pPr>
        <w:pStyle w:val="VCAAbody"/>
        <w:numPr>
          <w:ilvl w:val="0"/>
          <w:numId w:val="16"/>
        </w:numPr>
        <w:rPr>
          <w:lang w:eastAsia="en-AU"/>
        </w:rPr>
      </w:pPr>
      <w:r w:rsidRPr="0083185E">
        <w:rPr>
          <w:lang w:eastAsia="en-AU"/>
        </w:rPr>
        <w:t>the Education and Training Reform Act 2006 (Vic)</w:t>
      </w:r>
    </w:p>
    <w:p w14:paraId="4BD0E3E7" w14:textId="77777777" w:rsidR="00B44412" w:rsidRPr="0083185E" w:rsidRDefault="00B44412" w:rsidP="00153B07">
      <w:pPr>
        <w:pStyle w:val="VCAAbody"/>
        <w:numPr>
          <w:ilvl w:val="0"/>
          <w:numId w:val="16"/>
        </w:numPr>
        <w:rPr>
          <w:lang w:eastAsia="en-AU"/>
        </w:rPr>
      </w:pPr>
      <w:r w:rsidRPr="0083185E">
        <w:rPr>
          <w:lang w:eastAsia="en-AU"/>
        </w:rPr>
        <w:t>Ministerial Order 1451</w:t>
      </w:r>
    </w:p>
    <w:p w14:paraId="27C3F979" w14:textId="77777777" w:rsidR="00B44412" w:rsidRPr="0083185E" w:rsidRDefault="00B44412" w:rsidP="00153B07">
      <w:pPr>
        <w:pStyle w:val="VCAAbody"/>
        <w:numPr>
          <w:ilvl w:val="0"/>
          <w:numId w:val="16"/>
        </w:numPr>
        <w:rPr>
          <w:lang w:eastAsia="en-AU"/>
        </w:rPr>
      </w:pPr>
      <w:r w:rsidRPr="0083185E">
        <w:rPr>
          <w:lang w:eastAsia="en-AU"/>
        </w:rPr>
        <w:t>applicable government policies and VCAA operational requirements.</w:t>
      </w:r>
    </w:p>
    <w:p w14:paraId="6167D00C" w14:textId="6E7D3FE6" w:rsidR="003F46B8" w:rsidRDefault="003F46B8" w:rsidP="0034058C">
      <w:pPr>
        <w:pStyle w:val="Heading2"/>
      </w:pPr>
      <w:bookmarkStart w:id="14" w:name="_Toc233379930"/>
      <w:bookmarkEnd w:id="13"/>
      <w:r>
        <w:t xml:space="preserve">Related </w:t>
      </w:r>
      <w:r w:rsidR="004302DD">
        <w:t xml:space="preserve">resources/supporting </w:t>
      </w:r>
      <w:r>
        <w:t>documents</w:t>
      </w:r>
      <w:bookmarkEnd w:id="14"/>
      <w:r>
        <w:t xml:space="preserve"> </w:t>
      </w:r>
    </w:p>
    <w:p w14:paraId="0F2E16FB" w14:textId="77777777" w:rsidR="00B44412" w:rsidRPr="0083185E" w:rsidRDefault="00B44412" w:rsidP="00153B07">
      <w:pPr>
        <w:pStyle w:val="VCAAbody"/>
        <w:numPr>
          <w:ilvl w:val="0"/>
          <w:numId w:val="16"/>
        </w:numPr>
        <w:rPr>
          <w:lang w:eastAsia="en-AU"/>
        </w:rPr>
      </w:pPr>
      <w:r w:rsidRPr="0083185E">
        <w:rPr>
          <w:lang w:eastAsia="en-AU"/>
        </w:rPr>
        <w:t>Ministerial Order 1451</w:t>
      </w:r>
    </w:p>
    <w:p w14:paraId="763459BD" w14:textId="77777777" w:rsidR="00B44412" w:rsidRPr="0083185E" w:rsidRDefault="00B44412" w:rsidP="00153B07">
      <w:pPr>
        <w:pStyle w:val="VCAAbody"/>
        <w:numPr>
          <w:ilvl w:val="0"/>
          <w:numId w:val="16"/>
        </w:numPr>
        <w:rPr>
          <w:lang w:eastAsia="en-AU"/>
        </w:rPr>
      </w:pPr>
      <w:r w:rsidRPr="0083185E">
        <w:rPr>
          <w:lang w:eastAsia="en-AU"/>
        </w:rPr>
        <w:t>Long Service Leave Act 2018 (Vic)</w:t>
      </w:r>
    </w:p>
    <w:p w14:paraId="7715F244" w14:textId="0A5633D2" w:rsidR="00CE3979" w:rsidRPr="00CE3979" w:rsidRDefault="00391D22" w:rsidP="0034058C">
      <w:pPr>
        <w:pStyle w:val="Heading2"/>
      </w:pPr>
      <w:bookmarkStart w:id="15" w:name="_Toc233379931"/>
      <w:r>
        <w:t>Policy management</w:t>
      </w:r>
      <w:bookmarkEnd w:id="15"/>
      <w:r w:rsidR="00CE3979">
        <w:t xml:space="preserve"> </w:t>
      </w:r>
    </w:p>
    <w:tbl>
      <w:tblPr>
        <w:tblStyle w:val="VCAAclosedtable"/>
        <w:tblW w:w="9634" w:type="dxa"/>
        <w:tblLook w:val="0480" w:firstRow="0" w:lastRow="0" w:firstColumn="1" w:lastColumn="0" w:noHBand="0" w:noVBand="1"/>
      </w:tblPr>
      <w:tblGrid>
        <w:gridCol w:w="1838"/>
        <w:gridCol w:w="7796"/>
      </w:tblGrid>
      <w:tr w:rsidR="00CC607D" w:rsidRPr="000F5CEC" w14:paraId="5A2F7A0F" w14:textId="77777777" w:rsidTr="00371A2D">
        <w:trPr>
          <w:cnfStyle w:val="000000100000" w:firstRow="0" w:lastRow="0" w:firstColumn="0" w:lastColumn="0" w:oddVBand="0" w:evenVBand="0" w:oddHBand="1" w:evenHBand="0" w:firstRowFirstColumn="0" w:firstRowLastColumn="0" w:lastRowFirstColumn="0" w:lastRowLastColumn="0"/>
        </w:trPr>
        <w:tc>
          <w:tcPr>
            <w:tcW w:w="1838" w:type="dxa"/>
          </w:tcPr>
          <w:bookmarkEnd w:id="2"/>
          <w:p w14:paraId="32F8938C" w14:textId="77777777" w:rsidR="00CC607D" w:rsidRPr="00021583" w:rsidRDefault="00CC607D" w:rsidP="000E0D23">
            <w:pPr>
              <w:pStyle w:val="VCAAtablecondensed"/>
              <w:rPr>
                <w:bCs/>
                <w:lang w:val="en-AU"/>
              </w:rPr>
            </w:pPr>
            <w:r w:rsidRPr="00021583">
              <w:rPr>
                <w:bCs/>
                <w:lang w:val="en-AU"/>
              </w:rPr>
              <w:t>Responsible Officer:</w:t>
            </w:r>
          </w:p>
          <w:p w14:paraId="054129DF" w14:textId="77777777" w:rsidR="00CC607D" w:rsidRPr="000F5CEC" w:rsidRDefault="00CC607D" w:rsidP="000E0D23">
            <w:pPr>
              <w:pStyle w:val="Tabletextnarrow"/>
              <w:rPr>
                <w:lang w:val="en-AU"/>
              </w:rPr>
            </w:pPr>
          </w:p>
        </w:tc>
        <w:tc>
          <w:tcPr>
            <w:tcW w:w="7796" w:type="dxa"/>
          </w:tcPr>
          <w:p w14:paraId="17F2D704" w14:textId="6C05D6BE" w:rsidR="00CC607D" w:rsidRPr="007444CD" w:rsidRDefault="007444CD" w:rsidP="000E0D23">
            <w:pPr>
              <w:pStyle w:val="Tabletextnarrow"/>
              <w:rPr>
                <w:bCs/>
                <w:lang w:val="en-AU"/>
              </w:rPr>
            </w:pPr>
            <w:r>
              <w:rPr>
                <w:bCs/>
                <w:lang w:val="en-AU"/>
              </w:rPr>
              <w:t>HR Manager</w:t>
            </w:r>
            <w:r w:rsidR="00CC607D" w:rsidRPr="00021583">
              <w:rPr>
                <w:bCs/>
                <w:lang w:val="en-AU"/>
              </w:rPr>
              <w:t xml:space="preserve">, </w:t>
            </w:r>
            <w:r>
              <w:rPr>
                <w:bCs/>
                <w:lang w:val="en-AU"/>
              </w:rPr>
              <w:t>Human Resources</w:t>
            </w:r>
            <w:r w:rsidR="00CC607D" w:rsidRPr="00021583">
              <w:rPr>
                <w:bCs/>
                <w:lang w:val="en-AU"/>
              </w:rPr>
              <w:t xml:space="preserve">, </w:t>
            </w:r>
            <w:r>
              <w:rPr>
                <w:bCs/>
                <w:lang w:val="en-AU"/>
              </w:rPr>
              <w:t>Corporate Services Division</w:t>
            </w:r>
          </w:p>
        </w:tc>
      </w:tr>
      <w:tr w:rsidR="00CC607D" w:rsidRPr="000F5CEC" w14:paraId="7E14A1EE" w14:textId="77777777" w:rsidTr="00371A2D">
        <w:trPr>
          <w:cnfStyle w:val="000000010000" w:firstRow="0" w:lastRow="0" w:firstColumn="0" w:lastColumn="0" w:oddVBand="0" w:evenVBand="0" w:oddHBand="0" w:evenHBand="1" w:firstRowFirstColumn="0" w:firstRowLastColumn="0" w:lastRowFirstColumn="0" w:lastRowLastColumn="0"/>
        </w:trPr>
        <w:tc>
          <w:tcPr>
            <w:tcW w:w="1838" w:type="dxa"/>
          </w:tcPr>
          <w:p w14:paraId="6AB79D51" w14:textId="77777777" w:rsidR="00CC607D" w:rsidRPr="0093752A" w:rsidRDefault="00CC607D" w:rsidP="000E0D23">
            <w:pPr>
              <w:pStyle w:val="VCAAtablecondensed"/>
              <w:rPr>
                <w:lang w:val="en-AU"/>
              </w:rPr>
            </w:pPr>
            <w:r w:rsidRPr="0093752A">
              <w:rPr>
                <w:lang w:val="en-AU"/>
              </w:rPr>
              <w:t xml:space="preserve">Authorised by: </w:t>
            </w:r>
          </w:p>
          <w:p w14:paraId="211B2C55" w14:textId="77777777" w:rsidR="00CC607D" w:rsidRDefault="00CC607D" w:rsidP="000E0D23">
            <w:pPr>
              <w:pStyle w:val="VCAAtablecondensed"/>
              <w:rPr>
                <w:b/>
                <w:bCs/>
              </w:rPr>
            </w:pPr>
          </w:p>
        </w:tc>
        <w:tc>
          <w:tcPr>
            <w:tcW w:w="7796" w:type="dxa"/>
          </w:tcPr>
          <w:p w14:paraId="1C22CCB9" w14:textId="4AFA0C8E" w:rsidR="00CC607D" w:rsidRPr="00742B85" w:rsidRDefault="00D96FB9" w:rsidP="000E0D23">
            <w:pPr>
              <w:pStyle w:val="Tabletextnarrow"/>
              <w:rPr>
                <w:bCs/>
                <w:lang w:val="en-AU"/>
              </w:rPr>
            </w:pPr>
            <w:r>
              <w:rPr>
                <w:bCs/>
                <w:lang w:val="en-AU"/>
              </w:rPr>
              <w:t>Andrew Smith, CEO, VCAA</w:t>
            </w:r>
          </w:p>
        </w:tc>
      </w:tr>
      <w:tr w:rsidR="00CC607D" w:rsidRPr="000F5CEC" w14:paraId="40E1D095" w14:textId="77777777" w:rsidTr="00371A2D">
        <w:trPr>
          <w:cnfStyle w:val="000000100000" w:firstRow="0" w:lastRow="0" w:firstColumn="0" w:lastColumn="0" w:oddVBand="0" w:evenVBand="0" w:oddHBand="1" w:evenHBand="0" w:firstRowFirstColumn="0" w:firstRowLastColumn="0" w:lastRowFirstColumn="0" w:lastRowLastColumn="0"/>
        </w:trPr>
        <w:tc>
          <w:tcPr>
            <w:tcW w:w="1838" w:type="dxa"/>
          </w:tcPr>
          <w:p w14:paraId="789527A9" w14:textId="77777777" w:rsidR="00CC607D" w:rsidRPr="0093752A" w:rsidRDefault="00CC607D" w:rsidP="000E0D23">
            <w:pPr>
              <w:pStyle w:val="VCAAtablecondensed"/>
              <w:rPr>
                <w:lang w:val="en-AU"/>
              </w:rPr>
            </w:pPr>
            <w:r w:rsidRPr="0093752A">
              <w:rPr>
                <w:lang w:val="en-AU"/>
              </w:rPr>
              <w:t xml:space="preserve">Date effective: </w:t>
            </w:r>
          </w:p>
          <w:p w14:paraId="0D1F7682" w14:textId="77777777" w:rsidR="00CC607D" w:rsidRDefault="00CC607D" w:rsidP="000E0D23">
            <w:pPr>
              <w:pStyle w:val="VCAAtablecondensed"/>
              <w:rPr>
                <w:b/>
                <w:bCs/>
              </w:rPr>
            </w:pPr>
          </w:p>
        </w:tc>
        <w:tc>
          <w:tcPr>
            <w:tcW w:w="7796" w:type="dxa"/>
          </w:tcPr>
          <w:p w14:paraId="4F7B1BAE" w14:textId="37468BF6" w:rsidR="00CC607D" w:rsidRPr="00B0392C" w:rsidRDefault="008C3B0F" w:rsidP="00B0392C">
            <w:pPr>
              <w:pStyle w:val="VCAAtablecondensed"/>
              <w:rPr>
                <w:lang w:val="en-AU"/>
              </w:rPr>
            </w:pPr>
            <w:r w:rsidRPr="00B0392C">
              <w:rPr>
                <w:lang w:val="en-AU"/>
              </w:rPr>
              <w:t>18 August 2026</w:t>
            </w:r>
          </w:p>
        </w:tc>
      </w:tr>
      <w:tr w:rsidR="00CC607D" w:rsidRPr="000F5CEC" w14:paraId="4FBA3567" w14:textId="77777777" w:rsidTr="00371A2D">
        <w:trPr>
          <w:cnfStyle w:val="000000010000" w:firstRow="0" w:lastRow="0" w:firstColumn="0" w:lastColumn="0" w:oddVBand="0" w:evenVBand="0" w:oddHBand="0" w:evenHBand="1" w:firstRowFirstColumn="0" w:firstRowLastColumn="0" w:lastRowFirstColumn="0" w:lastRowLastColumn="0"/>
        </w:trPr>
        <w:tc>
          <w:tcPr>
            <w:tcW w:w="1838" w:type="dxa"/>
          </w:tcPr>
          <w:p w14:paraId="320BACF6" w14:textId="77777777" w:rsidR="00CC607D" w:rsidRPr="0093752A" w:rsidRDefault="00CC607D" w:rsidP="000E0D23">
            <w:pPr>
              <w:pStyle w:val="VCAAtablecondensed"/>
              <w:rPr>
                <w:lang w:val="en-AU"/>
              </w:rPr>
            </w:pPr>
            <w:r w:rsidRPr="0093752A">
              <w:rPr>
                <w:lang w:val="en-AU"/>
              </w:rPr>
              <w:t>Next review date:</w:t>
            </w:r>
          </w:p>
          <w:p w14:paraId="04F72220" w14:textId="77777777" w:rsidR="00CC607D" w:rsidRDefault="00CC607D" w:rsidP="000E0D23">
            <w:pPr>
              <w:pStyle w:val="pf0"/>
              <w:rPr>
                <w:b/>
                <w:bCs/>
              </w:rPr>
            </w:pPr>
          </w:p>
        </w:tc>
        <w:tc>
          <w:tcPr>
            <w:tcW w:w="7796" w:type="dxa"/>
          </w:tcPr>
          <w:p w14:paraId="438E936B" w14:textId="662E262B" w:rsidR="006B0C39" w:rsidRPr="00B0392C" w:rsidRDefault="008C3B0F" w:rsidP="00B0392C">
            <w:pPr>
              <w:pStyle w:val="VCAAtablecondensed"/>
              <w:rPr>
                <w:lang w:val="en-AU"/>
              </w:rPr>
            </w:pPr>
            <w:r w:rsidRPr="00B0392C">
              <w:rPr>
                <w:lang w:val="en-AU"/>
              </w:rPr>
              <w:t>17 August 2028</w:t>
            </w:r>
          </w:p>
        </w:tc>
      </w:tr>
      <w:tr w:rsidR="00CC607D" w:rsidRPr="000F5CEC" w14:paraId="597EB129" w14:textId="77777777" w:rsidTr="00CC654B">
        <w:trPr>
          <w:cnfStyle w:val="000000100000" w:firstRow="0" w:lastRow="0" w:firstColumn="0" w:lastColumn="0" w:oddVBand="0" w:evenVBand="0" w:oddHBand="1" w:evenHBand="0" w:firstRowFirstColumn="0" w:firstRowLastColumn="0" w:lastRowFirstColumn="0" w:lastRowLastColumn="0"/>
          <w:trHeight w:val="726"/>
        </w:trPr>
        <w:tc>
          <w:tcPr>
            <w:tcW w:w="1838" w:type="dxa"/>
          </w:tcPr>
          <w:p w14:paraId="47C3B267" w14:textId="0E583A9B" w:rsidR="00CC607D" w:rsidRDefault="00CC607D" w:rsidP="00CC654B">
            <w:pPr>
              <w:pStyle w:val="VCAAtablecondensed"/>
              <w:rPr>
                <w:b/>
                <w:bCs/>
              </w:rPr>
            </w:pPr>
            <w:r w:rsidRPr="0093752A">
              <w:rPr>
                <w:lang w:val="en-AU"/>
              </w:rPr>
              <w:t>Contact for more information:</w:t>
            </w:r>
          </w:p>
        </w:tc>
        <w:tc>
          <w:tcPr>
            <w:tcW w:w="7796" w:type="dxa"/>
          </w:tcPr>
          <w:p w14:paraId="266706DA" w14:textId="20E5D0E9" w:rsidR="00CC607D" w:rsidRPr="006B0C39" w:rsidRDefault="00C334F2" w:rsidP="006B0C39">
            <w:pPr>
              <w:pStyle w:val="Tabletextnarrow"/>
              <w:rPr>
                <w:bCs/>
                <w:lang w:val="en-AU"/>
              </w:rPr>
            </w:pPr>
            <w:r w:rsidRPr="00C334F2">
              <w:rPr>
                <w:bCs/>
                <w:lang w:val="en-AU"/>
              </w:rPr>
              <w:t>VCAA HR</w:t>
            </w:r>
            <w:r>
              <w:rPr>
                <w:bCs/>
                <w:lang w:val="en-AU"/>
              </w:rPr>
              <w:t xml:space="preserve"> team: </w:t>
            </w:r>
            <w:hyperlink r:id="rId15" w:history="1">
              <w:r w:rsidRPr="00671230">
                <w:rPr>
                  <w:rStyle w:val="Hyperlink"/>
                  <w:rFonts w:ascii="Arial Narrow" w:hAnsi="Arial Narrow"/>
                  <w:bCs/>
                  <w:sz w:val="20"/>
                  <w:lang w:val="en-AU"/>
                </w:rPr>
                <w:t>VCAA.HR@education.vic.gov.au</w:t>
              </w:r>
            </w:hyperlink>
            <w:r>
              <w:rPr>
                <w:bCs/>
                <w:lang w:val="en-AU"/>
              </w:rPr>
              <w:t xml:space="preserve"> </w:t>
            </w:r>
          </w:p>
        </w:tc>
      </w:tr>
    </w:tbl>
    <w:p w14:paraId="61593F82" w14:textId="782F2F24" w:rsidR="00032D61" w:rsidRPr="005B2A61" w:rsidRDefault="00032D61" w:rsidP="008324DF">
      <w:pPr>
        <w:pStyle w:val="VCAAbullet"/>
        <w:rPr>
          <w:noProof/>
          <w:color w:val="auto"/>
        </w:rPr>
      </w:pPr>
    </w:p>
    <w:sectPr w:rsidR="00032D61" w:rsidRPr="005B2A61" w:rsidSect="00A62153">
      <w:pgSz w:w="11906" w:h="16838" w:code="9"/>
      <w:pgMar w:top="1132" w:right="1134" w:bottom="1323" w:left="1134" w:header="283"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D2348" w14:textId="77777777" w:rsidR="003F47A8" w:rsidRDefault="003F47A8" w:rsidP="00304EA1">
      <w:pPr>
        <w:spacing w:after="0" w:line="240" w:lineRule="auto"/>
      </w:pPr>
      <w:r>
        <w:separator/>
      </w:r>
    </w:p>
  </w:endnote>
  <w:endnote w:type="continuationSeparator" w:id="0">
    <w:p w14:paraId="4D02FF06" w14:textId="77777777" w:rsidR="003F47A8" w:rsidRDefault="003F47A8" w:rsidP="00304EA1">
      <w:pPr>
        <w:spacing w:after="0" w:line="240" w:lineRule="auto"/>
      </w:pPr>
      <w:r>
        <w:continuationSeparator/>
      </w:r>
    </w:p>
  </w:endnote>
  <w:endnote w:type="continuationNotice" w:id="1">
    <w:p w14:paraId="6A7C8DB7" w14:textId="77777777" w:rsidR="003F47A8" w:rsidRDefault="003F47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Yu Gothic UI Semibold">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25F6A" w14:textId="77777777" w:rsidR="009648DE" w:rsidRDefault="009648DE" w:rsidP="009648DE">
    <w:pPr>
      <w:pStyle w:val="Footer"/>
      <w:tabs>
        <w:tab w:val="clear" w:pos="4513"/>
        <w:tab w:val="clear" w:pos="9026"/>
        <w:tab w:val="right" w:pos="9638"/>
      </w:tabs>
    </w:pPr>
    <w:r>
      <w:rPr>
        <w:noProof/>
      </w:rPr>
      <w:drawing>
        <wp:anchor distT="0" distB="0" distL="114300" distR="114300" simplePos="0" relativeHeight="251656704" behindDoc="1" locked="0" layoutInCell="1" allowOverlap="1" wp14:anchorId="1318193E" wp14:editId="1DD6E09D">
          <wp:simplePos x="0" y="0"/>
          <wp:positionH relativeFrom="page">
            <wp:posOffset>243</wp:posOffset>
          </wp:positionH>
          <wp:positionV relativeFrom="page">
            <wp:posOffset>10223689</wp:posOffset>
          </wp:positionV>
          <wp:extent cx="6404610" cy="453390"/>
          <wp:effectExtent l="0" t="0" r="0" b="0"/>
          <wp:wrapNone/>
          <wp:docPr id="781319649" name="Picture 489726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8972627"/>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4610" cy="45339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9355" w:type="dxa"/>
      <w:tblInd w:w="567" w:type="dxa"/>
      <w:tblLook w:val="04A0" w:firstRow="1" w:lastRow="0" w:firstColumn="1" w:lastColumn="0" w:noHBand="0" w:noVBand="1"/>
    </w:tblPr>
    <w:tblGrid>
      <w:gridCol w:w="2224"/>
      <w:gridCol w:w="3206"/>
      <w:gridCol w:w="3925"/>
    </w:tblGrid>
    <w:tr w:rsidR="009648DE" w:rsidRPr="00E25898" w14:paraId="74BE7F78" w14:textId="77777777" w:rsidTr="000B1D4B">
      <w:tc>
        <w:tcPr>
          <w:tcW w:w="2224" w:type="dxa"/>
          <w:tcMar>
            <w:left w:w="0" w:type="dxa"/>
            <w:right w:w="0" w:type="dxa"/>
          </w:tcMar>
        </w:tcPr>
        <w:p w14:paraId="0F832D4B" w14:textId="77777777" w:rsidR="009648DE" w:rsidRPr="00E25898" w:rsidRDefault="009648DE" w:rsidP="009648DE">
          <w:pPr>
            <w:tabs>
              <w:tab w:val="right" w:pos="9639"/>
            </w:tabs>
            <w:spacing w:after="0"/>
            <w:rPr>
              <w:rStyle w:val="Hyperlink"/>
            </w:rPr>
          </w:pPr>
          <w:r w:rsidRPr="00E25898">
            <w:rPr>
              <w:color w:val="FFFFFF"/>
              <w:sz w:val="18"/>
              <w:szCs w:val="18"/>
            </w:rPr>
            <w:t xml:space="preserve">© </w:t>
          </w:r>
          <w:hyperlink r:id="rId2" w:history="1">
            <w:r w:rsidRPr="00E25898">
              <w:rPr>
                <w:rStyle w:val="Hyperlink"/>
              </w:rPr>
              <w:t>VCAA</w:t>
            </w:r>
          </w:hyperlink>
        </w:p>
      </w:tc>
      <w:tc>
        <w:tcPr>
          <w:tcW w:w="3206" w:type="dxa"/>
          <w:tcMar>
            <w:left w:w="0" w:type="dxa"/>
            <w:right w:w="0" w:type="dxa"/>
          </w:tcMar>
        </w:tcPr>
        <w:p w14:paraId="366D4A2C" w14:textId="77777777" w:rsidR="009648DE" w:rsidRPr="00E25898" w:rsidRDefault="009648DE" w:rsidP="009648DE">
          <w:pPr>
            <w:tabs>
              <w:tab w:val="right" w:pos="9639"/>
            </w:tabs>
            <w:spacing w:after="0"/>
            <w:rPr>
              <w:color w:val="999999"/>
              <w:sz w:val="18"/>
              <w:szCs w:val="18"/>
            </w:rPr>
          </w:pPr>
        </w:p>
      </w:tc>
      <w:tc>
        <w:tcPr>
          <w:tcW w:w="3925" w:type="dxa"/>
          <w:tcMar>
            <w:left w:w="0" w:type="dxa"/>
            <w:right w:w="0" w:type="dxa"/>
          </w:tcMar>
        </w:tcPr>
        <w:p w14:paraId="19C34F1B" w14:textId="77777777" w:rsidR="009648DE" w:rsidRPr="00E25898" w:rsidRDefault="009648DE" w:rsidP="009648DE">
          <w:pPr>
            <w:tabs>
              <w:tab w:val="right" w:pos="9639"/>
            </w:tabs>
            <w:spacing w:after="0"/>
            <w:jc w:val="right"/>
            <w:rPr>
              <w:sz w:val="18"/>
              <w:szCs w:val="18"/>
            </w:rPr>
          </w:pPr>
          <w:r w:rsidRPr="00E25898">
            <w:rPr>
              <w:sz w:val="18"/>
              <w:szCs w:val="18"/>
            </w:rPr>
            <w:t xml:space="preserve">Page </w:t>
          </w:r>
          <w:r w:rsidRPr="00E25898">
            <w:rPr>
              <w:sz w:val="18"/>
              <w:szCs w:val="18"/>
            </w:rPr>
            <w:fldChar w:fldCharType="begin"/>
          </w:r>
          <w:r w:rsidRPr="00E25898">
            <w:rPr>
              <w:sz w:val="18"/>
              <w:szCs w:val="18"/>
            </w:rPr>
            <w:instrText xml:space="preserve"> PAGE   \* MERGEFORMAT </w:instrText>
          </w:r>
          <w:r w:rsidRPr="00E25898">
            <w:rPr>
              <w:sz w:val="18"/>
              <w:szCs w:val="18"/>
            </w:rPr>
            <w:fldChar w:fldCharType="separate"/>
          </w:r>
          <w:r w:rsidRPr="00E25898">
            <w:rPr>
              <w:noProof/>
              <w:sz w:val="18"/>
              <w:szCs w:val="18"/>
            </w:rPr>
            <w:t>1</w:t>
          </w:r>
          <w:r w:rsidRPr="00E25898">
            <w:rPr>
              <w:sz w:val="18"/>
              <w:szCs w:val="18"/>
            </w:rPr>
            <w:fldChar w:fldCharType="end"/>
          </w:r>
        </w:p>
      </w:tc>
    </w:tr>
  </w:tbl>
  <w:p w14:paraId="41B14143" w14:textId="45FB05D8" w:rsidR="009648DE" w:rsidRDefault="009648DE" w:rsidP="009648DE">
    <w:pPr>
      <w:pStyle w:val="Footer"/>
      <w:tabs>
        <w:tab w:val="clear" w:pos="4513"/>
        <w:tab w:val="clear" w:pos="9026"/>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D4A55" w14:textId="5BB4E6DA" w:rsidR="000B1D4B" w:rsidRDefault="0098544E" w:rsidP="000B1D4B">
    <w:pPr>
      <w:pStyle w:val="Footer"/>
    </w:pPr>
    <w:r>
      <w:rPr>
        <w:rFonts w:asciiTheme="majorHAnsi" w:hAnsiTheme="majorHAnsi" w:cs="Arial"/>
        <w:noProof/>
        <w:color w:val="999999" w:themeColor="accent2"/>
        <w:sz w:val="18"/>
        <w:szCs w:val="18"/>
        <w:lang w:val="en-AU" w:eastAsia="en-AU"/>
      </w:rPr>
      <mc:AlternateContent>
        <mc:Choice Requires="wps">
          <w:drawing>
            <wp:anchor distT="0" distB="0" distL="114300" distR="114300" simplePos="0" relativeHeight="251658752" behindDoc="0" locked="0" layoutInCell="1" allowOverlap="1" wp14:anchorId="35850825" wp14:editId="3AB2E318">
              <wp:simplePos x="0" y="0"/>
              <wp:positionH relativeFrom="column">
                <wp:posOffset>327217</wp:posOffset>
              </wp:positionH>
              <wp:positionV relativeFrom="paragraph">
                <wp:posOffset>-116397</wp:posOffset>
              </wp:positionV>
              <wp:extent cx="978195" cy="180753"/>
              <wp:effectExtent l="0" t="0" r="12700" b="10160"/>
              <wp:wrapNone/>
              <wp:docPr id="496812805" name="Text Box 1"/>
              <wp:cNvGraphicFramePr/>
              <a:graphic xmlns:a="http://schemas.openxmlformats.org/drawingml/2006/main">
                <a:graphicData uri="http://schemas.microsoft.com/office/word/2010/wordprocessingShape">
                  <wps:wsp>
                    <wps:cNvSpPr txBox="1"/>
                    <wps:spPr>
                      <a:xfrm>
                        <a:off x="0" y="0"/>
                        <a:ext cx="978195" cy="180753"/>
                      </a:xfrm>
                      <a:prstGeom prst="rect">
                        <a:avLst/>
                      </a:prstGeom>
                      <a:noFill/>
                      <a:ln w="6350">
                        <a:solidFill>
                          <a:prstClr val="black"/>
                        </a:solidFill>
                      </a:ln>
                    </wps:spPr>
                    <wps:txbx>
                      <w:txbxContent>
                        <w:p w14:paraId="3D2BDA58" w14:textId="3AD7DDAA" w:rsidR="0098544E" w:rsidRPr="0098544E" w:rsidRDefault="0098544E">
                          <w:pPr>
                            <w:rPr>
                              <w:lang w:val="en-AU"/>
                            </w:rPr>
                          </w:pPr>
                          <w:r w:rsidRPr="00E25898">
                            <w:rPr>
                              <w:color w:val="FFFFFF"/>
                              <w:sz w:val="18"/>
                              <w:szCs w:val="18"/>
                            </w:rPr>
                            <w:t xml:space="preserve">© </w:t>
                          </w:r>
                          <w:hyperlink r:id="rId1" w:history="1">
                            <w:r w:rsidRPr="00E25898">
                              <w:rPr>
                                <w:rStyle w:val="Hyperlink"/>
                              </w:rPr>
                              <w:t>VCAA</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35850825" id="_x0000_t202" coordsize="21600,21600" o:spt="202" path="m,l,21600r21600,l21600,xe">
              <v:stroke joinstyle="miter"/>
              <v:path gradientshapeok="t" o:connecttype="rect"/>
            </v:shapetype>
            <v:shape id="Text Box 1" o:spid="_x0000_s1026" type="#_x0000_t202" style="position:absolute;margin-left:25.75pt;margin-top:-9.15pt;width:77pt;height:14.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" filled="f" strokeweight=".5pt">
              <v:textbox inset="0,0,0,0">
                <w:txbxContent>
                  <w:p w14:paraId="3D2BDA58" w14:textId="3AD7DDAA" w:rsidR="0098544E" w:rsidRPr="0098544E" w:rsidRDefault="0098544E">
                    <w:pPr>
                      <w:rPr>
                        <w:lang w:val="en-AU"/>
                      </w:rPr>
                    </w:pPr>
                    <w:r w:rsidRPr="00E25898">
                      <w:rPr>
                        <w:color w:val="FFFFFF"/>
                        <w:sz w:val="18"/>
                        <w:szCs w:val="18"/>
                      </w:rPr>
                      <w:t xml:space="preserve">© </w:t>
                    </w:r>
                    <w:hyperlink r:id="rId2" w:history="1">
                      <w:r w:rsidRPr="00E25898">
                        <w:rPr>
                          <w:rStyle w:val="Hyperlink"/>
                        </w:rPr>
                        <w:t>VCAA</w:t>
                      </w:r>
                    </w:hyperlink>
                  </w:p>
                </w:txbxContent>
              </v:textbox>
            </v:shape>
          </w:pict>
        </mc:Fallback>
      </mc:AlternateContent>
    </w:r>
    <w:r w:rsidR="000B1D4B">
      <w:rPr>
        <w:rFonts w:asciiTheme="majorHAnsi" w:hAnsiTheme="majorHAnsi" w:cs="Arial"/>
        <w:noProof/>
        <w:color w:val="999999" w:themeColor="accent2"/>
        <w:sz w:val="18"/>
        <w:szCs w:val="18"/>
        <w:lang w:val="en-AU" w:eastAsia="en-AU"/>
      </w:rPr>
      <w:drawing>
        <wp:anchor distT="0" distB="0" distL="114300" distR="114300" simplePos="0" relativeHeight="251657728" behindDoc="1" locked="1" layoutInCell="1" allowOverlap="1" wp14:anchorId="76CD76E1" wp14:editId="2552750B">
          <wp:simplePos x="0" y="0"/>
          <wp:positionH relativeFrom="column">
            <wp:posOffset>-715645</wp:posOffset>
          </wp:positionH>
          <wp:positionV relativeFrom="page">
            <wp:posOffset>10243820</wp:posOffset>
          </wp:positionV>
          <wp:extent cx="6411595" cy="454660"/>
          <wp:effectExtent l="0" t="0" r="1905" b="2540"/>
          <wp:wrapNone/>
          <wp:docPr id="341482449" name="Picture 341482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3">
                    <a:extLst>
                      <a:ext uri="{28A0092B-C50C-407E-A947-70E740481C1C}">
                        <a14:useLocalDpi xmlns:a14="http://schemas.microsoft.com/office/drawing/2010/main" val="0"/>
                      </a:ext>
                    </a:extLst>
                  </a:blip>
                  <a:stretch>
                    <a:fillRect/>
                  </a:stretch>
                </pic:blipFill>
                <pic:spPr>
                  <a:xfrm>
                    <a:off x="0" y="0"/>
                    <a:ext cx="6411595" cy="4546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0E889" w14:textId="77777777" w:rsidR="003F47A8" w:rsidRDefault="003F47A8" w:rsidP="00304EA1">
      <w:pPr>
        <w:spacing w:after="0" w:line="240" w:lineRule="auto"/>
      </w:pPr>
      <w:r>
        <w:separator/>
      </w:r>
    </w:p>
  </w:footnote>
  <w:footnote w:type="continuationSeparator" w:id="0">
    <w:p w14:paraId="706CAC09" w14:textId="77777777" w:rsidR="003F47A8" w:rsidRDefault="003F47A8" w:rsidP="00304EA1">
      <w:pPr>
        <w:spacing w:after="0" w:line="240" w:lineRule="auto"/>
      </w:pPr>
      <w:r>
        <w:continuationSeparator/>
      </w:r>
    </w:p>
  </w:footnote>
  <w:footnote w:type="continuationNotice" w:id="1">
    <w:p w14:paraId="601D4B47" w14:textId="77777777" w:rsidR="003F47A8" w:rsidRDefault="003F47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1F1C8" w14:textId="28835BDB" w:rsidR="0080181A" w:rsidRPr="002A1D9E" w:rsidRDefault="000B1D4B" w:rsidP="00AC79D3">
    <w:pPr>
      <w:pStyle w:val="Header"/>
      <w:rPr>
        <w:color w:val="0099E3" w:themeColor="accent1"/>
      </w:rPr>
    </w:pPr>
    <w:r w:rsidRPr="002A1D9E">
      <w:rPr>
        <w:color w:val="0099E3" w:themeColor="accent1"/>
      </w:rPr>
      <w:t xml:space="preserve">Policy: </w:t>
    </w:r>
    <w:r w:rsidR="00EE3973" w:rsidRPr="002A1D9E">
      <w:rPr>
        <w:color w:val="0099E3" w:themeColor="accent1"/>
      </w:rPr>
      <w:t>Long Service Leave</w:t>
    </w:r>
    <w:r w:rsidR="003F47A8">
      <w:rPr>
        <w:noProof/>
        <w:color w:val="0099E3" w:themeColor="accent1"/>
      </w:rPr>
      <w:pict w14:anchorId="53309E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346605" o:spid="_x0000_s1025" type="#_x0000_t136" alt="" style="position:absolute;margin-left:0;margin-top:0;width:509.55pt;height:169.85pt;rotation:315;z-index:-251656704;mso-wrap-edited:f;mso-width-percent:0;mso-height-percent:0;mso-position-horizontal:center;mso-position-horizontal-relative:margin;mso-position-vertical:center;mso-position-vertical-relative:margin;mso-width-percent:0;mso-height-percent:0" o:allowincell="f" fillcolor="#d8d8d8 [2732]" stroked="f">
          <v:fill opacity="8519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234C4" w14:textId="1BA9448A" w:rsidR="0080181A" w:rsidRPr="00976B1A" w:rsidRDefault="0080181A" w:rsidP="00976B1A">
    <w:pPr>
      <w:tabs>
        <w:tab w:val="left" w:pos="770"/>
      </w:tabs>
      <w:spacing w:after="0"/>
      <w:ind w:right="-142"/>
    </w:pPr>
    <w:r w:rsidRPr="00976B1A">
      <w:tab/>
    </w:r>
    <w:r w:rsidR="009648DE" w:rsidRPr="001465DB">
      <w:rPr>
        <w:noProof/>
        <w:sz w:val="40"/>
        <w:szCs w:val="40"/>
      </w:rPr>
      <w:drawing>
        <wp:anchor distT="0" distB="0" distL="114300" distR="114300" simplePos="0" relativeHeight="251655680" behindDoc="0" locked="1" layoutInCell="1" allowOverlap="1" wp14:anchorId="47B73168" wp14:editId="4DC947B1">
          <wp:simplePos x="0" y="0"/>
          <wp:positionH relativeFrom="page">
            <wp:posOffset>0</wp:posOffset>
          </wp:positionH>
          <wp:positionV relativeFrom="page">
            <wp:posOffset>-14605</wp:posOffset>
          </wp:positionV>
          <wp:extent cx="7559675" cy="719455"/>
          <wp:effectExtent l="0" t="0" r="0" b="444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59675" cy="7194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5444C4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5BA6E7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B6EFC2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F1A427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6BA1F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7C05A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3F02C7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402EC5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6D02DE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8E0408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9295D7B"/>
    <w:multiLevelType w:val="hybridMultilevel"/>
    <w:tmpl w:val="BAEA35F2"/>
    <w:lvl w:ilvl="0" w:tplc="DAC0B5C0">
      <w:start w:val="1"/>
      <w:numFmt w:val="bullet"/>
      <w:pStyle w:val="Tablebulletnarrow"/>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F3E1255"/>
    <w:multiLevelType w:val="multilevel"/>
    <w:tmpl w:val="5AE8D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196FDF"/>
    <w:multiLevelType w:val="hybridMultilevel"/>
    <w:tmpl w:val="0BBECC52"/>
    <w:lvl w:ilvl="0" w:tplc="130872B8">
      <w:start w:val="1"/>
      <w:numFmt w:val="decimal"/>
      <w:pStyle w:val="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3" w15:restartNumberingAfterBreak="0">
    <w:nsid w:val="572C799B"/>
    <w:multiLevelType w:val="hybridMultilevel"/>
    <w:tmpl w:val="5A60681A"/>
    <w:lvl w:ilvl="0" w:tplc="02D63D2C">
      <w:start w:val="1"/>
      <w:numFmt w:val="bullet"/>
      <w:pStyle w:val="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4" w15:restartNumberingAfterBreak="0">
    <w:nsid w:val="5DDE5B45"/>
    <w:multiLevelType w:val="hybridMultilevel"/>
    <w:tmpl w:val="9718F1F4"/>
    <w:lvl w:ilvl="0" w:tplc="AC746ABC">
      <w:start w:val="1"/>
      <w:numFmt w:val="bullet"/>
      <w:pStyle w:val="Tablebulletlevel2narrow"/>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5" w15:restartNumberingAfterBreak="0">
    <w:nsid w:val="62872B6C"/>
    <w:multiLevelType w:val="hybridMultilevel"/>
    <w:tmpl w:val="EB42D1F0"/>
    <w:lvl w:ilvl="0" w:tplc="603EA900">
      <w:start w:val="1"/>
      <w:numFmt w:val="bullet"/>
      <w:pStyle w:val="Bullet"/>
      <w:lvlText w:val=""/>
      <w:lvlJc w:val="left"/>
      <w:pPr>
        <w:ind w:left="5748" w:hanging="360"/>
      </w:pPr>
      <w:rPr>
        <w:rFonts w:ascii="Symbol" w:hAnsi="Symbol" w:hint="default"/>
      </w:rPr>
    </w:lvl>
    <w:lvl w:ilvl="1" w:tplc="0C090003">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16cid:durableId="501355350">
    <w:abstractNumId w:val="15"/>
  </w:num>
  <w:num w:numId="2" w16cid:durableId="116458358">
    <w:abstractNumId w:val="13"/>
  </w:num>
  <w:num w:numId="3" w16cid:durableId="1925257724">
    <w:abstractNumId w:val="12"/>
  </w:num>
  <w:num w:numId="4" w16cid:durableId="214388723">
    <w:abstractNumId w:val="10"/>
  </w:num>
  <w:num w:numId="5" w16cid:durableId="711996426">
    <w:abstractNumId w:val="14"/>
  </w:num>
  <w:num w:numId="6" w16cid:durableId="961961031">
    <w:abstractNumId w:val="9"/>
  </w:num>
  <w:num w:numId="7" w16cid:durableId="1646858731">
    <w:abstractNumId w:val="7"/>
  </w:num>
  <w:num w:numId="8" w16cid:durableId="643193687">
    <w:abstractNumId w:val="6"/>
  </w:num>
  <w:num w:numId="9" w16cid:durableId="1923370582">
    <w:abstractNumId w:val="5"/>
  </w:num>
  <w:num w:numId="10" w16cid:durableId="1754742994">
    <w:abstractNumId w:val="4"/>
  </w:num>
  <w:num w:numId="11" w16cid:durableId="61342172">
    <w:abstractNumId w:val="8"/>
  </w:num>
  <w:num w:numId="12" w16cid:durableId="1963150804">
    <w:abstractNumId w:val="3"/>
  </w:num>
  <w:num w:numId="13" w16cid:durableId="678191948">
    <w:abstractNumId w:val="2"/>
  </w:num>
  <w:num w:numId="14" w16cid:durableId="934439751">
    <w:abstractNumId w:val="1"/>
  </w:num>
  <w:num w:numId="15" w16cid:durableId="820776277">
    <w:abstractNumId w:val="0"/>
  </w:num>
  <w:num w:numId="16" w16cid:durableId="1335693847">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InputPages" w:val="0"/>
    <w:docVar w:name="nNDISVersion" w:val="1"/>
    <w:docVar w:name="sParticipantNo" w:val="Not Initialised"/>
  </w:docVars>
  <w:rsids>
    <w:rsidRoot w:val="0048758C"/>
    <w:rsid w:val="000027F9"/>
    <w:rsid w:val="00002D86"/>
    <w:rsid w:val="00004CDC"/>
    <w:rsid w:val="0001163B"/>
    <w:rsid w:val="000129FA"/>
    <w:rsid w:val="00014CF6"/>
    <w:rsid w:val="0001563D"/>
    <w:rsid w:val="000171A0"/>
    <w:rsid w:val="000173E4"/>
    <w:rsid w:val="00020BE9"/>
    <w:rsid w:val="00021F48"/>
    <w:rsid w:val="000232AF"/>
    <w:rsid w:val="00023DC9"/>
    <w:rsid w:val="0002556D"/>
    <w:rsid w:val="0002727A"/>
    <w:rsid w:val="00031A0F"/>
    <w:rsid w:val="00032D61"/>
    <w:rsid w:val="0003448F"/>
    <w:rsid w:val="0003575C"/>
    <w:rsid w:val="00053841"/>
    <w:rsid w:val="00057705"/>
    <w:rsid w:val="0005780E"/>
    <w:rsid w:val="00057F8F"/>
    <w:rsid w:val="000627E9"/>
    <w:rsid w:val="00065A75"/>
    <w:rsid w:val="00066D22"/>
    <w:rsid w:val="000672BE"/>
    <w:rsid w:val="00073340"/>
    <w:rsid w:val="000800BF"/>
    <w:rsid w:val="0008616C"/>
    <w:rsid w:val="000862FB"/>
    <w:rsid w:val="0008680E"/>
    <w:rsid w:val="0008735E"/>
    <w:rsid w:val="000874DB"/>
    <w:rsid w:val="000877AD"/>
    <w:rsid w:val="00091C98"/>
    <w:rsid w:val="000959C7"/>
    <w:rsid w:val="000A1CD8"/>
    <w:rsid w:val="000A2272"/>
    <w:rsid w:val="000A3C48"/>
    <w:rsid w:val="000A5E3A"/>
    <w:rsid w:val="000A6461"/>
    <w:rsid w:val="000A71F7"/>
    <w:rsid w:val="000A72BB"/>
    <w:rsid w:val="000B1D4B"/>
    <w:rsid w:val="000C2875"/>
    <w:rsid w:val="000C411B"/>
    <w:rsid w:val="000D1917"/>
    <w:rsid w:val="000E22F6"/>
    <w:rsid w:val="000E44A8"/>
    <w:rsid w:val="000E5A7B"/>
    <w:rsid w:val="000E6DF5"/>
    <w:rsid w:val="000F09E4"/>
    <w:rsid w:val="000F16FD"/>
    <w:rsid w:val="000F1D5C"/>
    <w:rsid w:val="000F200C"/>
    <w:rsid w:val="000F3A47"/>
    <w:rsid w:val="000F3BA4"/>
    <w:rsid w:val="000F5CEC"/>
    <w:rsid w:val="000F69C7"/>
    <w:rsid w:val="000F70C1"/>
    <w:rsid w:val="00103472"/>
    <w:rsid w:val="00110C0F"/>
    <w:rsid w:val="00111FD3"/>
    <w:rsid w:val="001139CF"/>
    <w:rsid w:val="00116A03"/>
    <w:rsid w:val="001232B7"/>
    <w:rsid w:val="0012390E"/>
    <w:rsid w:val="00124ADA"/>
    <w:rsid w:val="0013044E"/>
    <w:rsid w:val="0013582C"/>
    <w:rsid w:val="001363D1"/>
    <w:rsid w:val="00141908"/>
    <w:rsid w:val="001465DB"/>
    <w:rsid w:val="00147593"/>
    <w:rsid w:val="001525EB"/>
    <w:rsid w:val="00153610"/>
    <w:rsid w:val="00153B07"/>
    <w:rsid w:val="00160B27"/>
    <w:rsid w:val="00162084"/>
    <w:rsid w:val="00163EE0"/>
    <w:rsid w:val="00163FEA"/>
    <w:rsid w:val="00165885"/>
    <w:rsid w:val="00166E99"/>
    <w:rsid w:val="00167DF0"/>
    <w:rsid w:val="00170657"/>
    <w:rsid w:val="0017116A"/>
    <w:rsid w:val="00171E36"/>
    <w:rsid w:val="001724AB"/>
    <w:rsid w:val="001726B3"/>
    <w:rsid w:val="0017312F"/>
    <w:rsid w:val="001733C0"/>
    <w:rsid w:val="001765AB"/>
    <w:rsid w:val="001807AA"/>
    <w:rsid w:val="00182B7F"/>
    <w:rsid w:val="0018391D"/>
    <w:rsid w:val="00183A74"/>
    <w:rsid w:val="00183AE6"/>
    <w:rsid w:val="0018587D"/>
    <w:rsid w:val="001907BA"/>
    <w:rsid w:val="001963CF"/>
    <w:rsid w:val="001A777E"/>
    <w:rsid w:val="001B1E10"/>
    <w:rsid w:val="001B7B1B"/>
    <w:rsid w:val="001B7B68"/>
    <w:rsid w:val="001C1D34"/>
    <w:rsid w:val="001D0298"/>
    <w:rsid w:val="001D06BF"/>
    <w:rsid w:val="001D1D02"/>
    <w:rsid w:val="001E625C"/>
    <w:rsid w:val="001E7E0A"/>
    <w:rsid w:val="001F2B43"/>
    <w:rsid w:val="001F3839"/>
    <w:rsid w:val="00205431"/>
    <w:rsid w:val="00206500"/>
    <w:rsid w:val="00210AB7"/>
    <w:rsid w:val="0021316E"/>
    <w:rsid w:val="00214D16"/>
    <w:rsid w:val="002208AD"/>
    <w:rsid w:val="002214BA"/>
    <w:rsid w:val="00224002"/>
    <w:rsid w:val="002278D9"/>
    <w:rsid w:val="002279BA"/>
    <w:rsid w:val="00231558"/>
    <w:rsid w:val="002329F3"/>
    <w:rsid w:val="002402F1"/>
    <w:rsid w:val="0024128D"/>
    <w:rsid w:val="00241F5B"/>
    <w:rsid w:val="0024303B"/>
    <w:rsid w:val="00243F0D"/>
    <w:rsid w:val="00244B0A"/>
    <w:rsid w:val="00245C75"/>
    <w:rsid w:val="0024682A"/>
    <w:rsid w:val="00253123"/>
    <w:rsid w:val="00253884"/>
    <w:rsid w:val="00254B09"/>
    <w:rsid w:val="00262EDB"/>
    <w:rsid w:val="00263A66"/>
    <w:rsid w:val="00264016"/>
    <w:rsid w:val="002644AF"/>
    <w:rsid w:val="002647BB"/>
    <w:rsid w:val="00272125"/>
    <w:rsid w:val="00272389"/>
    <w:rsid w:val="002754C1"/>
    <w:rsid w:val="00277F02"/>
    <w:rsid w:val="002811ED"/>
    <w:rsid w:val="0028353A"/>
    <w:rsid w:val="00283969"/>
    <w:rsid w:val="002841C8"/>
    <w:rsid w:val="0028516B"/>
    <w:rsid w:val="00291C6C"/>
    <w:rsid w:val="00292DCA"/>
    <w:rsid w:val="00295E14"/>
    <w:rsid w:val="002A1D9E"/>
    <w:rsid w:val="002A3DAE"/>
    <w:rsid w:val="002A54BB"/>
    <w:rsid w:val="002B1E9E"/>
    <w:rsid w:val="002B27EA"/>
    <w:rsid w:val="002B37F3"/>
    <w:rsid w:val="002B6DD5"/>
    <w:rsid w:val="002C2929"/>
    <w:rsid w:val="002C3C9C"/>
    <w:rsid w:val="002C4D72"/>
    <w:rsid w:val="002C6F90"/>
    <w:rsid w:val="002D09F4"/>
    <w:rsid w:val="002D17E3"/>
    <w:rsid w:val="002D53C8"/>
    <w:rsid w:val="002E1C2F"/>
    <w:rsid w:val="002E30FF"/>
    <w:rsid w:val="002E3552"/>
    <w:rsid w:val="002E4E44"/>
    <w:rsid w:val="002F27EC"/>
    <w:rsid w:val="002F6F5E"/>
    <w:rsid w:val="00302FB8"/>
    <w:rsid w:val="003033C8"/>
    <w:rsid w:val="00304308"/>
    <w:rsid w:val="00304EA1"/>
    <w:rsid w:val="00307B27"/>
    <w:rsid w:val="003105DA"/>
    <w:rsid w:val="0031197E"/>
    <w:rsid w:val="003137F7"/>
    <w:rsid w:val="00313E4C"/>
    <w:rsid w:val="00314D81"/>
    <w:rsid w:val="0031607E"/>
    <w:rsid w:val="0031646B"/>
    <w:rsid w:val="00322123"/>
    <w:rsid w:val="00322FC6"/>
    <w:rsid w:val="0032648F"/>
    <w:rsid w:val="003325CA"/>
    <w:rsid w:val="003374A2"/>
    <w:rsid w:val="0034058C"/>
    <w:rsid w:val="00343AF9"/>
    <w:rsid w:val="00350E9A"/>
    <w:rsid w:val="00355335"/>
    <w:rsid w:val="00361340"/>
    <w:rsid w:val="00365D51"/>
    <w:rsid w:val="003701BC"/>
    <w:rsid w:val="00371A2D"/>
    <w:rsid w:val="0037450D"/>
    <w:rsid w:val="00376EA8"/>
    <w:rsid w:val="00380403"/>
    <w:rsid w:val="003807A2"/>
    <w:rsid w:val="00391986"/>
    <w:rsid w:val="00391D22"/>
    <w:rsid w:val="003958C0"/>
    <w:rsid w:val="003A1A6B"/>
    <w:rsid w:val="003B2E3F"/>
    <w:rsid w:val="003B49E5"/>
    <w:rsid w:val="003B6E9C"/>
    <w:rsid w:val="003C728A"/>
    <w:rsid w:val="003D36A4"/>
    <w:rsid w:val="003D421C"/>
    <w:rsid w:val="003D57A7"/>
    <w:rsid w:val="003D620C"/>
    <w:rsid w:val="003D70A0"/>
    <w:rsid w:val="003F24C1"/>
    <w:rsid w:val="003F46B8"/>
    <w:rsid w:val="003F47A8"/>
    <w:rsid w:val="003F7748"/>
    <w:rsid w:val="0040274D"/>
    <w:rsid w:val="00405A9F"/>
    <w:rsid w:val="00412F60"/>
    <w:rsid w:val="00414011"/>
    <w:rsid w:val="00417AA3"/>
    <w:rsid w:val="004254D2"/>
    <w:rsid w:val="00427E2B"/>
    <w:rsid w:val="004302DD"/>
    <w:rsid w:val="004353F9"/>
    <w:rsid w:val="00435CF7"/>
    <w:rsid w:val="00435FCE"/>
    <w:rsid w:val="00440B32"/>
    <w:rsid w:val="00441D48"/>
    <w:rsid w:val="00444619"/>
    <w:rsid w:val="004449DD"/>
    <w:rsid w:val="00451719"/>
    <w:rsid w:val="004567A0"/>
    <w:rsid w:val="00456AFC"/>
    <w:rsid w:val="0046078D"/>
    <w:rsid w:val="004678B3"/>
    <w:rsid w:val="00472EE5"/>
    <w:rsid w:val="004744D7"/>
    <w:rsid w:val="00480190"/>
    <w:rsid w:val="00482D07"/>
    <w:rsid w:val="00485EC1"/>
    <w:rsid w:val="00486C2C"/>
    <w:rsid w:val="0048758C"/>
    <w:rsid w:val="00490726"/>
    <w:rsid w:val="004941EB"/>
    <w:rsid w:val="0049740C"/>
    <w:rsid w:val="004A017D"/>
    <w:rsid w:val="004A22BC"/>
    <w:rsid w:val="004A2ED8"/>
    <w:rsid w:val="004A50BB"/>
    <w:rsid w:val="004B0FF4"/>
    <w:rsid w:val="004B571B"/>
    <w:rsid w:val="004B7DFF"/>
    <w:rsid w:val="004C05A1"/>
    <w:rsid w:val="004C205B"/>
    <w:rsid w:val="004C70EF"/>
    <w:rsid w:val="004D0BD1"/>
    <w:rsid w:val="004D1264"/>
    <w:rsid w:val="004D2FB7"/>
    <w:rsid w:val="004E1132"/>
    <w:rsid w:val="004E4391"/>
    <w:rsid w:val="004E50EA"/>
    <w:rsid w:val="004E5C78"/>
    <w:rsid w:val="004E7537"/>
    <w:rsid w:val="004F01A5"/>
    <w:rsid w:val="004F0E07"/>
    <w:rsid w:val="004F5BDA"/>
    <w:rsid w:val="004F6B2F"/>
    <w:rsid w:val="00503CBE"/>
    <w:rsid w:val="00505E58"/>
    <w:rsid w:val="00515123"/>
    <w:rsid w:val="0051631E"/>
    <w:rsid w:val="00517DAC"/>
    <w:rsid w:val="00527482"/>
    <w:rsid w:val="00531440"/>
    <w:rsid w:val="00532A04"/>
    <w:rsid w:val="005341DA"/>
    <w:rsid w:val="00534253"/>
    <w:rsid w:val="00534BDE"/>
    <w:rsid w:val="00542659"/>
    <w:rsid w:val="00552515"/>
    <w:rsid w:val="00555952"/>
    <w:rsid w:val="0055611A"/>
    <w:rsid w:val="0056303F"/>
    <w:rsid w:val="00563E67"/>
    <w:rsid w:val="00566029"/>
    <w:rsid w:val="00570385"/>
    <w:rsid w:val="00574DF3"/>
    <w:rsid w:val="0058090E"/>
    <w:rsid w:val="00582574"/>
    <w:rsid w:val="00584265"/>
    <w:rsid w:val="00584AEE"/>
    <w:rsid w:val="00586B33"/>
    <w:rsid w:val="005923CB"/>
    <w:rsid w:val="00594E66"/>
    <w:rsid w:val="005A10AC"/>
    <w:rsid w:val="005A64BF"/>
    <w:rsid w:val="005B2A61"/>
    <w:rsid w:val="005B391B"/>
    <w:rsid w:val="005B555D"/>
    <w:rsid w:val="005C2EF8"/>
    <w:rsid w:val="005C60BD"/>
    <w:rsid w:val="005C76D0"/>
    <w:rsid w:val="005D3BCF"/>
    <w:rsid w:val="005D3D78"/>
    <w:rsid w:val="005D4C51"/>
    <w:rsid w:val="005D69DA"/>
    <w:rsid w:val="005E12EB"/>
    <w:rsid w:val="005E17AB"/>
    <w:rsid w:val="005E2EF0"/>
    <w:rsid w:val="005E57AB"/>
    <w:rsid w:val="005F504C"/>
    <w:rsid w:val="005F7F61"/>
    <w:rsid w:val="006038A2"/>
    <w:rsid w:val="00603C85"/>
    <w:rsid w:val="00603F8D"/>
    <w:rsid w:val="0061382A"/>
    <w:rsid w:val="00613DCB"/>
    <w:rsid w:val="00616CFA"/>
    <w:rsid w:val="00620614"/>
    <w:rsid w:val="00621248"/>
    <w:rsid w:val="00621305"/>
    <w:rsid w:val="00621DB8"/>
    <w:rsid w:val="006246C6"/>
    <w:rsid w:val="006253A6"/>
    <w:rsid w:val="0062553D"/>
    <w:rsid w:val="006302F7"/>
    <w:rsid w:val="00631B15"/>
    <w:rsid w:val="00632305"/>
    <w:rsid w:val="00632FF9"/>
    <w:rsid w:val="00634764"/>
    <w:rsid w:val="00637FBC"/>
    <w:rsid w:val="006457DD"/>
    <w:rsid w:val="00646621"/>
    <w:rsid w:val="00650423"/>
    <w:rsid w:val="00654760"/>
    <w:rsid w:val="00656E84"/>
    <w:rsid w:val="00665A19"/>
    <w:rsid w:val="00665E92"/>
    <w:rsid w:val="00672AFB"/>
    <w:rsid w:val="00674366"/>
    <w:rsid w:val="00692EDA"/>
    <w:rsid w:val="00693953"/>
    <w:rsid w:val="00693FFD"/>
    <w:rsid w:val="00694FAC"/>
    <w:rsid w:val="006A2E04"/>
    <w:rsid w:val="006A375F"/>
    <w:rsid w:val="006A499E"/>
    <w:rsid w:val="006A7474"/>
    <w:rsid w:val="006A7D06"/>
    <w:rsid w:val="006B0C39"/>
    <w:rsid w:val="006B2762"/>
    <w:rsid w:val="006B5B1C"/>
    <w:rsid w:val="006B65C3"/>
    <w:rsid w:val="006B7B1E"/>
    <w:rsid w:val="006C4D3D"/>
    <w:rsid w:val="006D061E"/>
    <w:rsid w:val="006D2159"/>
    <w:rsid w:val="006D764C"/>
    <w:rsid w:val="006D7C3E"/>
    <w:rsid w:val="006E6135"/>
    <w:rsid w:val="006E65B2"/>
    <w:rsid w:val="006E6E04"/>
    <w:rsid w:val="006F0A4F"/>
    <w:rsid w:val="006F3AB9"/>
    <w:rsid w:val="006F5138"/>
    <w:rsid w:val="006F5551"/>
    <w:rsid w:val="006F787C"/>
    <w:rsid w:val="006F7B41"/>
    <w:rsid w:val="00702636"/>
    <w:rsid w:val="00707367"/>
    <w:rsid w:val="00707E68"/>
    <w:rsid w:val="007111FD"/>
    <w:rsid w:val="00711FB0"/>
    <w:rsid w:val="00714643"/>
    <w:rsid w:val="0071657E"/>
    <w:rsid w:val="00716EB4"/>
    <w:rsid w:val="00717B14"/>
    <w:rsid w:val="00717CF2"/>
    <w:rsid w:val="00724507"/>
    <w:rsid w:val="007270FB"/>
    <w:rsid w:val="0073700E"/>
    <w:rsid w:val="00741093"/>
    <w:rsid w:val="00742B85"/>
    <w:rsid w:val="007444CD"/>
    <w:rsid w:val="00747608"/>
    <w:rsid w:val="007515F6"/>
    <w:rsid w:val="0075255A"/>
    <w:rsid w:val="0075481B"/>
    <w:rsid w:val="007619E0"/>
    <w:rsid w:val="0076314E"/>
    <w:rsid w:val="00764526"/>
    <w:rsid w:val="00767506"/>
    <w:rsid w:val="00767DEC"/>
    <w:rsid w:val="0077119B"/>
    <w:rsid w:val="00772BE1"/>
    <w:rsid w:val="00773E6C"/>
    <w:rsid w:val="007743AB"/>
    <w:rsid w:val="00774F91"/>
    <w:rsid w:val="007766B5"/>
    <w:rsid w:val="00777827"/>
    <w:rsid w:val="0078027A"/>
    <w:rsid w:val="0078072B"/>
    <w:rsid w:val="00786CEE"/>
    <w:rsid w:val="00793ADC"/>
    <w:rsid w:val="007A1AAE"/>
    <w:rsid w:val="007A3B6C"/>
    <w:rsid w:val="007A4437"/>
    <w:rsid w:val="007B1212"/>
    <w:rsid w:val="007B183F"/>
    <w:rsid w:val="007B394D"/>
    <w:rsid w:val="007B629C"/>
    <w:rsid w:val="007C7E41"/>
    <w:rsid w:val="007D10AF"/>
    <w:rsid w:val="007D11BB"/>
    <w:rsid w:val="007D377E"/>
    <w:rsid w:val="007D4FB6"/>
    <w:rsid w:val="007D65D7"/>
    <w:rsid w:val="007E1ED2"/>
    <w:rsid w:val="007E300E"/>
    <w:rsid w:val="007E5E88"/>
    <w:rsid w:val="007F0AB0"/>
    <w:rsid w:val="007F1909"/>
    <w:rsid w:val="007F55F6"/>
    <w:rsid w:val="007F7DF0"/>
    <w:rsid w:val="0080181A"/>
    <w:rsid w:val="008027E3"/>
    <w:rsid w:val="00803038"/>
    <w:rsid w:val="00813C37"/>
    <w:rsid w:val="0081500A"/>
    <w:rsid w:val="008154B5"/>
    <w:rsid w:val="008156EC"/>
    <w:rsid w:val="00820D01"/>
    <w:rsid w:val="008224D2"/>
    <w:rsid w:val="00823962"/>
    <w:rsid w:val="00825E75"/>
    <w:rsid w:val="00826B81"/>
    <w:rsid w:val="0083185E"/>
    <w:rsid w:val="008324DF"/>
    <w:rsid w:val="0083573D"/>
    <w:rsid w:val="00835D5C"/>
    <w:rsid w:val="008375FE"/>
    <w:rsid w:val="00845EFA"/>
    <w:rsid w:val="00850219"/>
    <w:rsid w:val="00851757"/>
    <w:rsid w:val="00851B39"/>
    <w:rsid w:val="00852719"/>
    <w:rsid w:val="00853A48"/>
    <w:rsid w:val="00860115"/>
    <w:rsid w:val="00871404"/>
    <w:rsid w:val="008715F5"/>
    <w:rsid w:val="008751A9"/>
    <w:rsid w:val="008810CF"/>
    <w:rsid w:val="00881105"/>
    <w:rsid w:val="008857C4"/>
    <w:rsid w:val="0088594E"/>
    <w:rsid w:val="00885F9A"/>
    <w:rsid w:val="0088783C"/>
    <w:rsid w:val="008905D1"/>
    <w:rsid w:val="00891A9E"/>
    <w:rsid w:val="008955EB"/>
    <w:rsid w:val="00895BCC"/>
    <w:rsid w:val="0089628D"/>
    <w:rsid w:val="00896ABD"/>
    <w:rsid w:val="0089755C"/>
    <w:rsid w:val="008A1314"/>
    <w:rsid w:val="008A24C7"/>
    <w:rsid w:val="008A2ADD"/>
    <w:rsid w:val="008B352E"/>
    <w:rsid w:val="008B763D"/>
    <w:rsid w:val="008C297C"/>
    <w:rsid w:val="008C34FB"/>
    <w:rsid w:val="008C3B0F"/>
    <w:rsid w:val="008E031A"/>
    <w:rsid w:val="008E4FB4"/>
    <w:rsid w:val="008F1B40"/>
    <w:rsid w:val="008F4B8E"/>
    <w:rsid w:val="008F57AB"/>
    <w:rsid w:val="008F6B39"/>
    <w:rsid w:val="00905072"/>
    <w:rsid w:val="00906913"/>
    <w:rsid w:val="0091624E"/>
    <w:rsid w:val="00916D5D"/>
    <w:rsid w:val="00916F2F"/>
    <w:rsid w:val="0092268E"/>
    <w:rsid w:val="0093258A"/>
    <w:rsid w:val="009370BC"/>
    <w:rsid w:val="00937B83"/>
    <w:rsid w:val="009405B0"/>
    <w:rsid w:val="00943CBD"/>
    <w:rsid w:val="009444A4"/>
    <w:rsid w:val="00947D69"/>
    <w:rsid w:val="00947DED"/>
    <w:rsid w:val="0095285C"/>
    <w:rsid w:val="00954E19"/>
    <w:rsid w:val="00957AE4"/>
    <w:rsid w:val="0096074C"/>
    <w:rsid w:val="009618FD"/>
    <w:rsid w:val="009648DE"/>
    <w:rsid w:val="009650C7"/>
    <w:rsid w:val="0096557B"/>
    <w:rsid w:val="00976B1A"/>
    <w:rsid w:val="0098096A"/>
    <w:rsid w:val="0098396C"/>
    <w:rsid w:val="009839E0"/>
    <w:rsid w:val="0098526B"/>
    <w:rsid w:val="0098544E"/>
    <w:rsid w:val="009867C4"/>
    <w:rsid w:val="0098739B"/>
    <w:rsid w:val="009900DF"/>
    <w:rsid w:val="00991B93"/>
    <w:rsid w:val="0099573C"/>
    <w:rsid w:val="00996B2D"/>
    <w:rsid w:val="009A2333"/>
    <w:rsid w:val="009A6BAA"/>
    <w:rsid w:val="009B1F78"/>
    <w:rsid w:val="009B3B87"/>
    <w:rsid w:val="009B5395"/>
    <w:rsid w:val="009C1C16"/>
    <w:rsid w:val="009C2CF7"/>
    <w:rsid w:val="009C4329"/>
    <w:rsid w:val="009C57E3"/>
    <w:rsid w:val="009D008D"/>
    <w:rsid w:val="009D30BD"/>
    <w:rsid w:val="009E0426"/>
    <w:rsid w:val="009E27CD"/>
    <w:rsid w:val="009E50A2"/>
    <w:rsid w:val="009F2103"/>
    <w:rsid w:val="00A015DD"/>
    <w:rsid w:val="00A05B63"/>
    <w:rsid w:val="00A06B65"/>
    <w:rsid w:val="00A11696"/>
    <w:rsid w:val="00A17661"/>
    <w:rsid w:val="00A24820"/>
    <w:rsid w:val="00A24B2D"/>
    <w:rsid w:val="00A343FE"/>
    <w:rsid w:val="00A372F9"/>
    <w:rsid w:val="00A40966"/>
    <w:rsid w:val="00A45BDC"/>
    <w:rsid w:val="00A510CE"/>
    <w:rsid w:val="00A524EA"/>
    <w:rsid w:val="00A546B8"/>
    <w:rsid w:val="00A5644C"/>
    <w:rsid w:val="00A60DC6"/>
    <w:rsid w:val="00A62153"/>
    <w:rsid w:val="00A62B38"/>
    <w:rsid w:val="00A6536A"/>
    <w:rsid w:val="00A67188"/>
    <w:rsid w:val="00A721AA"/>
    <w:rsid w:val="00A73289"/>
    <w:rsid w:val="00A73576"/>
    <w:rsid w:val="00A73686"/>
    <w:rsid w:val="00A77F1C"/>
    <w:rsid w:val="00A80A31"/>
    <w:rsid w:val="00A81C04"/>
    <w:rsid w:val="00A84F18"/>
    <w:rsid w:val="00A921E0"/>
    <w:rsid w:val="00A923CC"/>
    <w:rsid w:val="00A9324E"/>
    <w:rsid w:val="00A960B6"/>
    <w:rsid w:val="00AA740B"/>
    <w:rsid w:val="00AB2543"/>
    <w:rsid w:val="00AB4E23"/>
    <w:rsid w:val="00AB4E8C"/>
    <w:rsid w:val="00AB52AF"/>
    <w:rsid w:val="00AC11DD"/>
    <w:rsid w:val="00AC50B4"/>
    <w:rsid w:val="00AC79D3"/>
    <w:rsid w:val="00AD0F15"/>
    <w:rsid w:val="00AE7137"/>
    <w:rsid w:val="00AF1B9E"/>
    <w:rsid w:val="00AF4B2C"/>
    <w:rsid w:val="00AF4C11"/>
    <w:rsid w:val="00B00D4D"/>
    <w:rsid w:val="00B028CF"/>
    <w:rsid w:val="00B0392C"/>
    <w:rsid w:val="00B03EB6"/>
    <w:rsid w:val="00B05455"/>
    <w:rsid w:val="00B0738F"/>
    <w:rsid w:val="00B11961"/>
    <w:rsid w:val="00B249E1"/>
    <w:rsid w:val="00B26601"/>
    <w:rsid w:val="00B27003"/>
    <w:rsid w:val="00B275F7"/>
    <w:rsid w:val="00B3024F"/>
    <w:rsid w:val="00B334A1"/>
    <w:rsid w:val="00B352A6"/>
    <w:rsid w:val="00B41951"/>
    <w:rsid w:val="00B44412"/>
    <w:rsid w:val="00B45199"/>
    <w:rsid w:val="00B45F66"/>
    <w:rsid w:val="00B465C2"/>
    <w:rsid w:val="00B50D6C"/>
    <w:rsid w:val="00B524CA"/>
    <w:rsid w:val="00B53229"/>
    <w:rsid w:val="00B53975"/>
    <w:rsid w:val="00B60A98"/>
    <w:rsid w:val="00B60AB6"/>
    <w:rsid w:val="00B62480"/>
    <w:rsid w:val="00B62CC3"/>
    <w:rsid w:val="00B65CD8"/>
    <w:rsid w:val="00B67D2A"/>
    <w:rsid w:val="00B810CC"/>
    <w:rsid w:val="00B81B70"/>
    <w:rsid w:val="00B92CB9"/>
    <w:rsid w:val="00BA1081"/>
    <w:rsid w:val="00BA35FF"/>
    <w:rsid w:val="00BA503E"/>
    <w:rsid w:val="00BA73BA"/>
    <w:rsid w:val="00BB0F7D"/>
    <w:rsid w:val="00BB1659"/>
    <w:rsid w:val="00BB238F"/>
    <w:rsid w:val="00BB6267"/>
    <w:rsid w:val="00BC01E5"/>
    <w:rsid w:val="00BC2101"/>
    <w:rsid w:val="00BC4B2D"/>
    <w:rsid w:val="00BD0724"/>
    <w:rsid w:val="00BD4472"/>
    <w:rsid w:val="00BD534B"/>
    <w:rsid w:val="00BD6930"/>
    <w:rsid w:val="00BE3DEE"/>
    <w:rsid w:val="00BE4B35"/>
    <w:rsid w:val="00BE5521"/>
    <w:rsid w:val="00BE6720"/>
    <w:rsid w:val="00BF43AA"/>
    <w:rsid w:val="00BF6F4C"/>
    <w:rsid w:val="00C000D6"/>
    <w:rsid w:val="00C01637"/>
    <w:rsid w:val="00C05C76"/>
    <w:rsid w:val="00C05FD4"/>
    <w:rsid w:val="00C075A6"/>
    <w:rsid w:val="00C07962"/>
    <w:rsid w:val="00C07D60"/>
    <w:rsid w:val="00C126DB"/>
    <w:rsid w:val="00C12B13"/>
    <w:rsid w:val="00C23774"/>
    <w:rsid w:val="00C2506A"/>
    <w:rsid w:val="00C26739"/>
    <w:rsid w:val="00C27C34"/>
    <w:rsid w:val="00C32BC5"/>
    <w:rsid w:val="00C334F2"/>
    <w:rsid w:val="00C34684"/>
    <w:rsid w:val="00C357A2"/>
    <w:rsid w:val="00C40079"/>
    <w:rsid w:val="00C42ED0"/>
    <w:rsid w:val="00C43919"/>
    <w:rsid w:val="00C50B72"/>
    <w:rsid w:val="00C51A2E"/>
    <w:rsid w:val="00C53255"/>
    <w:rsid w:val="00C53263"/>
    <w:rsid w:val="00C54605"/>
    <w:rsid w:val="00C55061"/>
    <w:rsid w:val="00C559A6"/>
    <w:rsid w:val="00C65741"/>
    <w:rsid w:val="00C67062"/>
    <w:rsid w:val="00C73413"/>
    <w:rsid w:val="00C737BA"/>
    <w:rsid w:val="00C73F9D"/>
    <w:rsid w:val="00C75BC5"/>
    <w:rsid w:val="00C75F1D"/>
    <w:rsid w:val="00C779FF"/>
    <w:rsid w:val="00C805B2"/>
    <w:rsid w:val="00C824FA"/>
    <w:rsid w:val="00C82E16"/>
    <w:rsid w:val="00C87140"/>
    <w:rsid w:val="00C950AC"/>
    <w:rsid w:val="00CA02DD"/>
    <w:rsid w:val="00CA037A"/>
    <w:rsid w:val="00CA1AE9"/>
    <w:rsid w:val="00CA7602"/>
    <w:rsid w:val="00CB6184"/>
    <w:rsid w:val="00CC06FA"/>
    <w:rsid w:val="00CC2384"/>
    <w:rsid w:val="00CC380E"/>
    <w:rsid w:val="00CC53F9"/>
    <w:rsid w:val="00CC607D"/>
    <w:rsid w:val="00CC6402"/>
    <w:rsid w:val="00CC654B"/>
    <w:rsid w:val="00CC7529"/>
    <w:rsid w:val="00CD3125"/>
    <w:rsid w:val="00CD454F"/>
    <w:rsid w:val="00CE30A1"/>
    <w:rsid w:val="00CE3979"/>
    <w:rsid w:val="00CE4547"/>
    <w:rsid w:val="00CE4823"/>
    <w:rsid w:val="00CE508D"/>
    <w:rsid w:val="00CE7205"/>
    <w:rsid w:val="00CF4563"/>
    <w:rsid w:val="00CF6944"/>
    <w:rsid w:val="00D021BF"/>
    <w:rsid w:val="00D033CD"/>
    <w:rsid w:val="00D0381D"/>
    <w:rsid w:val="00D0546F"/>
    <w:rsid w:val="00D14559"/>
    <w:rsid w:val="00D1511A"/>
    <w:rsid w:val="00D21FD8"/>
    <w:rsid w:val="00D2446E"/>
    <w:rsid w:val="00D329A5"/>
    <w:rsid w:val="00D338E4"/>
    <w:rsid w:val="00D35538"/>
    <w:rsid w:val="00D3576A"/>
    <w:rsid w:val="00D51947"/>
    <w:rsid w:val="00D532F0"/>
    <w:rsid w:val="00D561B3"/>
    <w:rsid w:val="00D57545"/>
    <w:rsid w:val="00D61CE6"/>
    <w:rsid w:val="00D63BF4"/>
    <w:rsid w:val="00D652E8"/>
    <w:rsid w:val="00D7212C"/>
    <w:rsid w:val="00D73E10"/>
    <w:rsid w:val="00D74BEA"/>
    <w:rsid w:val="00D77413"/>
    <w:rsid w:val="00D82759"/>
    <w:rsid w:val="00D86551"/>
    <w:rsid w:val="00D86DE4"/>
    <w:rsid w:val="00D90D14"/>
    <w:rsid w:val="00D91CAB"/>
    <w:rsid w:val="00D92354"/>
    <w:rsid w:val="00D941C2"/>
    <w:rsid w:val="00D96FB9"/>
    <w:rsid w:val="00DA503D"/>
    <w:rsid w:val="00DA572F"/>
    <w:rsid w:val="00DA6DBB"/>
    <w:rsid w:val="00DA7E99"/>
    <w:rsid w:val="00DB1C96"/>
    <w:rsid w:val="00DB35B0"/>
    <w:rsid w:val="00DB375B"/>
    <w:rsid w:val="00DB7373"/>
    <w:rsid w:val="00DC632A"/>
    <w:rsid w:val="00DD1AF6"/>
    <w:rsid w:val="00DD4049"/>
    <w:rsid w:val="00DD4DF6"/>
    <w:rsid w:val="00DD5F88"/>
    <w:rsid w:val="00DE2B2F"/>
    <w:rsid w:val="00DE2DC6"/>
    <w:rsid w:val="00DF1AF8"/>
    <w:rsid w:val="00DF4B17"/>
    <w:rsid w:val="00E01079"/>
    <w:rsid w:val="00E139C5"/>
    <w:rsid w:val="00E14D9A"/>
    <w:rsid w:val="00E15C1F"/>
    <w:rsid w:val="00E162D2"/>
    <w:rsid w:val="00E23F1D"/>
    <w:rsid w:val="00E25C97"/>
    <w:rsid w:val="00E31299"/>
    <w:rsid w:val="00E336BF"/>
    <w:rsid w:val="00E33CF4"/>
    <w:rsid w:val="00E343AB"/>
    <w:rsid w:val="00E34F5D"/>
    <w:rsid w:val="00E36361"/>
    <w:rsid w:val="00E36E69"/>
    <w:rsid w:val="00E4133C"/>
    <w:rsid w:val="00E42941"/>
    <w:rsid w:val="00E43250"/>
    <w:rsid w:val="00E438E3"/>
    <w:rsid w:val="00E44320"/>
    <w:rsid w:val="00E44381"/>
    <w:rsid w:val="00E4742D"/>
    <w:rsid w:val="00E50A2D"/>
    <w:rsid w:val="00E54952"/>
    <w:rsid w:val="00E55985"/>
    <w:rsid w:val="00E55AE9"/>
    <w:rsid w:val="00E66E6E"/>
    <w:rsid w:val="00E70250"/>
    <w:rsid w:val="00E73665"/>
    <w:rsid w:val="00E7516A"/>
    <w:rsid w:val="00E76D71"/>
    <w:rsid w:val="00E76DEC"/>
    <w:rsid w:val="00E90A60"/>
    <w:rsid w:val="00E9124F"/>
    <w:rsid w:val="00E92F3F"/>
    <w:rsid w:val="00E93699"/>
    <w:rsid w:val="00E94D73"/>
    <w:rsid w:val="00E955D9"/>
    <w:rsid w:val="00EA00DA"/>
    <w:rsid w:val="00EA7AC4"/>
    <w:rsid w:val="00EB0E04"/>
    <w:rsid w:val="00EB1CC2"/>
    <w:rsid w:val="00EB3E4C"/>
    <w:rsid w:val="00EB7287"/>
    <w:rsid w:val="00EC244B"/>
    <w:rsid w:val="00EC59FD"/>
    <w:rsid w:val="00EC6A28"/>
    <w:rsid w:val="00ED47BC"/>
    <w:rsid w:val="00ED4D36"/>
    <w:rsid w:val="00EE1A80"/>
    <w:rsid w:val="00EE3973"/>
    <w:rsid w:val="00EF3893"/>
    <w:rsid w:val="00EF6CEC"/>
    <w:rsid w:val="00F01F2A"/>
    <w:rsid w:val="00F1520E"/>
    <w:rsid w:val="00F156D1"/>
    <w:rsid w:val="00F337AC"/>
    <w:rsid w:val="00F35696"/>
    <w:rsid w:val="00F40D53"/>
    <w:rsid w:val="00F43E27"/>
    <w:rsid w:val="00F4525C"/>
    <w:rsid w:val="00F464D8"/>
    <w:rsid w:val="00F47B7F"/>
    <w:rsid w:val="00F61B8A"/>
    <w:rsid w:val="00F65AE4"/>
    <w:rsid w:val="00F7071E"/>
    <w:rsid w:val="00F70E0B"/>
    <w:rsid w:val="00F721FA"/>
    <w:rsid w:val="00F75438"/>
    <w:rsid w:val="00F77649"/>
    <w:rsid w:val="00F77EC0"/>
    <w:rsid w:val="00F800CE"/>
    <w:rsid w:val="00F81AA4"/>
    <w:rsid w:val="00F83DB5"/>
    <w:rsid w:val="00F93694"/>
    <w:rsid w:val="00F950C8"/>
    <w:rsid w:val="00F9544F"/>
    <w:rsid w:val="00F95799"/>
    <w:rsid w:val="00FA080C"/>
    <w:rsid w:val="00FA196E"/>
    <w:rsid w:val="00FA7174"/>
    <w:rsid w:val="00FA7F43"/>
    <w:rsid w:val="00FABDA0"/>
    <w:rsid w:val="00FB0D2A"/>
    <w:rsid w:val="00FB56CD"/>
    <w:rsid w:val="00FB6D19"/>
    <w:rsid w:val="00FB7F06"/>
    <w:rsid w:val="00FC2FF6"/>
    <w:rsid w:val="00FC6A0B"/>
    <w:rsid w:val="00FD00DB"/>
    <w:rsid w:val="00FD1C20"/>
    <w:rsid w:val="00FD2443"/>
    <w:rsid w:val="00FD5508"/>
    <w:rsid w:val="00FD658C"/>
    <w:rsid w:val="00FE24AB"/>
    <w:rsid w:val="00FE760E"/>
    <w:rsid w:val="00FF15A6"/>
    <w:rsid w:val="00FF15A7"/>
    <w:rsid w:val="015241E0"/>
    <w:rsid w:val="01634E19"/>
    <w:rsid w:val="017B1FFC"/>
    <w:rsid w:val="01A84CD6"/>
    <w:rsid w:val="01E3E9FD"/>
    <w:rsid w:val="01FA737F"/>
    <w:rsid w:val="021CBA95"/>
    <w:rsid w:val="025AAA42"/>
    <w:rsid w:val="025CE463"/>
    <w:rsid w:val="02A630CF"/>
    <w:rsid w:val="02E513A7"/>
    <w:rsid w:val="02F212B1"/>
    <w:rsid w:val="02FCB923"/>
    <w:rsid w:val="0369317F"/>
    <w:rsid w:val="036ED526"/>
    <w:rsid w:val="0386B7D7"/>
    <w:rsid w:val="03B559A6"/>
    <w:rsid w:val="042F3005"/>
    <w:rsid w:val="042F9522"/>
    <w:rsid w:val="04627E7C"/>
    <w:rsid w:val="050E92BE"/>
    <w:rsid w:val="0571DC08"/>
    <w:rsid w:val="057494D1"/>
    <w:rsid w:val="05A1B6C1"/>
    <w:rsid w:val="05EF14FB"/>
    <w:rsid w:val="065633E5"/>
    <w:rsid w:val="06681C35"/>
    <w:rsid w:val="06AF0385"/>
    <w:rsid w:val="07330D64"/>
    <w:rsid w:val="073DD33C"/>
    <w:rsid w:val="07E75B7D"/>
    <w:rsid w:val="07EE0712"/>
    <w:rsid w:val="08511CCB"/>
    <w:rsid w:val="0857C860"/>
    <w:rsid w:val="085B5864"/>
    <w:rsid w:val="08A4372E"/>
    <w:rsid w:val="08B39D61"/>
    <w:rsid w:val="08C5992D"/>
    <w:rsid w:val="095B06CD"/>
    <w:rsid w:val="09692048"/>
    <w:rsid w:val="0993067E"/>
    <w:rsid w:val="0993FEB0"/>
    <w:rsid w:val="09B57CDC"/>
    <w:rsid w:val="09CBE7A5"/>
    <w:rsid w:val="09CD5FCA"/>
    <w:rsid w:val="09D3B073"/>
    <w:rsid w:val="0A4919BF"/>
    <w:rsid w:val="0A85F132"/>
    <w:rsid w:val="0AA834F1"/>
    <w:rsid w:val="0AB97561"/>
    <w:rsid w:val="0AEF32B9"/>
    <w:rsid w:val="0AFA9B54"/>
    <w:rsid w:val="0B0A8B1B"/>
    <w:rsid w:val="0B1B7A3A"/>
    <w:rsid w:val="0B2E0431"/>
    <w:rsid w:val="0B3BA8D6"/>
    <w:rsid w:val="0B49ECC9"/>
    <w:rsid w:val="0B667A89"/>
    <w:rsid w:val="0BB6CD1B"/>
    <w:rsid w:val="0C138111"/>
    <w:rsid w:val="0C3BC6D0"/>
    <w:rsid w:val="0C41C5E7"/>
    <w:rsid w:val="0C53BECA"/>
    <w:rsid w:val="0C7EDB74"/>
    <w:rsid w:val="0CB383DC"/>
    <w:rsid w:val="0CBBF58A"/>
    <w:rsid w:val="0CD4FF24"/>
    <w:rsid w:val="0D051D92"/>
    <w:rsid w:val="0D1718C5"/>
    <w:rsid w:val="0D7986C4"/>
    <w:rsid w:val="0DF33AC3"/>
    <w:rsid w:val="0E6C29C8"/>
    <w:rsid w:val="0F182D0A"/>
    <w:rsid w:val="10480350"/>
    <w:rsid w:val="109EA849"/>
    <w:rsid w:val="10B37035"/>
    <w:rsid w:val="10F783E3"/>
    <w:rsid w:val="1110332C"/>
    <w:rsid w:val="111C4B2F"/>
    <w:rsid w:val="1125D317"/>
    <w:rsid w:val="11397537"/>
    <w:rsid w:val="114A163F"/>
    <w:rsid w:val="114D4023"/>
    <w:rsid w:val="1163A1FB"/>
    <w:rsid w:val="118D6468"/>
    <w:rsid w:val="11E193F8"/>
    <w:rsid w:val="11EDD448"/>
    <w:rsid w:val="12831D3B"/>
    <w:rsid w:val="12AA7C50"/>
    <w:rsid w:val="12FF8A6A"/>
    <w:rsid w:val="1310521C"/>
    <w:rsid w:val="1386D238"/>
    <w:rsid w:val="13D224D3"/>
    <w:rsid w:val="1404CD33"/>
    <w:rsid w:val="145FFA76"/>
    <w:rsid w:val="14653324"/>
    <w:rsid w:val="148032D6"/>
    <w:rsid w:val="148C80C3"/>
    <w:rsid w:val="14FD9869"/>
    <w:rsid w:val="151D7A62"/>
    <w:rsid w:val="1524B6A3"/>
    <w:rsid w:val="152CCA54"/>
    <w:rsid w:val="1543713C"/>
    <w:rsid w:val="1543763F"/>
    <w:rsid w:val="1550ADC3"/>
    <w:rsid w:val="156FC1D3"/>
    <w:rsid w:val="158832C2"/>
    <w:rsid w:val="15A847AA"/>
    <w:rsid w:val="162B10B0"/>
    <w:rsid w:val="1646F2B5"/>
    <w:rsid w:val="165E6335"/>
    <w:rsid w:val="166F379C"/>
    <w:rsid w:val="168B67B2"/>
    <w:rsid w:val="16D1C298"/>
    <w:rsid w:val="173380E8"/>
    <w:rsid w:val="17597ADC"/>
    <w:rsid w:val="17FEBDCE"/>
    <w:rsid w:val="1826038C"/>
    <w:rsid w:val="184337C4"/>
    <w:rsid w:val="184F542D"/>
    <w:rsid w:val="189473B9"/>
    <w:rsid w:val="1896DB09"/>
    <w:rsid w:val="18B65853"/>
    <w:rsid w:val="192C2C60"/>
    <w:rsid w:val="19370DED"/>
    <w:rsid w:val="1939339B"/>
    <w:rsid w:val="195B4C94"/>
    <w:rsid w:val="197B3A50"/>
    <w:rsid w:val="1A0D348A"/>
    <w:rsid w:val="1A5C35B6"/>
    <w:rsid w:val="1B1704CD"/>
    <w:rsid w:val="1B174E76"/>
    <w:rsid w:val="1B313580"/>
    <w:rsid w:val="1B52CECB"/>
    <w:rsid w:val="1B72C333"/>
    <w:rsid w:val="1BD60266"/>
    <w:rsid w:val="1BE0826B"/>
    <w:rsid w:val="1BE20526"/>
    <w:rsid w:val="1C10C5FC"/>
    <w:rsid w:val="1C8EF3AC"/>
    <w:rsid w:val="1CAB161A"/>
    <w:rsid w:val="1CDA9C55"/>
    <w:rsid w:val="1CE9AEB0"/>
    <w:rsid w:val="1CF3DAD2"/>
    <w:rsid w:val="1D3116AF"/>
    <w:rsid w:val="1D5A5BD0"/>
    <w:rsid w:val="1DA4800D"/>
    <w:rsid w:val="1DB4DAFC"/>
    <w:rsid w:val="1E34BC0C"/>
    <w:rsid w:val="1E70FACC"/>
    <w:rsid w:val="1EB89DCE"/>
    <w:rsid w:val="1ED7058E"/>
    <w:rsid w:val="1F137451"/>
    <w:rsid w:val="1F763E18"/>
    <w:rsid w:val="1F8AA03D"/>
    <w:rsid w:val="1F8B141F"/>
    <w:rsid w:val="1FE2524B"/>
    <w:rsid w:val="20482A0A"/>
    <w:rsid w:val="20895C03"/>
    <w:rsid w:val="212BC132"/>
    <w:rsid w:val="21747882"/>
    <w:rsid w:val="21AE7D71"/>
    <w:rsid w:val="21D7FB26"/>
    <w:rsid w:val="220A1221"/>
    <w:rsid w:val="221D5652"/>
    <w:rsid w:val="223D44A7"/>
    <w:rsid w:val="224B7E39"/>
    <w:rsid w:val="2282F00B"/>
    <w:rsid w:val="22C3CD02"/>
    <w:rsid w:val="23207C6E"/>
    <w:rsid w:val="233366AB"/>
    <w:rsid w:val="235D984E"/>
    <w:rsid w:val="23AD1E1B"/>
    <w:rsid w:val="23CC61A6"/>
    <w:rsid w:val="23D1BC6F"/>
    <w:rsid w:val="24080021"/>
    <w:rsid w:val="243C8E54"/>
    <w:rsid w:val="243E6124"/>
    <w:rsid w:val="245791DF"/>
    <w:rsid w:val="2487FBD2"/>
    <w:rsid w:val="249F28F0"/>
    <w:rsid w:val="250C64F5"/>
    <w:rsid w:val="25859DF6"/>
    <w:rsid w:val="25B6F433"/>
    <w:rsid w:val="25CDAEDC"/>
    <w:rsid w:val="25ED9C4E"/>
    <w:rsid w:val="2606942C"/>
    <w:rsid w:val="268FA560"/>
    <w:rsid w:val="271693DD"/>
    <w:rsid w:val="275138E9"/>
    <w:rsid w:val="27B96F6D"/>
    <w:rsid w:val="27D8E1D1"/>
    <w:rsid w:val="286CDE41"/>
    <w:rsid w:val="289BB469"/>
    <w:rsid w:val="289C5452"/>
    <w:rsid w:val="28C483D6"/>
    <w:rsid w:val="28D8426A"/>
    <w:rsid w:val="28F3377F"/>
    <w:rsid w:val="292C8632"/>
    <w:rsid w:val="297162CB"/>
    <w:rsid w:val="29751CC0"/>
    <w:rsid w:val="29760E69"/>
    <w:rsid w:val="29BAC765"/>
    <w:rsid w:val="29CC953D"/>
    <w:rsid w:val="29E6648E"/>
    <w:rsid w:val="2A335FF1"/>
    <w:rsid w:val="2A4C62D8"/>
    <w:rsid w:val="2A5EA612"/>
    <w:rsid w:val="2A86C524"/>
    <w:rsid w:val="2A8C1736"/>
    <w:rsid w:val="2AA30864"/>
    <w:rsid w:val="2AD759EB"/>
    <w:rsid w:val="2AE7FFCB"/>
    <w:rsid w:val="2B03DE59"/>
    <w:rsid w:val="2B1DA698"/>
    <w:rsid w:val="2B693C51"/>
    <w:rsid w:val="2B95A8B0"/>
    <w:rsid w:val="2C206890"/>
    <w:rsid w:val="2C2437CC"/>
    <w:rsid w:val="2C27C48F"/>
    <w:rsid w:val="2C321F1F"/>
    <w:rsid w:val="2C339135"/>
    <w:rsid w:val="2C4B297E"/>
    <w:rsid w:val="2C50B728"/>
    <w:rsid w:val="2C621C0E"/>
    <w:rsid w:val="2C66E814"/>
    <w:rsid w:val="2C793A0E"/>
    <w:rsid w:val="2CA08796"/>
    <w:rsid w:val="2CCACA0D"/>
    <w:rsid w:val="2D4EBC77"/>
    <w:rsid w:val="2D57D910"/>
    <w:rsid w:val="2D88591C"/>
    <w:rsid w:val="2D8DB1BE"/>
    <w:rsid w:val="2E2A6D99"/>
    <w:rsid w:val="2E521165"/>
    <w:rsid w:val="2E8EF31D"/>
    <w:rsid w:val="2E93395D"/>
    <w:rsid w:val="2E9BE54F"/>
    <w:rsid w:val="2EB12D79"/>
    <w:rsid w:val="2EC8EF07"/>
    <w:rsid w:val="2EED56B5"/>
    <w:rsid w:val="2EEDAC38"/>
    <w:rsid w:val="2EFEA821"/>
    <w:rsid w:val="2F4FB3DA"/>
    <w:rsid w:val="2FA0D01D"/>
    <w:rsid w:val="2FA63F67"/>
    <w:rsid w:val="2FADE830"/>
    <w:rsid w:val="30125CE6"/>
    <w:rsid w:val="303727E1"/>
    <w:rsid w:val="305F3C8D"/>
    <w:rsid w:val="30B9328B"/>
    <w:rsid w:val="30CD5532"/>
    <w:rsid w:val="30EFB47A"/>
    <w:rsid w:val="314BD0B3"/>
    <w:rsid w:val="31648280"/>
    <w:rsid w:val="318C09C2"/>
    <w:rsid w:val="31C43AC6"/>
    <w:rsid w:val="31E66873"/>
    <w:rsid w:val="3203BA0D"/>
    <w:rsid w:val="3217ECC5"/>
    <w:rsid w:val="32A797CB"/>
    <w:rsid w:val="3346A601"/>
    <w:rsid w:val="3359F01F"/>
    <w:rsid w:val="3360D748"/>
    <w:rsid w:val="3366A641"/>
    <w:rsid w:val="34548927"/>
    <w:rsid w:val="347F1536"/>
    <w:rsid w:val="349832F1"/>
    <w:rsid w:val="35115B4A"/>
    <w:rsid w:val="35231DAA"/>
    <w:rsid w:val="35BB03FD"/>
    <w:rsid w:val="35E621C1"/>
    <w:rsid w:val="35E96A84"/>
    <w:rsid w:val="35ED3D13"/>
    <w:rsid w:val="35F505F8"/>
    <w:rsid w:val="3629F475"/>
    <w:rsid w:val="3641CDA5"/>
    <w:rsid w:val="36A3D501"/>
    <w:rsid w:val="36CF5587"/>
    <w:rsid w:val="36E55760"/>
    <w:rsid w:val="370661E9"/>
    <w:rsid w:val="370B706F"/>
    <w:rsid w:val="3739D2BE"/>
    <w:rsid w:val="374CA637"/>
    <w:rsid w:val="3769627E"/>
    <w:rsid w:val="3789CCE2"/>
    <w:rsid w:val="37E02346"/>
    <w:rsid w:val="37FAD3D6"/>
    <w:rsid w:val="3839FDB5"/>
    <w:rsid w:val="3844D734"/>
    <w:rsid w:val="386B7A69"/>
    <w:rsid w:val="386D6B26"/>
    <w:rsid w:val="38FD3BC9"/>
    <w:rsid w:val="390C20D2"/>
    <w:rsid w:val="392ABF89"/>
    <w:rsid w:val="39479A51"/>
    <w:rsid w:val="39501553"/>
    <w:rsid w:val="395FB988"/>
    <w:rsid w:val="39A717EA"/>
    <w:rsid w:val="39B6877E"/>
    <w:rsid w:val="39BDCF86"/>
    <w:rsid w:val="3A0B3558"/>
    <w:rsid w:val="3A9320C9"/>
    <w:rsid w:val="3A935296"/>
    <w:rsid w:val="3ABA92C8"/>
    <w:rsid w:val="3C2F65D2"/>
    <w:rsid w:val="3C3AE3FA"/>
    <w:rsid w:val="3C3C6846"/>
    <w:rsid w:val="3C43B331"/>
    <w:rsid w:val="3D5752E0"/>
    <w:rsid w:val="3D580457"/>
    <w:rsid w:val="3D689636"/>
    <w:rsid w:val="3D8BCD15"/>
    <w:rsid w:val="3D9F641D"/>
    <w:rsid w:val="3DD50155"/>
    <w:rsid w:val="3E0A41F4"/>
    <w:rsid w:val="3E4E1051"/>
    <w:rsid w:val="3E6A5B51"/>
    <w:rsid w:val="3E8370C0"/>
    <w:rsid w:val="3EB1C906"/>
    <w:rsid w:val="3EB3D94C"/>
    <w:rsid w:val="3EB83C73"/>
    <w:rsid w:val="3ED9FB0D"/>
    <w:rsid w:val="3EE55E60"/>
    <w:rsid w:val="3F31C8B7"/>
    <w:rsid w:val="3F781698"/>
    <w:rsid w:val="3FA47A5A"/>
    <w:rsid w:val="3FBCFABE"/>
    <w:rsid w:val="3FE9D643"/>
    <w:rsid w:val="40566E41"/>
    <w:rsid w:val="40616E55"/>
    <w:rsid w:val="409DAA83"/>
    <w:rsid w:val="40AEDCC9"/>
    <w:rsid w:val="40D8D5FC"/>
    <w:rsid w:val="40E477CC"/>
    <w:rsid w:val="4117DAD1"/>
    <w:rsid w:val="414BEBAA"/>
    <w:rsid w:val="41B4AF05"/>
    <w:rsid w:val="41D69FD7"/>
    <w:rsid w:val="42052A3A"/>
    <w:rsid w:val="4211150E"/>
    <w:rsid w:val="42456654"/>
    <w:rsid w:val="42533B43"/>
    <w:rsid w:val="426869D9"/>
    <w:rsid w:val="426B8729"/>
    <w:rsid w:val="42802C40"/>
    <w:rsid w:val="42A3103C"/>
    <w:rsid w:val="42C797C9"/>
    <w:rsid w:val="43DAFF0F"/>
    <w:rsid w:val="43E2C343"/>
    <w:rsid w:val="43E8A047"/>
    <w:rsid w:val="440B383E"/>
    <w:rsid w:val="4451E5D7"/>
    <w:rsid w:val="4461E9C1"/>
    <w:rsid w:val="447FC7A1"/>
    <w:rsid w:val="449A5D46"/>
    <w:rsid w:val="44D7712D"/>
    <w:rsid w:val="450CAB00"/>
    <w:rsid w:val="4525F81D"/>
    <w:rsid w:val="4556B01D"/>
    <w:rsid w:val="455BECC3"/>
    <w:rsid w:val="45644D39"/>
    <w:rsid w:val="456F0FE0"/>
    <w:rsid w:val="457023BC"/>
    <w:rsid w:val="4572E1EE"/>
    <w:rsid w:val="45CD3914"/>
    <w:rsid w:val="461F244E"/>
    <w:rsid w:val="471B47AD"/>
    <w:rsid w:val="4724ED95"/>
    <w:rsid w:val="4737E290"/>
    <w:rsid w:val="474019B8"/>
    <w:rsid w:val="47439F43"/>
    <w:rsid w:val="4743FAF9"/>
    <w:rsid w:val="4751ED4A"/>
    <w:rsid w:val="478ABA54"/>
    <w:rsid w:val="47A05354"/>
    <w:rsid w:val="47DEEDAF"/>
    <w:rsid w:val="480B7BCD"/>
    <w:rsid w:val="480BF7B2"/>
    <w:rsid w:val="4837BEEC"/>
    <w:rsid w:val="485342D0"/>
    <w:rsid w:val="486E13DB"/>
    <w:rsid w:val="48A1D283"/>
    <w:rsid w:val="48A31AB5"/>
    <w:rsid w:val="48DDD1A1"/>
    <w:rsid w:val="48F18023"/>
    <w:rsid w:val="48F1AD60"/>
    <w:rsid w:val="491F01B0"/>
    <w:rsid w:val="495FB5D2"/>
    <w:rsid w:val="497A00A6"/>
    <w:rsid w:val="49886B15"/>
    <w:rsid w:val="49FA324D"/>
    <w:rsid w:val="4A811C56"/>
    <w:rsid w:val="4A972829"/>
    <w:rsid w:val="4A9B3B9D"/>
    <w:rsid w:val="4AB9C531"/>
    <w:rsid w:val="4AC8ECAB"/>
    <w:rsid w:val="4B0C5BE4"/>
    <w:rsid w:val="4B22918F"/>
    <w:rsid w:val="4B23561C"/>
    <w:rsid w:val="4B23F8E5"/>
    <w:rsid w:val="4B368C9F"/>
    <w:rsid w:val="4B40ABF6"/>
    <w:rsid w:val="4B49FC90"/>
    <w:rsid w:val="4B7A76D7"/>
    <w:rsid w:val="4B8B8027"/>
    <w:rsid w:val="4BF49B1B"/>
    <w:rsid w:val="4C90040F"/>
    <w:rsid w:val="4CB5195E"/>
    <w:rsid w:val="4CC2548D"/>
    <w:rsid w:val="4D42C78D"/>
    <w:rsid w:val="4D4E8BAF"/>
    <w:rsid w:val="4D8047CC"/>
    <w:rsid w:val="4D9B61D7"/>
    <w:rsid w:val="4DC1EE8C"/>
    <w:rsid w:val="4DCB159A"/>
    <w:rsid w:val="4DF4733E"/>
    <w:rsid w:val="4E18F5B6"/>
    <w:rsid w:val="4E62DB92"/>
    <w:rsid w:val="4E75FA52"/>
    <w:rsid w:val="4E876A11"/>
    <w:rsid w:val="4EB63C20"/>
    <w:rsid w:val="4EF81099"/>
    <w:rsid w:val="4F17A716"/>
    <w:rsid w:val="4F30BCD4"/>
    <w:rsid w:val="4F3E8F45"/>
    <w:rsid w:val="4F6B7A53"/>
    <w:rsid w:val="4FA5903D"/>
    <w:rsid w:val="4FBEC7F3"/>
    <w:rsid w:val="4FC4070E"/>
    <w:rsid w:val="4FD19B78"/>
    <w:rsid w:val="4FDBE41E"/>
    <w:rsid w:val="4FF18735"/>
    <w:rsid w:val="5034D551"/>
    <w:rsid w:val="50F1AD2C"/>
    <w:rsid w:val="510C29C6"/>
    <w:rsid w:val="510C5B01"/>
    <w:rsid w:val="5111877D"/>
    <w:rsid w:val="512ACEE3"/>
    <w:rsid w:val="512B3442"/>
    <w:rsid w:val="51496379"/>
    <w:rsid w:val="5162CD5B"/>
    <w:rsid w:val="51AC8948"/>
    <w:rsid w:val="5229E7EB"/>
    <w:rsid w:val="522EF34B"/>
    <w:rsid w:val="52479F66"/>
    <w:rsid w:val="526A558A"/>
    <w:rsid w:val="527034FE"/>
    <w:rsid w:val="52731FD6"/>
    <w:rsid w:val="52A0E2D7"/>
    <w:rsid w:val="52D937EB"/>
    <w:rsid w:val="5348FDA3"/>
    <w:rsid w:val="5358208B"/>
    <w:rsid w:val="53B3B973"/>
    <w:rsid w:val="53B84DDF"/>
    <w:rsid w:val="53BB983E"/>
    <w:rsid w:val="543BC375"/>
    <w:rsid w:val="547171C1"/>
    <w:rsid w:val="549CDB9F"/>
    <w:rsid w:val="54B66C1F"/>
    <w:rsid w:val="54D4698D"/>
    <w:rsid w:val="54FB85FA"/>
    <w:rsid w:val="5509BB1D"/>
    <w:rsid w:val="55369DBA"/>
    <w:rsid w:val="553B4C6C"/>
    <w:rsid w:val="55482AEA"/>
    <w:rsid w:val="556763A8"/>
    <w:rsid w:val="558E9A80"/>
    <w:rsid w:val="55C85203"/>
    <w:rsid w:val="565C6E3F"/>
    <w:rsid w:val="56C2ABC1"/>
    <w:rsid w:val="56D8C712"/>
    <w:rsid w:val="57C5398E"/>
    <w:rsid w:val="5822B894"/>
    <w:rsid w:val="58C486EF"/>
    <w:rsid w:val="58CA2380"/>
    <w:rsid w:val="58D27A86"/>
    <w:rsid w:val="58F3E175"/>
    <w:rsid w:val="5910FE4C"/>
    <w:rsid w:val="5931DFA2"/>
    <w:rsid w:val="599B0BCF"/>
    <w:rsid w:val="59B9F73A"/>
    <w:rsid w:val="59E17A00"/>
    <w:rsid w:val="59EE4975"/>
    <w:rsid w:val="5A418241"/>
    <w:rsid w:val="5A4BDCC5"/>
    <w:rsid w:val="5A5E5FFB"/>
    <w:rsid w:val="5A5F28C9"/>
    <w:rsid w:val="5A66CFA0"/>
    <w:rsid w:val="5AAFD0F5"/>
    <w:rsid w:val="5AB69C20"/>
    <w:rsid w:val="5AFFCC57"/>
    <w:rsid w:val="5B1966ED"/>
    <w:rsid w:val="5B29AD63"/>
    <w:rsid w:val="5B2F3AC1"/>
    <w:rsid w:val="5B313948"/>
    <w:rsid w:val="5B413CE8"/>
    <w:rsid w:val="5BE5EC53"/>
    <w:rsid w:val="5C0FAB29"/>
    <w:rsid w:val="5C21B5FF"/>
    <w:rsid w:val="5C2CAFE2"/>
    <w:rsid w:val="5C32B96B"/>
    <w:rsid w:val="5C463CA6"/>
    <w:rsid w:val="5C699CBF"/>
    <w:rsid w:val="5C9F65A9"/>
    <w:rsid w:val="5CD39024"/>
    <w:rsid w:val="5CD966EB"/>
    <w:rsid w:val="5CFFE0DD"/>
    <w:rsid w:val="5D089EBB"/>
    <w:rsid w:val="5D0A3975"/>
    <w:rsid w:val="5D6D63E1"/>
    <w:rsid w:val="5D9DCA69"/>
    <w:rsid w:val="5DC09B41"/>
    <w:rsid w:val="5DC75771"/>
    <w:rsid w:val="5DCD9C62"/>
    <w:rsid w:val="5E3160F0"/>
    <w:rsid w:val="5E5BE85B"/>
    <w:rsid w:val="5E8AA5CF"/>
    <w:rsid w:val="5EF6144C"/>
    <w:rsid w:val="5F064E47"/>
    <w:rsid w:val="5F3044AB"/>
    <w:rsid w:val="5F761747"/>
    <w:rsid w:val="5F860F0F"/>
    <w:rsid w:val="5FA9FE7C"/>
    <w:rsid w:val="5FD17678"/>
    <w:rsid w:val="5FE3D32F"/>
    <w:rsid w:val="6005874C"/>
    <w:rsid w:val="60122F7A"/>
    <w:rsid w:val="6023BE83"/>
    <w:rsid w:val="6050AF37"/>
    <w:rsid w:val="606FD7FB"/>
    <w:rsid w:val="60877B93"/>
    <w:rsid w:val="60B9D9F8"/>
    <w:rsid w:val="60BF1B68"/>
    <w:rsid w:val="610F0F8A"/>
    <w:rsid w:val="6136DB2B"/>
    <w:rsid w:val="61467AAA"/>
    <w:rsid w:val="6176F47A"/>
    <w:rsid w:val="6177011D"/>
    <w:rsid w:val="61774CBB"/>
    <w:rsid w:val="6195F78D"/>
    <w:rsid w:val="61A363FA"/>
    <w:rsid w:val="61B3715A"/>
    <w:rsid w:val="62195CF1"/>
    <w:rsid w:val="629409A7"/>
    <w:rsid w:val="62D6BF90"/>
    <w:rsid w:val="6355308B"/>
    <w:rsid w:val="63629D39"/>
    <w:rsid w:val="63898F32"/>
    <w:rsid w:val="63BF1A9B"/>
    <w:rsid w:val="63C62F12"/>
    <w:rsid w:val="63CD1B4A"/>
    <w:rsid w:val="63ED3C23"/>
    <w:rsid w:val="63FD0910"/>
    <w:rsid w:val="6435128F"/>
    <w:rsid w:val="64DB6CE0"/>
    <w:rsid w:val="64E2ABF2"/>
    <w:rsid w:val="652FB233"/>
    <w:rsid w:val="65318434"/>
    <w:rsid w:val="65420993"/>
    <w:rsid w:val="657B6375"/>
    <w:rsid w:val="6599FE6E"/>
    <w:rsid w:val="65E67255"/>
    <w:rsid w:val="6632F0A9"/>
    <w:rsid w:val="667B8729"/>
    <w:rsid w:val="668172D3"/>
    <w:rsid w:val="669BC5D2"/>
    <w:rsid w:val="669BDDFB"/>
    <w:rsid w:val="66C2B8C7"/>
    <w:rsid w:val="66C2B979"/>
    <w:rsid w:val="6710A3C0"/>
    <w:rsid w:val="67B0E814"/>
    <w:rsid w:val="68172805"/>
    <w:rsid w:val="68539FF1"/>
    <w:rsid w:val="69A02EEF"/>
    <w:rsid w:val="69A487DE"/>
    <w:rsid w:val="6A6CC375"/>
    <w:rsid w:val="6AACC7ED"/>
    <w:rsid w:val="6B02EA3E"/>
    <w:rsid w:val="6B5756A6"/>
    <w:rsid w:val="6B5A1A6B"/>
    <w:rsid w:val="6B65254B"/>
    <w:rsid w:val="6B8E8B48"/>
    <w:rsid w:val="6B9882EF"/>
    <w:rsid w:val="6B988992"/>
    <w:rsid w:val="6BD5C9FC"/>
    <w:rsid w:val="6C21E602"/>
    <w:rsid w:val="6C7271A8"/>
    <w:rsid w:val="6CFA0A42"/>
    <w:rsid w:val="6D09C017"/>
    <w:rsid w:val="6D1F8C92"/>
    <w:rsid w:val="6D30BA1D"/>
    <w:rsid w:val="6D636046"/>
    <w:rsid w:val="6DA9340F"/>
    <w:rsid w:val="6DC2614E"/>
    <w:rsid w:val="6DC3AA30"/>
    <w:rsid w:val="6DDD8920"/>
    <w:rsid w:val="6E40AB10"/>
    <w:rsid w:val="6E4F4AC3"/>
    <w:rsid w:val="6E650B92"/>
    <w:rsid w:val="6E801E44"/>
    <w:rsid w:val="6EC1BEB6"/>
    <w:rsid w:val="6ED48EEE"/>
    <w:rsid w:val="6EE82720"/>
    <w:rsid w:val="6EEDE37C"/>
    <w:rsid w:val="6F634B95"/>
    <w:rsid w:val="6F8E331E"/>
    <w:rsid w:val="6F9B0251"/>
    <w:rsid w:val="6FE21826"/>
    <w:rsid w:val="700C0024"/>
    <w:rsid w:val="70454419"/>
    <w:rsid w:val="70A46CE1"/>
    <w:rsid w:val="70B5479B"/>
    <w:rsid w:val="70BDF552"/>
    <w:rsid w:val="70D73C8B"/>
    <w:rsid w:val="70DBA597"/>
    <w:rsid w:val="710E56F3"/>
    <w:rsid w:val="715D111B"/>
    <w:rsid w:val="71B21EC4"/>
    <w:rsid w:val="71C16B9D"/>
    <w:rsid w:val="71C29C23"/>
    <w:rsid w:val="71C76733"/>
    <w:rsid w:val="71E06930"/>
    <w:rsid w:val="71F5A2F6"/>
    <w:rsid w:val="723D9FD0"/>
    <w:rsid w:val="72CDABB9"/>
    <w:rsid w:val="72D6E15F"/>
    <w:rsid w:val="73277462"/>
    <w:rsid w:val="73BC2CD5"/>
    <w:rsid w:val="73EECFE5"/>
    <w:rsid w:val="74280B65"/>
    <w:rsid w:val="7428B727"/>
    <w:rsid w:val="745ADC7C"/>
    <w:rsid w:val="7470DEAE"/>
    <w:rsid w:val="74FD4BBA"/>
    <w:rsid w:val="752FC4B3"/>
    <w:rsid w:val="755D1E71"/>
    <w:rsid w:val="75640367"/>
    <w:rsid w:val="758555BA"/>
    <w:rsid w:val="75E5D988"/>
    <w:rsid w:val="75E8EDB9"/>
    <w:rsid w:val="75E9D565"/>
    <w:rsid w:val="75F1C74D"/>
    <w:rsid w:val="768E574A"/>
    <w:rsid w:val="769A523F"/>
    <w:rsid w:val="76A073D0"/>
    <w:rsid w:val="76AE2A24"/>
    <w:rsid w:val="77590A88"/>
    <w:rsid w:val="77593DD4"/>
    <w:rsid w:val="775C0EE6"/>
    <w:rsid w:val="778A526E"/>
    <w:rsid w:val="779AAC53"/>
    <w:rsid w:val="77B6D75D"/>
    <w:rsid w:val="77E21616"/>
    <w:rsid w:val="77E31F81"/>
    <w:rsid w:val="77FF1820"/>
    <w:rsid w:val="78073678"/>
    <w:rsid w:val="78311AD6"/>
    <w:rsid w:val="78760FA3"/>
    <w:rsid w:val="78794D85"/>
    <w:rsid w:val="789FFDF9"/>
    <w:rsid w:val="78D5C2D3"/>
    <w:rsid w:val="792285B1"/>
    <w:rsid w:val="79C2CA9A"/>
    <w:rsid w:val="79CC4593"/>
    <w:rsid w:val="7A4DC37D"/>
    <w:rsid w:val="7AB0B828"/>
    <w:rsid w:val="7AC2EB33"/>
    <w:rsid w:val="7AC490B7"/>
    <w:rsid w:val="7AD01EEA"/>
    <w:rsid w:val="7AD8FD91"/>
    <w:rsid w:val="7AF1069D"/>
    <w:rsid w:val="7AF17F9B"/>
    <w:rsid w:val="7B4AACB4"/>
    <w:rsid w:val="7B68B1E9"/>
    <w:rsid w:val="7B82FE5F"/>
    <w:rsid w:val="7BD5D642"/>
    <w:rsid w:val="7C41ED3C"/>
    <w:rsid w:val="7C5D4634"/>
    <w:rsid w:val="7C5DDB79"/>
    <w:rsid w:val="7C6B6948"/>
    <w:rsid w:val="7C94F490"/>
    <w:rsid w:val="7CCBA18E"/>
    <w:rsid w:val="7CE27E90"/>
    <w:rsid w:val="7CF68AF7"/>
    <w:rsid w:val="7DBCD14C"/>
    <w:rsid w:val="7DF0BCA3"/>
    <w:rsid w:val="7E3283D3"/>
    <w:rsid w:val="7E71D481"/>
    <w:rsid w:val="7E73EF79"/>
    <w:rsid w:val="7EFAD997"/>
    <w:rsid w:val="7F0FDE79"/>
    <w:rsid w:val="7F233B50"/>
    <w:rsid w:val="7F5E8AD7"/>
    <w:rsid w:val="7F798D0F"/>
    <w:rsid w:val="7FABCDE6"/>
    <w:rsid w:val="7FE41932"/>
    <w:rsid w:val="7FFABE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EEEB151"/>
  <w15:docId w15:val="{E0616544-C7A8-4C07-8AD1-E503A6A15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8027E3"/>
    <w:pPr>
      <w:spacing w:line="288" w:lineRule="auto"/>
    </w:pPr>
  </w:style>
  <w:style w:type="paragraph" w:styleId="Heading1">
    <w:name w:val="heading 1"/>
    <w:basedOn w:val="Normal"/>
    <w:next w:val="Normal"/>
    <w:link w:val="Heading1Char"/>
    <w:uiPriority w:val="9"/>
    <w:semiHidden/>
    <w:qFormat/>
    <w:rsid w:val="008027E3"/>
    <w:pPr>
      <w:keepNext/>
      <w:keepLines/>
      <w:suppressAutoHyphens/>
      <w:spacing w:before="480" w:after="120"/>
      <w:outlineLvl w:val="0"/>
    </w:pPr>
    <w:rPr>
      <w:rFonts w:ascii="Arial" w:hAnsi="Arial" w:cs="Arial"/>
      <w:color w:val="0F7EB4"/>
      <w:sz w:val="48"/>
      <w:szCs w:val="40"/>
      <w:lang w:val="en-AU"/>
    </w:rPr>
  </w:style>
  <w:style w:type="paragraph" w:styleId="Heading2">
    <w:name w:val="heading 2"/>
    <w:basedOn w:val="Normal"/>
    <w:next w:val="Normal"/>
    <w:link w:val="Heading2Char"/>
    <w:uiPriority w:val="9"/>
    <w:semiHidden/>
    <w:qFormat/>
    <w:rsid w:val="008027E3"/>
    <w:pPr>
      <w:spacing w:before="400" w:after="120"/>
      <w:contextualSpacing/>
      <w:outlineLvl w:val="1"/>
    </w:pPr>
    <w:rPr>
      <w:rFonts w:ascii="Arial" w:hAnsi="Arial" w:cs="Arial"/>
      <w:color w:val="0F7EB4"/>
      <w:sz w:val="40"/>
      <w:szCs w:val="28"/>
      <w:lang w:val="en-AU"/>
    </w:rPr>
  </w:style>
  <w:style w:type="paragraph" w:styleId="Heading3">
    <w:name w:val="heading 3"/>
    <w:basedOn w:val="Normal"/>
    <w:next w:val="Normal"/>
    <w:link w:val="Heading3Char"/>
    <w:uiPriority w:val="9"/>
    <w:unhideWhenUsed/>
    <w:qFormat/>
    <w:rsid w:val="00E01079"/>
    <w:pPr>
      <w:spacing w:before="320" w:after="120"/>
      <w:outlineLvl w:val="2"/>
    </w:pPr>
    <w:rPr>
      <w:rFonts w:ascii="Arial" w:hAnsi="Arial" w:cs="Arial"/>
      <w:color w:val="0F7EB4"/>
      <w:sz w:val="28"/>
      <w:szCs w:val="28"/>
      <w:lang w:val="en-AU"/>
    </w:rPr>
  </w:style>
  <w:style w:type="paragraph" w:styleId="Heading4">
    <w:name w:val="heading 4"/>
    <w:basedOn w:val="Normal"/>
    <w:next w:val="Normal"/>
    <w:link w:val="Heading4Char"/>
    <w:uiPriority w:val="9"/>
    <w:unhideWhenUsed/>
    <w:qFormat/>
    <w:rsid w:val="008027E3"/>
    <w:pPr>
      <w:spacing w:before="280" w:after="120"/>
      <w:outlineLvl w:val="3"/>
    </w:pPr>
    <w:rPr>
      <w:rFonts w:ascii="Arial" w:hAnsi="Arial" w:cs="Arial"/>
      <w:color w:val="0F7EB4"/>
      <w:sz w:val="28"/>
      <w:lang w:val="en-AU" w:eastAsia="en-AU"/>
    </w:rPr>
  </w:style>
  <w:style w:type="paragraph" w:styleId="Heading5">
    <w:name w:val="heading 5"/>
    <w:basedOn w:val="Normal"/>
    <w:next w:val="Normal"/>
    <w:link w:val="Heading5Char"/>
    <w:uiPriority w:val="9"/>
    <w:unhideWhenUsed/>
    <w:qFormat/>
    <w:rsid w:val="008027E3"/>
    <w:pPr>
      <w:spacing w:before="240" w:after="120"/>
      <w:outlineLvl w:val="4"/>
    </w:pPr>
    <w:rPr>
      <w:rFonts w:ascii="Arial" w:hAnsi="Arial" w:cs="Arial"/>
      <w:color w:val="0F7EB4"/>
      <w:sz w:val="24"/>
      <w:szCs w:val="20"/>
      <w:lang w:val="en-AU" w:eastAsia="en-AU"/>
    </w:rPr>
  </w:style>
  <w:style w:type="paragraph" w:styleId="Heading6">
    <w:name w:val="heading 6"/>
    <w:basedOn w:val="Normal"/>
    <w:next w:val="Normal"/>
    <w:link w:val="Heading6Char"/>
    <w:uiPriority w:val="9"/>
    <w:semiHidden/>
    <w:unhideWhenUsed/>
    <w:qFormat/>
    <w:rsid w:val="000F5CEC"/>
    <w:pPr>
      <w:keepNext/>
      <w:keepLines/>
      <w:spacing w:before="40" w:after="0"/>
      <w:outlineLvl w:val="5"/>
    </w:pPr>
    <w:rPr>
      <w:rFonts w:asciiTheme="majorHAnsi" w:eastAsiaTheme="majorEastAsia" w:hAnsiTheme="majorHAnsi" w:cstheme="majorBidi"/>
      <w:color w:val="004B71" w:themeColor="accent1" w:themeShade="7F"/>
    </w:rPr>
  </w:style>
  <w:style w:type="paragraph" w:styleId="Heading7">
    <w:name w:val="heading 7"/>
    <w:basedOn w:val="Normal"/>
    <w:next w:val="Normal"/>
    <w:link w:val="Heading7Char"/>
    <w:uiPriority w:val="9"/>
    <w:semiHidden/>
    <w:unhideWhenUsed/>
    <w:qFormat/>
    <w:rsid w:val="000F5CEC"/>
    <w:pPr>
      <w:keepNext/>
      <w:keepLines/>
      <w:spacing w:before="40" w:after="0"/>
      <w:outlineLvl w:val="6"/>
    </w:pPr>
    <w:rPr>
      <w:rFonts w:asciiTheme="majorHAnsi" w:eastAsiaTheme="majorEastAsia" w:hAnsiTheme="majorHAnsi" w:cstheme="majorBidi"/>
      <w:i/>
      <w:iCs/>
      <w:color w:val="004B71" w:themeColor="accent1" w:themeShade="7F"/>
    </w:rPr>
  </w:style>
  <w:style w:type="paragraph" w:styleId="Heading8">
    <w:name w:val="heading 8"/>
    <w:basedOn w:val="Normal"/>
    <w:next w:val="Normal"/>
    <w:link w:val="Heading8Char"/>
    <w:uiPriority w:val="9"/>
    <w:semiHidden/>
    <w:unhideWhenUsed/>
    <w:qFormat/>
    <w:rsid w:val="000F5CE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F5CE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D86551"/>
    <w:pPr>
      <w:tabs>
        <w:tab w:val="left" w:pos="3820"/>
      </w:tabs>
      <w:spacing w:before="120" w:after="120"/>
    </w:pPr>
    <w:rPr>
      <w:rFonts w:asciiTheme="majorHAnsi" w:hAnsiTheme="majorHAnsi" w:cs="Arial"/>
      <w:color w:val="000000" w:themeColor="text1"/>
      <w:sz w:val="20"/>
    </w:rPr>
  </w:style>
  <w:style w:type="character" w:customStyle="1" w:styleId="HeaderChar">
    <w:name w:val="Header Char"/>
    <w:basedOn w:val="DefaultParagraphFont"/>
    <w:link w:val="Header"/>
    <w:uiPriority w:val="99"/>
    <w:semiHidden/>
    <w:rsid w:val="00D86551"/>
    <w:rPr>
      <w:rFonts w:asciiTheme="majorHAnsi" w:hAnsiTheme="majorHAnsi" w:cs="Arial"/>
      <w:color w:val="000000" w:themeColor="text1"/>
      <w:sz w:val="20"/>
    </w:rPr>
  </w:style>
  <w:style w:type="paragraph" w:styleId="Footer">
    <w:name w:val="footer"/>
    <w:basedOn w:val="Normal"/>
    <w:link w:val="FooterChar"/>
    <w:uiPriority w:val="99"/>
    <w:rsid w:val="00304EA1"/>
    <w:pPr>
      <w:tabs>
        <w:tab w:val="center" w:pos="4513"/>
        <w:tab w:val="right" w:pos="9026"/>
      </w:tabs>
      <w:spacing w:after="0"/>
    </w:pPr>
  </w:style>
  <w:style w:type="character" w:customStyle="1" w:styleId="FooterChar">
    <w:name w:val="Footer Char"/>
    <w:basedOn w:val="DefaultParagraphFont"/>
    <w:link w:val="Footer"/>
    <w:uiPriority w:val="99"/>
    <w:rsid w:val="009370BC"/>
  </w:style>
  <w:style w:type="paragraph" w:styleId="BalloonText">
    <w:name w:val="Balloon Text"/>
    <w:basedOn w:val="Normal"/>
    <w:link w:val="BalloonTextChar"/>
    <w:uiPriority w:val="99"/>
    <w:semiHidden/>
    <w:unhideWhenUsed/>
    <w:rsid w:val="00304EA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narrow">
    <w:name w:val="Table text narrow"/>
    <w:link w:val="TabletextnarrowChar"/>
    <w:qFormat/>
    <w:rsid w:val="00632FF9"/>
    <w:pPr>
      <w:spacing w:before="80" w:after="80" w:line="288" w:lineRule="auto"/>
    </w:pPr>
    <w:rPr>
      <w:rFonts w:ascii="Arial Narrow" w:hAnsi="Arial Narrow" w:cs="Arial"/>
      <w:sz w:val="20"/>
    </w:rPr>
  </w:style>
  <w:style w:type="paragraph" w:customStyle="1" w:styleId="Tableheadingnarrow">
    <w:name w:val="Table heading narrow"/>
    <w:basedOn w:val="Tabletextnarrow"/>
    <w:qFormat/>
    <w:rsid w:val="00637FBC"/>
    <w:rPr>
      <w:color w:val="FFFFFF" w:themeColor="background1"/>
    </w:rPr>
  </w:style>
  <w:style w:type="paragraph" w:customStyle="1" w:styleId="Bullet">
    <w:name w:val="Bullet"/>
    <w:basedOn w:val="Normal"/>
    <w:qFormat/>
    <w:rsid w:val="00D86551"/>
    <w:pPr>
      <w:numPr>
        <w:numId w:val="1"/>
      </w:numPr>
      <w:tabs>
        <w:tab w:val="left" w:pos="425"/>
      </w:tabs>
      <w:spacing w:before="60" w:after="60"/>
      <w:ind w:left="425" w:hanging="425"/>
    </w:pPr>
    <w:rPr>
      <w:rFonts w:asciiTheme="majorHAnsi" w:eastAsia="Times New Roman" w:hAnsiTheme="majorHAnsi" w:cs="Arial"/>
      <w:color w:val="000000" w:themeColor="text1"/>
      <w:kern w:val="22"/>
      <w:sz w:val="20"/>
      <w:lang w:val="en-GB" w:eastAsia="ja-JP"/>
    </w:rPr>
  </w:style>
  <w:style w:type="paragraph" w:customStyle="1" w:styleId="Bulletlevel2">
    <w:name w:val="Bullet level 2"/>
    <w:basedOn w:val="Bullet"/>
    <w:qFormat/>
    <w:rsid w:val="00632FF9"/>
    <w:pPr>
      <w:numPr>
        <w:numId w:val="2"/>
      </w:numPr>
      <w:ind w:left="850" w:hanging="425"/>
    </w:pPr>
  </w:style>
  <w:style w:type="paragraph" w:customStyle="1" w:styleId="Numbers">
    <w:name w:val="Numbers"/>
    <w:basedOn w:val="Bullet"/>
    <w:qFormat/>
    <w:rsid w:val="00632FF9"/>
    <w:pPr>
      <w:numPr>
        <w:numId w:val="3"/>
      </w:numPr>
      <w:ind w:left="425" w:hanging="425"/>
    </w:pPr>
    <w:rPr>
      <w:lang w:val="en-US"/>
    </w:rPr>
  </w:style>
  <w:style w:type="paragraph" w:customStyle="1" w:styleId="Tablebulletnarrow">
    <w:name w:val="Table bullet narrow"/>
    <w:basedOn w:val="Normal"/>
    <w:link w:val="TablebulletnarrowChar"/>
    <w:qFormat/>
    <w:rsid w:val="00632FF9"/>
    <w:pPr>
      <w:numPr>
        <w:numId w:val="4"/>
      </w:numPr>
      <w:tabs>
        <w:tab w:val="left" w:pos="170"/>
      </w:tabs>
      <w:overflowPunct w:val="0"/>
      <w:autoSpaceDE w:val="0"/>
      <w:autoSpaceDN w:val="0"/>
      <w:adjustRightInd w:val="0"/>
      <w:spacing w:before="80" w:after="80"/>
      <w:ind w:left="170" w:hanging="170"/>
      <w:contextualSpacing/>
      <w:textAlignment w:val="baseline"/>
    </w:pPr>
    <w:rPr>
      <w:rFonts w:ascii="Arial Narrow" w:eastAsia="Times New Roman" w:hAnsi="Arial Narrow" w:cs="Arial"/>
      <w:sz w:val="20"/>
      <w:lang w:val="en-GB" w:eastAsia="ja-JP"/>
    </w:rPr>
  </w:style>
  <w:style w:type="paragraph" w:customStyle="1" w:styleId="Captionsandfootnotes">
    <w:name w:val="Captions and footnotes"/>
    <w:basedOn w:val="Normal"/>
    <w:qFormat/>
    <w:rsid w:val="00D86551"/>
    <w:pPr>
      <w:spacing w:before="120" w:after="360"/>
    </w:pPr>
    <w:rPr>
      <w:rFonts w:asciiTheme="majorHAnsi" w:hAnsiTheme="majorHAnsi" w:cs="Arial"/>
      <w:color w:val="000000" w:themeColor="text1"/>
      <w:sz w:val="18"/>
      <w:szCs w:val="18"/>
    </w:rPr>
  </w:style>
  <w:style w:type="paragraph" w:customStyle="1" w:styleId="Trademarkinfo">
    <w:name w:val="Trademark info"/>
    <w:basedOn w:val="Captionsandfootnotes"/>
    <w:qFormat/>
    <w:rsid w:val="002329F3"/>
    <w:pPr>
      <w:spacing w:after="0"/>
    </w:pPr>
    <w:rPr>
      <w:sz w:val="16"/>
      <w:szCs w:val="16"/>
    </w:rPr>
  </w:style>
  <w:style w:type="character" w:styleId="PlaceholderText">
    <w:name w:val="Placeholder Text"/>
    <w:basedOn w:val="DefaultParagraphFont"/>
    <w:uiPriority w:val="99"/>
    <w:semiHidden/>
    <w:rsid w:val="0028516B"/>
    <w:rPr>
      <w:color w:val="808080"/>
    </w:r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opentable">
    <w:name w:val="VCAA open table"/>
    <w:basedOn w:val="TableNormal"/>
    <w:uiPriority w:val="99"/>
    <w:rsid w:val="008810CF"/>
    <w:pPr>
      <w:spacing w:before="40" w:after="40" w:line="240" w:lineRule="auto"/>
    </w:pPr>
    <w:rPr>
      <w:rFonts w:ascii="Arial" w:hAnsi="Arial"/>
      <w:color w:val="000000" w:themeColor="text1"/>
      <w:sz w:val="20"/>
    </w:rPr>
    <w:tblPr>
      <w:tblStyleRowBandSize w:val="1"/>
      <w:tblBorders>
        <w:insideH w:val="single" w:sz="4" w:space="0" w:color="000000" w:themeColor="text1"/>
        <w:insideV w:val="single" w:sz="4" w:space="0" w:color="000000" w:themeColor="text1"/>
      </w:tblBorders>
    </w:tblPr>
    <w:tcPr>
      <w:shd w:val="clear" w:color="auto" w:fill="FFFFFF" w:themeFill="background1"/>
    </w:tcPr>
    <w:tblStylePr w:type="firstRow">
      <w:rPr>
        <w:rFonts w:ascii="Arial" w:hAnsi="Arial"/>
        <w:b/>
        <w:color w:val="FFFFFF" w:themeColor="background1"/>
        <w:sz w:val="20"/>
      </w:rPr>
      <w:tblPr/>
      <w:trPr>
        <w:tblHeader/>
      </w:trPr>
      <w:tcPr>
        <w:tcBorders>
          <w:insideV w:val="single" w:sz="4" w:space="0" w:color="FFFFFF" w:themeColor="background1"/>
        </w:tcBorders>
        <w:shd w:val="clear" w:color="auto" w:fill="0F7EB4"/>
      </w:tcPr>
    </w:tblStylePr>
    <w:tblStylePr w:type="band1Horz">
      <w:rPr>
        <w:rFonts w:ascii="Arial" w:hAnsi="Arial"/>
        <w:sz w:val="20"/>
      </w:rPr>
      <w:tblPr/>
      <w:tcPr>
        <w:tcBorders>
          <w:insideV w:val="nil"/>
        </w:tcBorders>
        <w:shd w:val="clear" w:color="auto" w:fill="FFFFFF" w:themeFill="background1"/>
      </w:tcPr>
    </w:tblStylePr>
    <w:tblStylePr w:type="band2Horz">
      <w:rPr>
        <w:rFonts w:ascii="Arial" w:hAnsi="Arial"/>
        <w:sz w:val="20"/>
      </w:rPr>
      <w:tblPr/>
      <w:tcPr>
        <w:tcBorders>
          <w:insideV w:val="nil"/>
        </w:tcBorders>
        <w:shd w:val="clear" w:color="auto" w:fill="FFFFFF" w:themeFill="background1"/>
      </w:tcPr>
    </w:tblStylePr>
  </w:style>
  <w:style w:type="paragraph" w:customStyle="1" w:styleId="Tablebulletlevel2narrow">
    <w:name w:val="Table bullet level 2 narrow"/>
    <w:basedOn w:val="Tablebulletnarrow"/>
    <w:link w:val="Tablebulletlevel2narrowChar"/>
    <w:qFormat/>
    <w:rsid w:val="00632FF9"/>
    <w:pPr>
      <w:numPr>
        <w:numId w:val="5"/>
      </w:numPr>
      <w:ind w:left="340" w:hanging="170"/>
    </w:pPr>
    <w:rPr>
      <w:color w:val="000000" w:themeColor="text1"/>
    </w:rPr>
  </w:style>
  <w:style w:type="table" w:customStyle="1" w:styleId="VCAAclosedtable">
    <w:name w:val="VCAA closed table"/>
    <w:basedOn w:val="VCAAopentable"/>
    <w:uiPriority w:val="99"/>
    <w:rsid w:val="008810CF"/>
    <w:pPr>
      <w:spacing w:after="0"/>
    </w:pPr>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tblStylePr w:type="band1Horz">
      <w:rPr>
        <w:rFonts w:ascii="Arial" w:hAnsi="Arial"/>
        <w:sz w:val="20"/>
      </w:rPr>
      <w:tblPr/>
      <w:tcPr>
        <w:tcBorders>
          <w:insideH w:val="nil"/>
          <w:insideV w:val="single" w:sz="4" w:space="0" w:color="auto"/>
        </w:tcBorders>
        <w:shd w:val="clear" w:color="auto" w:fill="auto"/>
      </w:tcPr>
    </w:tblStylePr>
    <w:tblStylePr w:type="band2Horz">
      <w:rPr>
        <w:rFonts w:ascii="Arial" w:hAnsi="Arial"/>
        <w:sz w:val="20"/>
      </w:rPr>
      <w:tblPr/>
      <w:tcPr>
        <w:tcBorders>
          <w:insideH w:val="nil"/>
          <w:insideV w:val="single" w:sz="4" w:space="0" w:color="auto"/>
        </w:tcBorders>
        <w:shd w:val="clear" w:color="auto" w:fill="auto"/>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6B7B1E"/>
    <w:rPr>
      <w:rFonts w:asciiTheme="minorHAnsi" w:hAnsiTheme="minorHAnsi"/>
      <w:color w:val="0F7EB4"/>
      <w:sz w:val="18"/>
      <w:u w:val="single"/>
    </w:rPr>
  </w:style>
  <w:style w:type="paragraph" w:customStyle="1" w:styleId="Tableheading">
    <w:name w:val="Table heading"/>
    <w:basedOn w:val="Normal"/>
    <w:qFormat/>
    <w:rsid w:val="00D86551"/>
    <w:pPr>
      <w:spacing w:before="80" w:after="80"/>
    </w:pPr>
    <w:rPr>
      <w:rFonts w:asciiTheme="majorHAnsi" w:hAnsiTheme="majorHAnsi" w:cs="Arial"/>
      <w:color w:val="FFFFFF" w:themeColor="background1"/>
      <w:sz w:val="20"/>
    </w:rPr>
  </w:style>
  <w:style w:type="table" w:styleId="LightList-Accent2">
    <w:name w:val="Light List Accent 2"/>
    <w:basedOn w:val="TableNormal"/>
    <w:uiPriority w:val="61"/>
    <w:rsid w:val="00E139C5"/>
    <w:pPr>
      <w:spacing w:after="0" w:line="240" w:lineRule="auto"/>
    </w:pPr>
    <w:tblPr>
      <w:tblStyleRowBandSize w:val="1"/>
      <w:tblStyleColBandSize w:val="1"/>
      <w:tblBorders>
        <w:top w:val="single" w:sz="8" w:space="0" w:color="999999" w:themeColor="accent2"/>
        <w:left w:val="single" w:sz="8" w:space="0" w:color="999999" w:themeColor="accent2"/>
        <w:bottom w:val="single" w:sz="8" w:space="0" w:color="999999" w:themeColor="accent2"/>
        <w:right w:val="single" w:sz="8" w:space="0" w:color="999999" w:themeColor="accent2"/>
      </w:tblBorders>
    </w:tblPr>
    <w:tblStylePr w:type="firstRow">
      <w:pPr>
        <w:spacing w:before="0" w:after="0" w:line="240" w:lineRule="auto"/>
      </w:pPr>
      <w:rPr>
        <w:b/>
        <w:bCs/>
        <w:color w:val="FFFFFF" w:themeColor="background1"/>
      </w:rPr>
      <w:tblPr/>
      <w:tcPr>
        <w:shd w:val="clear" w:color="auto" w:fill="999999" w:themeFill="accent2"/>
      </w:tcPr>
    </w:tblStylePr>
    <w:tblStylePr w:type="lastRow">
      <w:pPr>
        <w:spacing w:before="0" w:after="0" w:line="240" w:lineRule="auto"/>
      </w:pPr>
      <w:rPr>
        <w:b/>
        <w:bCs/>
      </w:rPr>
      <w:tblPr/>
      <w:tcPr>
        <w:tcBorders>
          <w:top w:val="double" w:sz="6" w:space="0" w:color="999999" w:themeColor="accent2"/>
          <w:left w:val="single" w:sz="8" w:space="0" w:color="999999" w:themeColor="accent2"/>
          <w:bottom w:val="single" w:sz="8" w:space="0" w:color="999999" w:themeColor="accent2"/>
          <w:right w:val="single" w:sz="8" w:space="0" w:color="999999" w:themeColor="accent2"/>
        </w:tcBorders>
      </w:tcPr>
    </w:tblStylePr>
    <w:tblStylePr w:type="firstCol">
      <w:rPr>
        <w:b/>
        <w:bCs/>
      </w:rPr>
    </w:tblStylePr>
    <w:tblStylePr w:type="lastCol">
      <w:rPr>
        <w:b/>
        <w:bCs/>
      </w:rPr>
    </w:tblStylePr>
    <w:tblStylePr w:type="band1Vert">
      <w:tblPr/>
      <w:tcPr>
        <w:tcBorders>
          <w:top w:val="single" w:sz="8" w:space="0" w:color="999999" w:themeColor="accent2"/>
          <w:left w:val="single" w:sz="8" w:space="0" w:color="999999" w:themeColor="accent2"/>
          <w:bottom w:val="single" w:sz="8" w:space="0" w:color="999999" w:themeColor="accent2"/>
          <w:right w:val="single" w:sz="8" w:space="0" w:color="999999" w:themeColor="accent2"/>
        </w:tcBorders>
      </w:tcPr>
    </w:tblStylePr>
    <w:tblStylePr w:type="band1Horz">
      <w:tblPr/>
      <w:tcPr>
        <w:tcBorders>
          <w:top w:val="single" w:sz="8" w:space="0" w:color="999999" w:themeColor="accent2"/>
          <w:left w:val="single" w:sz="8" w:space="0" w:color="999999" w:themeColor="accent2"/>
          <w:bottom w:val="single" w:sz="8" w:space="0" w:color="999999" w:themeColor="accent2"/>
          <w:right w:val="single" w:sz="8" w:space="0" w:color="999999" w:themeColor="accent2"/>
        </w:tcBorders>
      </w:tcPr>
    </w:tblStylePr>
  </w:style>
  <w:style w:type="character" w:customStyle="1" w:styleId="Heading1Char">
    <w:name w:val="Heading 1 Char"/>
    <w:basedOn w:val="DefaultParagraphFont"/>
    <w:link w:val="Heading1"/>
    <w:uiPriority w:val="9"/>
    <w:semiHidden/>
    <w:rsid w:val="008027E3"/>
    <w:rPr>
      <w:rFonts w:ascii="Arial" w:hAnsi="Arial" w:cs="Arial"/>
      <w:color w:val="0F7EB4"/>
      <w:sz w:val="48"/>
      <w:szCs w:val="40"/>
      <w:lang w:val="en-AU"/>
    </w:rPr>
  </w:style>
  <w:style w:type="paragraph" w:styleId="TOCHeading">
    <w:name w:val="TOC Heading"/>
    <w:basedOn w:val="Heading1"/>
    <w:next w:val="Normal"/>
    <w:autoRedefine/>
    <w:uiPriority w:val="39"/>
    <w:unhideWhenUsed/>
    <w:qFormat/>
    <w:rsid w:val="00E94D73"/>
    <w:pPr>
      <w:jc w:val="both"/>
      <w:outlineLvl w:val="9"/>
    </w:pPr>
    <w:rPr>
      <w:b/>
      <w:color w:val="0099E3"/>
      <w:sz w:val="40"/>
      <w:lang w:eastAsia="ja-JP"/>
    </w:rPr>
  </w:style>
  <w:style w:type="paragraph" w:styleId="TOC1">
    <w:name w:val="toc 1"/>
    <w:basedOn w:val="Normal"/>
    <w:next w:val="Normal"/>
    <w:uiPriority w:val="39"/>
    <w:qFormat/>
    <w:rsid w:val="00F800CE"/>
    <w:pPr>
      <w:tabs>
        <w:tab w:val="right" w:leader="dot" w:pos="9639"/>
      </w:tabs>
      <w:spacing w:before="240" w:after="100"/>
      <w:ind w:right="567"/>
      <w:jc w:val="both"/>
    </w:pPr>
    <w:rPr>
      <w:rFonts w:ascii="Arial" w:eastAsia="Times New Roman" w:hAnsi="Arial" w:cs="Arial"/>
      <w:b/>
      <w:bCs/>
      <w:noProof/>
      <w:sz w:val="20"/>
      <w:szCs w:val="24"/>
      <w:lang w:val="en-AU" w:eastAsia="en-AU"/>
    </w:rPr>
  </w:style>
  <w:style w:type="paragraph" w:styleId="TOC2">
    <w:name w:val="toc 2"/>
    <w:basedOn w:val="Normal"/>
    <w:next w:val="Normal"/>
    <w:uiPriority w:val="39"/>
    <w:qFormat/>
    <w:rsid w:val="002E30FF"/>
    <w:pPr>
      <w:tabs>
        <w:tab w:val="right" w:leader="dot" w:pos="9639"/>
      </w:tabs>
      <w:spacing w:after="100"/>
      <w:ind w:left="238" w:right="567"/>
    </w:pPr>
    <w:rPr>
      <w:rFonts w:ascii="Arial" w:eastAsia="Times New Roman" w:hAnsi="Arial" w:cs="Times New Roman"/>
      <w:b/>
      <w:noProof/>
      <w:sz w:val="20"/>
      <w:szCs w:val="24"/>
      <w:lang w:val="en-AU" w:eastAsia="en-AU"/>
    </w:rPr>
  </w:style>
  <w:style w:type="character" w:customStyle="1" w:styleId="Heading2Char">
    <w:name w:val="Heading 2 Char"/>
    <w:basedOn w:val="DefaultParagraphFont"/>
    <w:link w:val="Heading2"/>
    <w:uiPriority w:val="9"/>
    <w:semiHidden/>
    <w:rsid w:val="008027E3"/>
    <w:rPr>
      <w:rFonts w:ascii="Arial" w:hAnsi="Arial" w:cs="Arial"/>
      <w:color w:val="0F7EB4"/>
      <w:sz w:val="40"/>
      <w:szCs w:val="28"/>
      <w:lang w:val="en-AU"/>
    </w:rPr>
  </w:style>
  <w:style w:type="character" w:customStyle="1" w:styleId="Heading3Char">
    <w:name w:val="Heading 3 Char"/>
    <w:basedOn w:val="DefaultParagraphFont"/>
    <w:link w:val="Heading3"/>
    <w:uiPriority w:val="9"/>
    <w:rsid w:val="00E01079"/>
    <w:rPr>
      <w:rFonts w:ascii="Arial" w:hAnsi="Arial" w:cs="Arial"/>
      <w:color w:val="0F7EB4"/>
      <w:sz w:val="28"/>
      <w:szCs w:val="28"/>
      <w:lang w:val="en-AU"/>
    </w:rPr>
  </w:style>
  <w:style w:type="paragraph" w:customStyle="1" w:styleId="Documentsubtitle">
    <w:name w:val="Document subtitle"/>
    <w:basedOn w:val="Normal"/>
    <w:qFormat/>
    <w:rsid w:val="002402F1"/>
    <w:pPr>
      <w:spacing w:before="280" w:after="0"/>
    </w:pPr>
    <w:rPr>
      <w:rFonts w:ascii="Arial" w:hAnsi="Arial" w:cs="Arial"/>
      <w:noProof/>
      <w:color w:val="FFFFFF" w:themeColor="background1"/>
      <w:sz w:val="48"/>
      <w:szCs w:val="48"/>
      <w:lang w:val="en-AU" w:eastAsia="en-AU"/>
    </w:rPr>
  </w:style>
  <w:style w:type="character" w:styleId="CommentReference">
    <w:name w:val="annotation reference"/>
    <w:basedOn w:val="DefaultParagraphFont"/>
    <w:uiPriority w:val="99"/>
    <w:semiHidden/>
    <w:unhideWhenUsed/>
    <w:rsid w:val="00B45199"/>
    <w:rPr>
      <w:sz w:val="16"/>
      <w:szCs w:val="16"/>
    </w:rPr>
  </w:style>
  <w:style w:type="character" w:customStyle="1" w:styleId="EmphasisBold">
    <w:name w:val="Emphasis (Bold)"/>
    <w:basedOn w:val="DefaultParagraphFont"/>
    <w:uiPriority w:val="1"/>
    <w:qFormat/>
    <w:rsid w:val="0071657E"/>
    <w:rPr>
      <w:b/>
    </w:rPr>
  </w:style>
  <w:style w:type="character" w:customStyle="1" w:styleId="TitlesItalics">
    <w:name w:val="Titles (Italics)"/>
    <w:basedOn w:val="EmphasisBold"/>
    <w:uiPriority w:val="1"/>
    <w:qFormat/>
    <w:rsid w:val="002F27EC"/>
    <w:rPr>
      <w:rFonts w:ascii="Arial" w:hAnsi="Arial" w:cs="Arial"/>
      <w:b w:val="0"/>
      <w:i/>
      <w:color w:val="000000"/>
    </w:rPr>
  </w:style>
  <w:style w:type="paragraph" w:styleId="CommentText">
    <w:name w:val="annotation text"/>
    <w:basedOn w:val="Normal"/>
    <w:link w:val="CommentTextChar"/>
    <w:uiPriority w:val="99"/>
    <w:unhideWhenUsed/>
    <w:rsid w:val="00B45199"/>
    <w:rPr>
      <w:sz w:val="20"/>
      <w:szCs w:val="20"/>
    </w:rPr>
  </w:style>
  <w:style w:type="character" w:customStyle="1" w:styleId="CommentTextChar">
    <w:name w:val="Comment Text Char"/>
    <w:basedOn w:val="DefaultParagraphFont"/>
    <w:link w:val="CommentText"/>
    <w:uiPriority w:val="99"/>
    <w:rsid w:val="00B45199"/>
    <w:rPr>
      <w:sz w:val="20"/>
      <w:szCs w:val="20"/>
    </w:rPr>
  </w:style>
  <w:style w:type="paragraph" w:styleId="CommentSubject">
    <w:name w:val="annotation subject"/>
    <w:basedOn w:val="CommentText"/>
    <w:next w:val="CommentText"/>
    <w:link w:val="CommentSubjectChar"/>
    <w:uiPriority w:val="99"/>
    <w:semiHidden/>
    <w:unhideWhenUsed/>
    <w:rsid w:val="00B45199"/>
    <w:rPr>
      <w:b/>
      <w:bCs/>
    </w:rPr>
  </w:style>
  <w:style w:type="character" w:customStyle="1" w:styleId="CommentSubjectChar">
    <w:name w:val="Comment Subject Char"/>
    <w:basedOn w:val="CommentTextChar"/>
    <w:link w:val="CommentSubject"/>
    <w:uiPriority w:val="99"/>
    <w:semiHidden/>
    <w:rsid w:val="00B45199"/>
    <w:rPr>
      <w:b/>
      <w:bCs/>
      <w:sz w:val="20"/>
      <w:szCs w:val="20"/>
    </w:rPr>
  </w:style>
  <w:style w:type="paragraph" w:styleId="Revision">
    <w:name w:val="Revision"/>
    <w:hidden/>
    <w:uiPriority w:val="99"/>
    <w:semiHidden/>
    <w:rsid w:val="00B45199"/>
    <w:pPr>
      <w:spacing w:after="0" w:line="240" w:lineRule="auto"/>
    </w:pPr>
  </w:style>
  <w:style w:type="paragraph" w:customStyle="1" w:styleId="Figures">
    <w:name w:val="Figures"/>
    <w:basedOn w:val="Normal"/>
    <w:link w:val="FiguresChar"/>
    <w:qFormat/>
    <w:rsid w:val="00D86551"/>
    <w:pPr>
      <w:spacing w:before="120" w:after="120"/>
      <w:jc w:val="center"/>
    </w:pPr>
    <w:rPr>
      <w:rFonts w:asciiTheme="majorHAnsi" w:hAnsiTheme="majorHAnsi" w:cs="Arial"/>
      <w:color w:val="000000" w:themeColor="text1"/>
      <w:sz w:val="20"/>
    </w:rPr>
  </w:style>
  <w:style w:type="character" w:customStyle="1" w:styleId="FiguresChar">
    <w:name w:val="Figures Char"/>
    <w:basedOn w:val="DefaultParagraphFont"/>
    <w:link w:val="Figures"/>
    <w:rsid w:val="00D86551"/>
    <w:rPr>
      <w:rFonts w:asciiTheme="majorHAnsi" w:hAnsiTheme="majorHAnsi" w:cs="Arial"/>
      <w:color w:val="000000" w:themeColor="text1"/>
      <w:sz w:val="20"/>
    </w:rPr>
  </w:style>
  <w:style w:type="paragraph" w:styleId="FootnoteText">
    <w:name w:val="footnote text"/>
    <w:basedOn w:val="Normal"/>
    <w:link w:val="FootnoteTextChar"/>
    <w:uiPriority w:val="99"/>
    <w:semiHidden/>
    <w:unhideWhenUsed/>
    <w:rsid w:val="00693953"/>
    <w:pPr>
      <w:spacing w:after="0"/>
    </w:pPr>
    <w:rPr>
      <w:sz w:val="20"/>
      <w:szCs w:val="20"/>
    </w:rPr>
  </w:style>
  <w:style w:type="character" w:customStyle="1" w:styleId="FootnoteTextChar">
    <w:name w:val="Footnote Text Char"/>
    <w:basedOn w:val="DefaultParagraphFont"/>
    <w:link w:val="FootnoteText"/>
    <w:uiPriority w:val="99"/>
    <w:semiHidden/>
    <w:rsid w:val="00693953"/>
    <w:rPr>
      <w:sz w:val="20"/>
      <w:szCs w:val="20"/>
    </w:rPr>
  </w:style>
  <w:style w:type="character" w:styleId="FootnoteReference">
    <w:name w:val="footnote reference"/>
    <w:basedOn w:val="DefaultParagraphFont"/>
    <w:uiPriority w:val="99"/>
    <w:semiHidden/>
    <w:unhideWhenUsed/>
    <w:rsid w:val="00906913"/>
    <w:rPr>
      <w:rFonts w:asciiTheme="minorHAnsi" w:hAnsiTheme="minorHAnsi"/>
      <w:caps w:val="0"/>
      <w:smallCaps w:val="0"/>
      <w:strike w:val="0"/>
      <w:dstrike w:val="0"/>
      <w:vanish w:val="0"/>
      <w:sz w:val="22"/>
      <w:vertAlign w:val="superscript"/>
    </w:rPr>
  </w:style>
  <w:style w:type="paragraph" w:customStyle="1" w:styleId="Tabletext">
    <w:name w:val="Table text"/>
    <w:basedOn w:val="Tabletextnarrow"/>
    <w:link w:val="TabletextChar"/>
    <w:qFormat/>
    <w:rsid w:val="00632FF9"/>
    <w:rPr>
      <w:rFonts w:ascii="Arial" w:hAnsi="Arial"/>
      <w:color w:val="000000" w:themeColor="text1"/>
      <w:lang w:val="en-AU"/>
    </w:rPr>
  </w:style>
  <w:style w:type="character" w:customStyle="1" w:styleId="TabletextnarrowChar">
    <w:name w:val="Table text narrow Char"/>
    <w:basedOn w:val="DefaultParagraphFont"/>
    <w:link w:val="Tabletextnarrow"/>
    <w:rsid w:val="00632FF9"/>
    <w:rPr>
      <w:rFonts w:ascii="Arial Narrow" w:hAnsi="Arial Narrow" w:cs="Arial"/>
      <w:sz w:val="20"/>
    </w:rPr>
  </w:style>
  <w:style w:type="character" w:customStyle="1" w:styleId="TabletextChar">
    <w:name w:val="Table text Char"/>
    <w:basedOn w:val="TabletextnarrowChar"/>
    <w:link w:val="Tabletext"/>
    <w:rsid w:val="00632FF9"/>
    <w:rPr>
      <w:rFonts w:ascii="Arial" w:hAnsi="Arial" w:cs="Arial"/>
      <w:color w:val="000000" w:themeColor="text1"/>
      <w:sz w:val="20"/>
      <w:lang w:val="en-AU"/>
    </w:rPr>
  </w:style>
  <w:style w:type="paragraph" w:customStyle="1" w:styleId="Tablebullet">
    <w:name w:val="Table bullet"/>
    <w:basedOn w:val="Tablebulletnarrow"/>
    <w:link w:val="TablebulletChar"/>
    <w:qFormat/>
    <w:rsid w:val="00632FF9"/>
    <w:rPr>
      <w:rFonts w:ascii="Arial" w:hAnsi="Arial"/>
      <w:color w:val="000000" w:themeColor="text1"/>
    </w:rPr>
  </w:style>
  <w:style w:type="paragraph" w:customStyle="1" w:styleId="Tablebuletlevel2">
    <w:name w:val="Table bulet level 2"/>
    <w:basedOn w:val="Tablebulletlevel2narrow"/>
    <w:link w:val="Tablebuletlevel2Char"/>
    <w:qFormat/>
    <w:rsid w:val="00632FF9"/>
    <w:rPr>
      <w:rFonts w:ascii="Arial" w:hAnsi="Arial"/>
    </w:rPr>
  </w:style>
  <w:style w:type="character" w:customStyle="1" w:styleId="TablebulletnarrowChar">
    <w:name w:val="Table bullet narrow Char"/>
    <w:basedOn w:val="DefaultParagraphFont"/>
    <w:link w:val="Tablebulletnarrow"/>
    <w:rsid w:val="00632FF9"/>
    <w:rPr>
      <w:rFonts w:ascii="Arial Narrow" w:eastAsia="Times New Roman" w:hAnsi="Arial Narrow" w:cs="Arial"/>
      <w:sz w:val="20"/>
      <w:lang w:val="en-GB" w:eastAsia="ja-JP"/>
    </w:rPr>
  </w:style>
  <w:style w:type="character" w:customStyle="1" w:styleId="TablebulletChar">
    <w:name w:val="Table bullet Char"/>
    <w:basedOn w:val="TablebulletnarrowChar"/>
    <w:link w:val="Tablebullet"/>
    <w:rsid w:val="00632FF9"/>
    <w:rPr>
      <w:rFonts w:ascii="Arial" w:eastAsia="Times New Roman" w:hAnsi="Arial" w:cs="Arial"/>
      <w:color w:val="000000" w:themeColor="text1"/>
      <w:sz w:val="20"/>
      <w:lang w:val="en-GB" w:eastAsia="ja-JP"/>
    </w:rPr>
  </w:style>
  <w:style w:type="character" w:customStyle="1" w:styleId="Tablebulletlevel2narrowChar">
    <w:name w:val="Table bullet level 2 narrow Char"/>
    <w:basedOn w:val="TablebulletnarrowChar"/>
    <w:link w:val="Tablebulletlevel2narrow"/>
    <w:rsid w:val="00632FF9"/>
    <w:rPr>
      <w:rFonts w:ascii="Arial Narrow" w:eastAsia="Times New Roman" w:hAnsi="Arial Narrow" w:cs="Arial"/>
      <w:color w:val="000000" w:themeColor="text1"/>
      <w:sz w:val="20"/>
      <w:lang w:val="en-GB" w:eastAsia="ja-JP"/>
    </w:rPr>
  </w:style>
  <w:style w:type="character" w:customStyle="1" w:styleId="Tablebuletlevel2Char">
    <w:name w:val="Table bulet level 2 Char"/>
    <w:basedOn w:val="Tablebulletlevel2narrowChar"/>
    <w:link w:val="Tablebuletlevel2"/>
    <w:rsid w:val="00632FF9"/>
    <w:rPr>
      <w:rFonts w:ascii="Arial" w:eastAsia="Times New Roman" w:hAnsi="Arial" w:cs="Arial"/>
      <w:color w:val="000000" w:themeColor="text1"/>
      <w:sz w:val="20"/>
      <w:lang w:val="en-GB" w:eastAsia="ja-JP"/>
    </w:rPr>
  </w:style>
  <w:style w:type="paragraph" w:styleId="Bibliography">
    <w:name w:val="Bibliography"/>
    <w:basedOn w:val="Normal"/>
    <w:next w:val="Normal"/>
    <w:uiPriority w:val="37"/>
    <w:semiHidden/>
    <w:unhideWhenUsed/>
    <w:rsid w:val="000F5CEC"/>
  </w:style>
  <w:style w:type="paragraph" w:styleId="BlockText">
    <w:name w:val="Block Text"/>
    <w:basedOn w:val="Normal"/>
    <w:uiPriority w:val="99"/>
    <w:semiHidden/>
    <w:unhideWhenUsed/>
    <w:rsid w:val="000F5CEC"/>
    <w:pPr>
      <w:pBdr>
        <w:top w:val="single" w:sz="2" w:space="10" w:color="0099E3" w:themeColor="accent1"/>
        <w:left w:val="single" w:sz="2" w:space="10" w:color="0099E3" w:themeColor="accent1"/>
        <w:bottom w:val="single" w:sz="2" w:space="10" w:color="0099E3" w:themeColor="accent1"/>
        <w:right w:val="single" w:sz="2" w:space="10" w:color="0099E3" w:themeColor="accent1"/>
      </w:pBdr>
      <w:ind w:left="1152" w:right="1152"/>
    </w:pPr>
    <w:rPr>
      <w:rFonts w:eastAsiaTheme="minorEastAsia"/>
      <w:i/>
      <w:iCs/>
      <w:color w:val="0099E3" w:themeColor="accent1"/>
    </w:rPr>
  </w:style>
  <w:style w:type="paragraph" w:styleId="BodyText">
    <w:name w:val="Body Text"/>
    <w:basedOn w:val="Normal"/>
    <w:link w:val="BodyTextChar"/>
    <w:uiPriority w:val="99"/>
    <w:unhideWhenUsed/>
    <w:rsid w:val="00D86551"/>
    <w:pPr>
      <w:spacing w:before="120" w:after="120"/>
    </w:pPr>
    <w:rPr>
      <w:rFonts w:asciiTheme="majorHAnsi" w:hAnsiTheme="majorHAnsi" w:cs="Arial"/>
      <w:color w:val="000000" w:themeColor="text1"/>
      <w:sz w:val="20"/>
      <w:lang w:val="en-AU"/>
    </w:rPr>
  </w:style>
  <w:style w:type="character" w:customStyle="1" w:styleId="BodyTextChar">
    <w:name w:val="Body Text Char"/>
    <w:basedOn w:val="DefaultParagraphFont"/>
    <w:link w:val="BodyText"/>
    <w:uiPriority w:val="99"/>
    <w:rsid w:val="00D86551"/>
    <w:rPr>
      <w:rFonts w:asciiTheme="majorHAnsi" w:hAnsiTheme="majorHAnsi" w:cs="Arial"/>
      <w:color w:val="000000" w:themeColor="text1"/>
      <w:sz w:val="20"/>
      <w:lang w:val="en-AU"/>
    </w:rPr>
  </w:style>
  <w:style w:type="paragraph" w:styleId="BodyText2">
    <w:name w:val="Body Text 2"/>
    <w:basedOn w:val="Normal"/>
    <w:link w:val="BodyText2Char"/>
    <w:uiPriority w:val="99"/>
    <w:semiHidden/>
    <w:unhideWhenUsed/>
    <w:rsid w:val="000F5CEC"/>
    <w:pPr>
      <w:spacing w:after="120"/>
    </w:pPr>
  </w:style>
  <w:style w:type="character" w:customStyle="1" w:styleId="BodyText2Char">
    <w:name w:val="Body Text 2 Char"/>
    <w:basedOn w:val="DefaultParagraphFont"/>
    <w:link w:val="BodyText2"/>
    <w:uiPriority w:val="99"/>
    <w:semiHidden/>
    <w:rsid w:val="000F5CEC"/>
  </w:style>
  <w:style w:type="paragraph" w:styleId="BodyText3">
    <w:name w:val="Body Text 3"/>
    <w:basedOn w:val="Normal"/>
    <w:link w:val="BodyText3Char"/>
    <w:uiPriority w:val="99"/>
    <w:semiHidden/>
    <w:unhideWhenUsed/>
    <w:rsid w:val="000F5CEC"/>
    <w:pPr>
      <w:spacing w:after="120"/>
    </w:pPr>
    <w:rPr>
      <w:sz w:val="16"/>
      <w:szCs w:val="16"/>
    </w:rPr>
  </w:style>
  <w:style w:type="character" w:customStyle="1" w:styleId="BodyText3Char">
    <w:name w:val="Body Text 3 Char"/>
    <w:basedOn w:val="DefaultParagraphFont"/>
    <w:link w:val="BodyText3"/>
    <w:uiPriority w:val="99"/>
    <w:semiHidden/>
    <w:rsid w:val="000F5CEC"/>
    <w:rPr>
      <w:sz w:val="16"/>
      <w:szCs w:val="16"/>
    </w:rPr>
  </w:style>
  <w:style w:type="paragraph" w:styleId="BodyTextFirstIndent">
    <w:name w:val="Body Text First Indent"/>
    <w:basedOn w:val="BodyText"/>
    <w:link w:val="BodyTextFirstIndentChar"/>
    <w:uiPriority w:val="99"/>
    <w:semiHidden/>
    <w:unhideWhenUsed/>
    <w:rsid w:val="000F5CEC"/>
    <w:pPr>
      <w:spacing w:after="200"/>
      <w:ind w:firstLine="360"/>
    </w:pPr>
  </w:style>
  <w:style w:type="character" w:customStyle="1" w:styleId="BodyTextFirstIndentChar">
    <w:name w:val="Body Text First Indent Char"/>
    <w:basedOn w:val="BodyTextChar"/>
    <w:link w:val="BodyTextFirstIndent"/>
    <w:uiPriority w:val="99"/>
    <w:semiHidden/>
    <w:rsid w:val="000F5CEC"/>
    <w:rPr>
      <w:rFonts w:asciiTheme="majorHAnsi" w:hAnsiTheme="majorHAnsi" w:cs="Arial"/>
      <w:color w:val="000000" w:themeColor="text1"/>
      <w:sz w:val="20"/>
      <w:lang w:val="en-AU"/>
    </w:rPr>
  </w:style>
  <w:style w:type="paragraph" w:styleId="BodyTextIndent">
    <w:name w:val="Body Text Indent"/>
    <w:basedOn w:val="Normal"/>
    <w:link w:val="BodyTextIndentChar"/>
    <w:uiPriority w:val="99"/>
    <w:semiHidden/>
    <w:unhideWhenUsed/>
    <w:rsid w:val="000F5CEC"/>
    <w:pPr>
      <w:spacing w:after="120"/>
      <w:ind w:left="283"/>
    </w:pPr>
  </w:style>
  <w:style w:type="character" w:customStyle="1" w:styleId="BodyTextIndentChar">
    <w:name w:val="Body Text Indent Char"/>
    <w:basedOn w:val="DefaultParagraphFont"/>
    <w:link w:val="BodyTextIndent"/>
    <w:uiPriority w:val="99"/>
    <w:semiHidden/>
    <w:rsid w:val="000F5CEC"/>
  </w:style>
  <w:style w:type="paragraph" w:styleId="BodyTextFirstIndent2">
    <w:name w:val="Body Text First Indent 2"/>
    <w:basedOn w:val="BodyTextIndent"/>
    <w:link w:val="BodyTextFirstIndent2Char"/>
    <w:uiPriority w:val="99"/>
    <w:semiHidden/>
    <w:unhideWhenUsed/>
    <w:rsid w:val="000F5CEC"/>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0F5CEC"/>
  </w:style>
  <w:style w:type="paragraph" w:styleId="BodyTextIndent2">
    <w:name w:val="Body Text Indent 2"/>
    <w:basedOn w:val="Normal"/>
    <w:link w:val="BodyTextIndent2Char"/>
    <w:uiPriority w:val="99"/>
    <w:semiHidden/>
    <w:unhideWhenUsed/>
    <w:rsid w:val="000F5CEC"/>
    <w:pPr>
      <w:spacing w:after="120"/>
      <w:ind w:left="283"/>
    </w:pPr>
  </w:style>
  <w:style w:type="character" w:customStyle="1" w:styleId="BodyTextIndent2Char">
    <w:name w:val="Body Text Indent 2 Char"/>
    <w:basedOn w:val="DefaultParagraphFont"/>
    <w:link w:val="BodyTextIndent2"/>
    <w:uiPriority w:val="99"/>
    <w:semiHidden/>
    <w:rsid w:val="000F5CEC"/>
  </w:style>
  <w:style w:type="paragraph" w:styleId="BodyTextIndent3">
    <w:name w:val="Body Text Indent 3"/>
    <w:basedOn w:val="Normal"/>
    <w:link w:val="BodyTextIndent3Char"/>
    <w:uiPriority w:val="99"/>
    <w:semiHidden/>
    <w:unhideWhenUsed/>
    <w:rsid w:val="000F5CE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F5CEC"/>
    <w:rPr>
      <w:sz w:val="16"/>
      <w:szCs w:val="16"/>
    </w:rPr>
  </w:style>
  <w:style w:type="paragraph" w:styleId="Caption">
    <w:name w:val="caption"/>
    <w:basedOn w:val="Normal"/>
    <w:next w:val="Normal"/>
    <w:uiPriority w:val="35"/>
    <w:semiHidden/>
    <w:unhideWhenUsed/>
    <w:qFormat/>
    <w:rsid w:val="000F5CEC"/>
    <w:rPr>
      <w:i/>
      <w:iCs/>
      <w:color w:val="1F497D" w:themeColor="text2"/>
      <w:sz w:val="18"/>
      <w:szCs w:val="18"/>
    </w:rPr>
  </w:style>
  <w:style w:type="paragraph" w:styleId="Closing">
    <w:name w:val="Closing"/>
    <w:basedOn w:val="Normal"/>
    <w:link w:val="ClosingChar"/>
    <w:uiPriority w:val="99"/>
    <w:semiHidden/>
    <w:unhideWhenUsed/>
    <w:rsid w:val="000F5CEC"/>
    <w:pPr>
      <w:spacing w:after="0"/>
      <w:ind w:left="4252"/>
    </w:pPr>
  </w:style>
  <w:style w:type="character" w:customStyle="1" w:styleId="ClosingChar">
    <w:name w:val="Closing Char"/>
    <w:basedOn w:val="DefaultParagraphFont"/>
    <w:link w:val="Closing"/>
    <w:uiPriority w:val="99"/>
    <w:semiHidden/>
    <w:rsid w:val="000F5CEC"/>
  </w:style>
  <w:style w:type="paragraph" w:styleId="Date">
    <w:name w:val="Date"/>
    <w:basedOn w:val="Normal"/>
    <w:next w:val="Normal"/>
    <w:link w:val="DateChar"/>
    <w:uiPriority w:val="99"/>
    <w:semiHidden/>
    <w:unhideWhenUsed/>
    <w:rsid w:val="000F5CEC"/>
  </w:style>
  <w:style w:type="character" w:customStyle="1" w:styleId="DateChar">
    <w:name w:val="Date Char"/>
    <w:basedOn w:val="DefaultParagraphFont"/>
    <w:link w:val="Date"/>
    <w:uiPriority w:val="99"/>
    <w:semiHidden/>
    <w:rsid w:val="000F5CEC"/>
  </w:style>
  <w:style w:type="paragraph" w:styleId="DocumentMap">
    <w:name w:val="Document Map"/>
    <w:basedOn w:val="Normal"/>
    <w:link w:val="DocumentMapChar"/>
    <w:uiPriority w:val="99"/>
    <w:semiHidden/>
    <w:unhideWhenUsed/>
    <w:rsid w:val="000F5CEC"/>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0F5CEC"/>
    <w:rPr>
      <w:rFonts w:ascii="Segoe UI" w:hAnsi="Segoe UI" w:cs="Segoe UI"/>
      <w:sz w:val="16"/>
      <w:szCs w:val="16"/>
    </w:rPr>
  </w:style>
  <w:style w:type="paragraph" w:styleId="E-mailSignature">
    <w:name w:val="E-mail Signature"/>
    <w:basedOn w:val="Normal"/>
    <w:link w:val="E-mailSignatureChar"/>
    <w:uiPriority w:val="99"/>
    <w:semiHidden/>
    <w:unhideWhenUsed/>
    <w:rsid w:val="000F5CEC"/>
    <w:pPr>
      <w:spacing w:after="0"/>
    </w:pPr>
  </w:style>
  <w:style w:type="character" w:customStyle="1" w:styleId="E-mailSignatureChar">
    <w:name w:val="E-mail Signature Char"/>
    <w:basedOn w:val="DefaultParagraphFont"/>
    <w:link w:val="E-mailSignature"/>
    <w:uiPriority w:val="99"/>
    <w:semiHidden/>
    <w:rsid w:val="000F5CEC"/>
  </w:style>
  <w:style w:type="paragraph" w:styleId="EndnoteText">
    <w:name w:val="endnote text"/>
    <w:basedOn w:val="Normal"/>
    <w:link w:val="EndnoteTextChar"/>
    <w:uiPriority w:val="99"/>
    <w:semiHidden/>
    <w:unhideWhenUsed/>
    <w:rsid w:val="000F5CEC"/>
    <w:pPr>
      <w:spacing w:after="0"/>
    </w:pPr>
    <w:rPr>
      <w:sz w:val="20"/>
      <w:szCs w:val="20"/>
    </w:rPr>
  </w:style>
  <w:style w:type="character" w:customStyle="1" w:styleId="EndnoteTextChar">
    <w:name w:val="Endnote Text Char"/>
    <w:basedOn w:val="DefaultParagraphFont"/>
    <w:link w:val="EndnoteText"/>
    <w:uiPriority w:val="99"/>
    <w:semiHidden/>
    <w:rsid w:val="000F5CEC"/>
    <w:rPr>
      <w:sz w:val="20"/>
      <w:szCs w:val="20"/>
    </w:rPr>
  </w:style>
  <w:style w:type="paragraph" w:styleId="EnvelopeAddress">
    <w:name w:val="envelope address"/>
    <w:basedOn w:val="Normal"/>
    <w:uiPriority w:val="99"/>
    <w:semiHidden/>
    <w:unhideWhenUsed/>
    <w:rsid w:val="000F5CEC"/>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0F5CEC"/>
    <w:pPr>
      <w:spacing w:after="0"/>
    </w:pPr>
    <w:rPr>
      <w:rFonts w:asciiTheme="majorHAnsi" w:eastAsiaTheme="majorEastAsia" w:hAnsiTheme="majorHAnsi" w:cstheme="majorBidi"/>
      <w:sz w:val="20"/>
      <w:szCs w:val="20"/>
    </w:rPr>
  </w:style>
  <w:style w:type="character" w:customStyle="1" w:styleId="Heading4Char">
    <w:name w:val="Heading 4 Char"/>
    <w:basedOn w:val="DefaultParagraphFont"/>
    <w:link w:val="Heading4"/>
    <w:uiPriority w:val="9"/>
    <w:rsid w:val="008027E3"/>
    <w:rPr>
      <w:rFonts w:ascii="Arial" w:hAnsi="Arial" w:cs="Arial"/>
      <w:color w:val="0F7EB4"/>
      <w:sz w:val="28"/>
      <w:lang w:val="en-AU" w:eastAsia="en-AU"/>
    </w:rPr>
  </w:style>
  <w:style w:type="character" w:customStyle="1" w:styleId="Heading5Char">
    <w:name w:val="Heading 5 Char"/>
    <w:basedOn w:val="DefaultParagraphFont"/>
    <w:link w:val="Heading5"/>
    <w:uiPriority w:val="9"/>
    <w:rsid w:val="008027E3"/>
    <w:rPr>
      <w:rFonts w:ascii="Arial" w:hAnsi="Arial" w:cs="Arial"/>
      <w:color w:val="0F7EB4"/>
      <w:sz w:val="24"/>
      <w:szCs w:val="20"/>
      <w:lang w:val="en-AU" w:eastAsia="en-AU"/>
    </w:rPr>
  </w:style>
  <w:style w:type="character" w:customStyle="1" w:styleId="Heading6Char">
    <w:name w:val="Heading 6 Char"/>
    <w:basedOn w:val="DefaultParagraphFont"/>
    <w:link w:val="Heading6"/>
    <w:uiPriority w:val="9"/>
    <w:semiHidden/>
    <w:rsid w:val="000F5CEC"/>
    <w:rPr>
      <w:rFonts w:asciiTheme="majorHAnsi" w:eastAsiaTheme="majorEastAsia" w:hAnsiTheme="majorHAnsi" w:cstheme="majorBidi"/>
      <w:color w:val="004B71" w:themeColor="accent1" w:themeShade="7F"/>
    </w:rPr>
  </w:style>
  <w:style w:type="character" w:customStyle="1" w:styleId="Heading7Char">
    <w:name w:val="Heading 7 Char"/>
    <w:basedOn w:val="DefaultParagraphFont"/>
    <w:link w:val="Heading7"/>
    <w:uiPriority w:val="9"/>
    <w:semiHidden/>
    <w:rsid w:val="000F5CEC"/>
    <w:rPr>
      <w:rFonts w:asciiTheme="majorHAnsi" w:eastAsiaTheme="majorEastAsia" w:hAnsiTheme="majorHAnsi" w:cstheme="majorBidi"/>
      <w:i/>
      <w:iCs/>
      <w:color w:val="004B71" w:themeColor="accent1" w:themeShade="7F"/>
    </w:rPr>
  </w:style>
  <w:style w:type="character" w:customStyle="1" w:styleId="Heading8Char">
    <w:name w:val="Heading 8 Char"/>
    <w:basedOn w:val="DefaultParagraphFont"/>
    <w:link w:val="Heading8"/>
    <w:uiPriority w:val="9"/>
    <w:semiHidden/>
    <w:rsid w:val="000F5CE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F5CEC"/>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0F5CEC"/>
    <w:pPr>
      <w:spacing w:after="0"/>
    </w:pPr>
    <w:rPr>
      <w:i/>
      <w:iCs/>
    </w:rPr>
  </w:style>
  <w:style w:type="character" w:customStyle="1" w:styleId="HTMLAddressChar">
    <w:name w:val="HTML Address Char"/>
    <w:basedOn w:val="DefaultParagraphFont"/>
    <w:link w:val="HTMLAddress"/>
    <w:uiPriority w:val="99"/>
    <w:semiHidden/>
    <w:rsid w:val="000F5CEC"/>
    <w:rPr>
      <w:i/>
      <w:iCs/>
    </w:rPr>
  </w:style>
  <w:style w:type="paragraph" w:styleId="HTMLPreformatted">
    <w:name w:val="HTML Preformatted"/>
    <w:basedOn w:val="Normal"/>
    <w:link w:val="HTMLPreformattedChar"/>
    <w:uiPriority w:val="99"/>
    <w:semiHidden/>
    <w:unhideWhenUsed/>
    <w:rsid w:val="000F5CEC"/>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F5CEC"/>
    <w:rPr>
      <w:rFonts w:ascii="Consolas" w:hAnsi="Consolas"/>
      <w:sz w:val="20"/>
      <w:szCs w:val="20"/>
    </w:rPr>
  </w:style>
  <w:style w:type="paragraph" w:styleId="Index1">
    <w:name w:val="index 1"/>
    <w:basedOn w:val="Normal"/>
    <w:next w:val="Normal"/>
    <w:autoRedefine/>
    <w:uiPriority w:val="99"/>
    <w:semiHidden/>
    <w:unhideWhenUsed/>
    <w:rsid w:val="000F5CEC"/>
    <w:pPr>
      <w:spacing w:after="0"/>
      <w:ind w:left="220" w:hanging="220"/>
    </w:pPr>
  </w:style>
  <w:style w:type="paragraph" w:styleId="Index2">
    <w:name w:val="index 2"/>
    <w:basedOn w:val="Normal"/>
    <w:next w:val="Normal"/>
    <w:autoRedefine/>
    <w:uiPriority w:val="99"/>
    <w:semiHidden/>
    <w:unhideWhenUsed/>
    <w:rsid w:val="000F5CEC"/>
    <w:pPr>
      <w:spacing w:after="0"/>
      <w:ind w:left="440" w:hanging="220"/>
    </w:pPr>
  </w:style>
  <w:style w:type="paragraph" w:styleId="Index3">
    <w:name w:val="index 3"/>
    <w:basedOn w:val="Normal"/>
    <w:next w:val="Normal"/>
    <w:autoRedefine/>
    <w:uiPriority w:val="99"/>
    <w:semiHidden/>
    <w:unhideWhenUsed/>
    <w:rsid w:val="000F5CEC"/>
    <w:pPr>
      <w:spacing w:after="0"/>
      <w:ind w:left="660" w:hanging="220"/>
    </w:pPr>
  </w:style>
  <w:style w:type="paragraph" w:styleId="Index4">
    <w:name w:val="index 4"/>
    <w:basedOn w:val="Normal"/>
    <w:next w:val="Normal"/>
    <w:autoRedefine/>
    <w:uiPriority w:val="99"/>
    <w:semiHidden/>
    <w:unhideWhenUsed/>
    <w:rsid w:val="000F5CEC"/>
    <w:pPr>
      <w:spacing w:after="0"/>
      <w:ind w:left="880" w:hanging="220"/>
    </w:pPr>
  </w:style>
  <w:style w:type="paragraph" w:styleId="Index5">
    <w:name w:val="index 5"/>
    <w:basedOn w:val="Normal"/>
    <w:next w:val="Normal"/>
    <w:autoRedefine/>
    <w:uiPriority w:val="99"/>
    <w:semiHidden/>
    <w:unhideWhenUsed/>
    <w:rsid w:val="000F5CEC"/>
    <w:pPr>
      <w:spacing w:after="0"/>
      <w:ind w:left="1100" w:hanging="220"/>
    </w:pPr>
  </w:style>
  <w:style w:type="paragraph" w:styleId="Index6">
    <w:name w:val="index 6"/>
    <w:basedOn w:val="Normal"/>
    <w:next w:val="Normal"/>
    <w:autoRedefine/>
    <w:uiPriority w:val="99"/>
    <w:semiHidden/>
    <w:unhideWhenUsed/>
    <w:rsid w:val="000F5CEC"/>
    <w:pPr>
      <w:spacing w:after="0"/>
      <w:ind w:left="1320" w:hanging="220"/>
    </w:pPr>
  </w:style>
  <w:style w:type="paragraph" w:styleId="Index7">
    <w:name w:val="index 7"/>
    <w:basedOn w:val="Normal"/>
    <w:next w:val="Normal"/>
    <w:autoRedefine/>
    <w:uiPriority w:val="99"/>
    <w:semiHidden/>
    <w:unhideWhenUsed/>
    <w:rsid w:val="000F5CEC"/>
    <w:pPr>
      <w:spacing w:after="0"/>
      <w:ind w:left="1540" w:hanging="220"/>
    </w:pPr>
  </w:style>
  <w:style w:type="paragraph" w:styleId="Index8">
    <w:name w:val="index 8"/>
    <w:basedOn w:val="Normal"/>
    <w:next w:val="Normal"/>
    <w:autoRedefine/>
    <w:uiPriority w:val="99"/>
    <w:semiHidden/>
    <w:unhideWhenUsed/>
    <w:rsid w:val="000F5CEC"/>
    <w:pPr>
      <w:spacing w:after="0"/>
      <w:ind w:left="1760" w:hanging="220"/>
    </w:pPr>
  </w:style>
  <w:style w:type="paragraph" w:styleId="Index9">
    <w:name w:val="index 9"/>
    <w:basedOn w:val="Normal"/>
    <w:next w:val="Normal"/>
    <w:autoRedefine/>
    <w:uiPriority w:val="99"/>
    <w:semiHidden/>
    <w:unhideWhenUsed/>
    <w:rsid w:val="000F5CEC"/>
    <w:pPr>
      <w:spacing w:after="0"/>
      <w:ind w:left="1980" w:hanging="220"/>
    </w:pPr>
  </w:style>
  <w:style w:type="paragraph" w:styleId="IndexHeading">
    <w:name w:val="index heading"/>
    <w:basedOn w:val="Normal"/>
    <w:next w:val="Index1"/>
    <w:uiPriority w:val="99"/>
    <w:semiHidden/>
    <w:unhideWhenUsed/>
    <w:rsid w:val="000F5CEC"/>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0F5CEC"/>
    <w:pPr>
      <w:pBdr>
        <w:top w:val="single" w:sz="4" w:space="10" w:color="0099E3" w:themeColor="accent1"/>
        <w:bottom w:val="single" w:sz="4" w:space="10" w:color="0099E3" w:themeColor="accent1"/>
      </w:pBdr>
      <w:spacing w:before="360" w:after="360"/>
      <w:ind w:left="864" w:right="864"/>
      <w:jc w:val="center"/>
    </w:pPr>
    <w:rPr>
      <w:i/>
      <w:iCs/>
      <w:color w:val="0099E3" w:themeColor="accent1"/>
    </w:rPr>
  </w:style>
  <w:style w:type="character" w:customStyle="1" w:styleId="IntenseQuoteChar">
    <w:name w:val="Intense Quote Char"/>
    <w:basedOn w:val="DefaultParagraphFont"/>
    <w:link w:val="IntenseQuote"/>
    <w:uiPriority w:val="30"/>
    <w:rsid w:val="000F5CEC"/>
    <w:rPr>
      <w:i/>
      <w:iCs/>
      <w:color w:val="0099E3" w:themeColor="accent1"/>
    </w:rPr>
  </w:style>
  <w:style w:type="paragraph" w:styleId="List">
    <w:name w:val="List"/>
    <w:basedOn w:val="Normal"/>
    <w:uiPriority w:val="99"/>
    <w:semiHidden/>
    <w:unhideWhenUsed/>
    <w:rsid w:val="000F5CEC"/>
    <w:pPr>
      <w:ind w:left="283" w:hanging="283"/>
      <w:contextualSpacing/>
    </w:pPr>
  </w:style>
  <w:style w:type="paragraph" w:styleId="List2">
    <w:name w:val="List 2"/>
    <w:basedOn w:val="Normal"/>
    <w:uiPriority w:val="99"/>
    <w:semiHidden/>
    <w:unhideWhenUsed/>
    <w:rsid w:val="000F5CEC"/>
    <w:pPr>
      <w:ind w:left="566" w:hanging="283"/>
      <w:contextualSpacing/>
    </w:pPr>
  </w:style>
  <w:style w:type="paragraph" w:styleId="List3">
    <w:name w:val="List 3"/>
    <w:basedOn w:val="Normal"/>
    <w:uiPriority w:val="99"/>
    <w:semiHidden/>
    <w:unhideWhenUsed/>
    <w:rsid w:val="000F5CEC"/>
    <w:pPr>
      <w:ind w:left="849" w:hanging="283"/>
      <w:contextualSpacing/>
    </w:pPr>
  </w:style>
  <w:style w:type="paragraph" w:styleId="List4">
    <w:name w:val="List 4"/>
    <w:basedOn w:val="Normal"/>
    <w:uiPriority w:val="99"/>
    <w:semiHidden/>
    <w:unhideWhenUsed/>
    <w:rsid w:val="000F5CEC"/>
    <w:pPr>
      <w:ind w:left="1132" w:hanging="283"/>
      <w:contextualSpacing/>
    </w:pPr>
  </w:style>
  <w:style w:type="paragraph" w:styleId="List5">
    <w:name w:val="List 5"/>
    <w:basedOn w:val="Normal"/>
    <w:uiPriority w:val="99"/>
    <w:semiHidden/>
    <w:unhideWhenUsed/>
    <w:rsid w:val="000F5CEC"/>
    <w:pPr>
      <w:ind w:left="1415" w:hanging="283"/>
      <w:contextualSpacing/>
    </w:pPr>
  </w:style>
  <w:style w:type="paragraph" w:styleId="ListBullet">
    <w:name w:val="List Bullet"/>
    <w:basedOn w:val="Normal"/>
    <w:uiPriority w:val="99"/>
    <w:semiHidden/>
    <w:unhideWhenUsed/>
    <w:rsid w:val="000F5CEC"/>
    <w:pPr>
      <w:numPr>
        <w:numId w:val="6"/>
      </w:numPr>
      <w:contextualSpacing/>
    </w:pPr>
  </w:style>
  <w:style w:type="paragraph" w:styleId="ListBullet2">
    <w:name w:val="List Bullet 2"/>
    <w:basedOn w:val="Normal"/>
    <w:uiPriority w:val="99"/>
    <w:semiHidden/>
    <w:unhideWhenUsed/>
    <w:rsid w:val="000F5CEC"/>
    <w:pPr>
      <w:numPr>
        <w:numId w:val="7"/>
      </w:numPr>
      <w:contextualSpacing/>
    </w:pPr>
  </w:style>
  <w:style w:type="paragraph" w:styleId="ListBullet3">
    <w:name w:val="List Bullet 3"/>
    <w:basedOn w:val="Normal"/>
    <w:uiPriority w:val="99"/>
    <w:semiHidden/>
    <w:unhideWhenUsed/>
    <w:rsid w:val="000F5CEC"/>
    <w:pPr>
      <w:numPr>
        <w:numId w:val="8"/>
      </w:numPr>
      <w:contextualSpacing/>
    </w:pPr>
  </w:style>
  <w:style w:type="paragraph" w:styleId="ListBullet4">
    <w:name w:val="List Bullet 4"/>
    <w:basedOn w:val="Normal"/>
    <w:uiPriority w:val="99"/>
    <w:semiHidden/>
    <w:unhideWhenUsed/>
    <w:rsid w:val="000F5CEC"/>
    <w:pPr>
      <w:numPr>
        <w:numId w:val="9"/>
      </w:numPr>
      <w:contextualSpacing/>
    </w:pPr>
  </w:style>
  <w:style w:type="paragraph" w:styleId="ListBullet5">
    <w:name w:val="List Bullet 5"/>
    <w:basedOn w:val="Normal"/>
    <w:uiPriority w:val="99"/>
    <w:semiHidden/>
    <w:unhideWhenUsed/>
    <w:rsid w:val="000F5CEC"/>
    <w:pPr>
      <w:numPr>
        <w:numId w:val="10"/>
      </w:numPr>
      <w:contextualSpacing/>
    </w:pPr>
  </w:style>
  <w:style w:type="paragraph" w:styleId="ListContinue">
    <w:name w:val="List Continue"/>
    <w:basedOn w:val="Normal"/>
    <w:uiPriority w:val="99"/>
    <w:semiHidden/>
    <w:unhideWhenUsed/>
    <w:rsid w:val="000F5CEC"/>
    <w:pPr>
      <w:spacing w:after="120"/>
      <w:ind w:left="283"/>
      <w:contextualSpacing/>
    </w:pPr>
  </w:style>
  <w:style w:type="paragraph" w:styleId="ListContinue2">
    <w:name w:val="List Continue 2"/>
    <w:basedOn w:val="Normal"/>
    <w:uiPriority w:val="99"/>
    <w:semiHidden/>
    <w:unhideWhenUsed/>
    <w:rsid w:val="000F5CEC"/>
    <w:pPr>
      <w:spacing w:after="120"/>
      <w:ind w:left="566"/>
      <w:contextualSpacing/>
    </w:pPr>
  </w:style>
  <w:style w:type="paragraph" w:styleId="ListContinue3">
    <w:name w:val="List Continue 3"/>
    <w:basedOn w:val="Normal"/>
    <w:uiPriority w:val="99"/>
    <w:semiHidden/>
    <w:unhideWhenUsed/>
    <w:rsid w:val="000F5CEC"/>
    <w:pPr>
      <w:spacing w:after="120"/>
      <w:ind w:left="849"/>
      <w:contextualSpacing/>
    </w:pPr>
  </w:style>
  <w:style w:type="paragraph" w:styleId="ListContinue4">
    <w:name w:val="List Continue 4"/>
    <w:basedOn w:val="Normal"/>
    <w:uiPriority w:val="99"/>
    <w:semiHidden/>
    <w:unhideWhenUsed/>
    <w:rsid w:val="000F5CEC"/>
    <w:pPr>
      <w:spacing w:after="120"/>
      <w:ind w:left="1132"/>
      <w:contextualSpacing/>
    </w:pPr>
  </w:style>
  <w:style w:type="paragraph" w:styleId="ListContinue5">
    <w:name w:val="List Continue 5"/>
    <w:basedOn w:val="Normal"/>
    <w:uiPriority w:val="99"/>
    <w:semiHidden/>
    <w:unhideWhenUsed/>
    <w:rsid w:val="000F5CEC"/>
    <w:pPr>
      <w:spacing w:after="120"/>
      <w:ind w:left="1415"/>
      <w:contextualSpacing/>
    </w:pPr>
  </w:style>
  <w:style w:type="paragraph" w:styleId="ListNumber">
    <w:name w:val="List Number"/>
    <w:basedOn w:val="Normal"/>
    <w:uiPriority w:val="99"/>
    <w:semiHidden/>
    <w:unhideWhenUsed/>
    <w:rsid w:val="000F5CEC"/>
    <w:pPr>
      <w:numPr>
        <w:numId w:val="11"/>
      </w:numPr>
      <w:contextualSpacing/>
    </w:pPr>
  </w:style>
  <w:style w:type="paragraph" w:styleId="ListNumber2">
    <w:name w:val="List Number 2"/>
    <w:basedOn w:val="Normal"/>
    <w:uiPriority w:val="99"/>
    <w:semiHidden/>
    <w:unhideWhenUsed/>
    <w:rsid w:val="000F5CEC"/>
    <w:pPr>
      <w:numPr>
        <w:numId w:val="12"/>
      </w:numPr>
      <w:contextualSpacing/>
    </w:pPr>
  </w:style>
  <w:style w:type="paragraph" w:styleId="ListNumber3">
    <w:name w:val="List Number 3"/>
    <w:basedOn w:val="Normal"/>
    <w:uiPriority w:val="99"/>
    <w:semiHidden/>
    <w:unhideWhenUsed/>
    <w:rsid w:val="000F5CEC"/>
    <w:pPr>
      <w:numPr>
        <w:numId w:val="13"/>
      </w:numPr>
      <w:contextualSpacing/>
    </w:pPr>
  </w:style>
  <w:style w:type="paragraph" w:styleId="ListNumber4">
    <w:name w:val="List Number 4"/>
    <w:basedOn w:val="Normal"/>
    <w:uiPriority w:val="99"/>
    <w:semiHidden/>
    <w:unhideWhenUsed/>
    <w:rsid w:val="000F5CEC"/>
    <w:pPr>
      <w:numPr>
        <w:numId w:val="14"/>
      </w:numPr>
      <w:contextualSpacing/>
    </w:pPr>
  </w:style>
  <w:style w:type="paragraph" w:styleId="ListNumber5">
    <w:name w:val="List Number 5"/>
    <w:basedOn w:val="Normal"/>
    <w:uiPriority w:val="99"/>
    <w:semiHidden/>
    <w:unhideWhenUsed/>
    <w:rsid w:val="000F5CEC"/>
    <w:pPr>
      <w:numPr>
        <w:numId w:val="15"/>
      </w:numPr>
      <w:contextualSpacing/>
    </w:pPr>
  </w:style>
  <w:style w:type="paragraph" w:styleId="ListParagraph">
    <w:name w:val="List Paragraph"/>
    <w:basedOn w:val="Normal"/>
    <w:uiPriority w:val="34"/>
    <w:qFormat/>
    <w:rsid w:val="000F5CEC"/>
    <w:pPr>
      <w:ind w:left="720"/>
      <w:contextualSpacing/>
    </w:pPr>
  </w:style>
  <w:style w:type="paragraph" w:styleId="MacroText">
    <w:name w:val="macro"/>
    <w:link w:val="MacroTextChar"/>
    <w:uiPriority w:val="99"/>
    <w:semiHidden/>
    <w:unhideWhenUsed/>
    <w:rsid w:val="000F5CEC"/>
    <w:pPr>
      <w:tabs>
        <w:tab w:val="left" w:pos="480"/>
        <w:tab w:val="left" w:pos="960"/>
        <w:tab w:val="left" w:pos="1440"/>
        <w:tab w:val="left" w:pos="1920"/>
        <w:tab w:val="left" w:pos="2400"/>
        <w:tab w:val="left" w:pos="2880"/>
        <w:tab w:val="left" w:pos="3360"/>
        <w:tab w:val="left" w:pos="3840"/>
        <w:tab w:val="left" w:pos="4320"/>
      </w:tabs>
      <w:spacing w:after="0" w:line="288"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0F5CEC"/>
    <w:rPr>
      <w:rFonts w:ascii="Consolas" w:hAnsi="Consolas"/>
      <w:sz w:val="20"/>
      <w:szCs w:val="20"/>
    </w:rPr>
  </w:style>
  <w:style w:type="paragraph" w:styleId="MessageHeader">
    <w:name w:val="Message Header"/>
    <w:basedOn w:val="Normal"/>
    <w:link w:val="MessageHeaderChar"/>
    <w:uiPriority w:val="99"/>
    <w:semiHidden/>
    <w:unhideWhenUsed/>
    <w:rsid w:val="000F5CEC"/>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0F5CEC"/>
    <w:rPr>
      <w:rFonts w:asciiTheme="majorHAnsi" w:eastAsiaTheme="majorEastAsia" w:hAnsiTheme="majorHAnsi" w:cstheme="majorBidi"/>
      <w:sz w:val="24"/>
      <w:szCs w:val="24"/>
      <w:shd w:val="pct20" w:color="auto" w:fill="auto"/>
    </w:rPr>
  </w:style>
  <w:style w:type="paragraph" w:styleId="NoSpacing">
    <w:name w:val="No Spacing"/>
    <w:uiPriority w:val="1"/>
    <w:qFormat/>
    <w:rsid w:val="000F5CEC"/>
    <w:pPr>
      <w:spacing w:after="0" w:line="288" w:lineRule="auto"/>
    </w:pPr>
  </w:style>
  <w:style w:type="paragraph" w:styleId="NormalWeb">
    <w:name w:val="Normal (Web)"/>
    <w:basedOn w:val="Normal"/>
    <w:uiPriority w:val="99"/>
    <w:semiHidden/>
    <w:unhideWhenUsed/>
    <w:rsid w:val="000F5CEC"/>
    <w:rPr>
      <w:rFonts w:ascii="Times New Roman" w:hAnsi="Times New Roman" w:cs="Times New Roman"/>
      <w:sz w:val="24"/>
      <w:szCs w:val="24"/>
    </w:rPr>
  </w:style>
  <w:style w:type="paragraph" w:styleId="NormalIndent">
    <w:name w:val="Normal Indent"/>
    <w:basedOn w:val="Normal"/>
    <w:uiPriority w:val="99"/>
    <w:semiHidden/>
    <w:unhideWhenUsed/>
    <w:rsid w:val="000F5CEC"/>
    <w:pPr>
      <w:ind w:left="720"/>
    </w:pPr>
  </w:style>
  <w:style w:type="paragraph" w:styleId="NoteHeading">
    <w:name w:val="Note Heading"/>
    <w:basedOn w:val="Normal"/>
    <w:next w:val="Normal"/>
    <w:link w:val="NoteHeadingChar"/>
    <w:uiPriority w:val="99"/>
    <w:semiHidden/>
    <w:unhideWhenUsed/>
    <w:rsid w:val="000F5CEC"/>
    <w:pPr>
      <w:spacing w:after="0"/>
    </w:pPr>
  </w:style>
  <w:style w:type="character" w:customStyle="1" w:styleId="NoteHeadingChar">
    <w:name w:val="Note Heading Char"/>
    <w:basedOn w:val="DefaultParagraphFont"/>
    <w:link w:val="NoteHeading"/>
    <w:uiPriority w:val="99"/>
    <w:semiHidden/>
    <w:rsid w:val="000F5CEC"/>
  </w:style>
  <w:style w:type="paragraph" w:styleId="PlainText">
    <w:name w:val="Plain Text"/>
    <w:basedOn w:val="Normal"/>
    <w:link w:val="PlainTextChar"/>
    <w:uiPriority w:val="99"/>
    <w:semiHidden/>
    <w:unhideWhenUsed/>
    <w:rsid w:val="000F5CEC"/>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0F5CEC"/>
    <w:rPr>
      <w:rFonts w:ascii="Consolas" w:hAnsi="Consolas"/>
      <w:sz w:val="21"/>
      <w:szCs w:val="21"/>
    </w:rPr>
  </w:style>
  <w:style w:type="paragraph" w:styleId="Quote">
    <w:name w:val="Quote"/>
    <w:basedOn w:val="Normal"/>
    <w:next w:val="Normal"/>
    <w:link w:val="QuoteChar"/>
    <w:uiPriority w:val="29"/>
    <w:qFormat/>
    <w:rsid w:val="000F5CE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F5CEC"/>
    <w:rPr>
      <w:i/>
      <w:iCs/>
      <w:color w:val="404040" w:themeColor="text1" w:themeTint="BF"/>
    </w:rPr>
  </w:style>
  <w:style w:type="paragraph" w:styleId="Salutation">
    <w:name w:val="Salutation"/>
    <w:basedOn w:val="Normal"/>
    <w:next w:val="Normal"/>
    <w:link w:val="SalutationChar"/>
    <w:uiPriority w:val="99"/>
    <w:semiHidden/>
    <w:unhideWhenUsed/>
    <w:rsid w:val="000F5CEC"/>
  </w:style>
  <w:style w:type="character" w:customStyle="1" w:styleId="SalutationChar">
    <w:name w:val="Salutation Char"/>
    <w:basedOn w:val="DefaultParagraphFont"/>
    <w:link w:val="Salutation"/>
    <w:uiPriority w:val="99"/>
    <w:semiHidden/>
    <w:rsid w:val="000F5CEC"/>
  </w:style>
  <w:style w:type="paragraph" w:styleId="Signature">
    <w:name w:val="Signature"/>
    <w:basedOn w:val="Normal"/>
    <w:link w:val="SignatureChar"/>
    <w:uiPriority w:val="99"/>
    <w:semiHidden/>
    <w:unhideWhenUsed/>
    <w:rsid w:val="000F5CEC"/>
    <w:pPr>
      <w:spacing w:after="0"/>
      <w:ind w:left="4252"/>
    </w:pPr>
  </w:style>
  <w:style w:type="character" w:customStyle="1" w:styleId="SignatureChar">
    <w:name w:val="Signature Char"/>
    <w:basedOn w:val="DefaultParagraphFont"/>
    <w:link w:val="Signature"/>
    <w:uiPriority w:val="99"/>
    <w:semiHidden/>
    <w:rsid w:val="000F5CEC"/>
  </w:style>
  <w:style w:type="paragraph" w:styleId="Subtitle">
    <w:name w:val="Subtitle"/>
    <w:basedOn w:val="Normal"/>
    <w:next w:val="Normal"/>
    <w:link w:val="SubtitleChar"/>
    <w:uiPriority w:val="11"/>
    <w:qFormat/>
    <w:rsid w:val="000F5CEC"/>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F5CEC"/>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0F5CEC"/>
    <w:pPr>
      <w:spacing w:after="0"/>
      <w:ind w:left="220" w:hanging="220"/>
    </w:pPr>
  </w:style>
  <w:style w:type="paragraph" w:styleId="TableofFigures">
    <w:name w:val="table of figures"/>
    <w:basedOn w:val="Normal"/>
    <w:next w:val="Normal"/>
    <w:uiPriority w:val="99"/>
    <w:semiHidden/>
    <w:unhideWhenUsed/>
    <w:rsid w:val="000F5CEC"/>
    <w:pPr>
      <w:spacing w:after="0"/>
    </w:pPr>
  </w:style>
  <w:style w:type="paragraph" w:styleId="Title">
    <w:name w:val="Title"/>
    <w:basedOn w:val="Normal"/>
    <w:next w:val="Normal"/>
    <w:link w:val="TitleChar"/>
    <w:uiPriority w:val="10"/>
    <w:qFormat/>
    <w:rsid w:val="006302F7"/>
    <w:pPr>
      <w:keepNext/>
      <w:keepLines/>
      <w:suppressAutoHyphens/>
      <w:spacing w:after="1600" w:line="720" w:lineRule="exact"/>
      <w:ind w:right="1701"/>
    </w:pPr>
    <w:rPr>
      <w:rFonts w:ascii="Arial" w:hAnsi="Arial" w:cs="Arial"/>
      <w:b/>
      <w:noProof/>
      <w:color w:val="117EB4"/>
      <w:sz w:val="70"/>
      <w:szCs w:val="70"/>
      <w:lang w:val="en-AU" w:eastAsia="en-AU"/>
    </w:rPr>
  </w:style>
  <w:style w:type="character" w:customStyle="1" w:styleId="TitleChar">
    <w:name w:val="Title Char"/>
    <w:basedOn w:val="DefaultParagraphFont"/>
    <w:link w:val="Title"/>
    <w:uiPriority w:val="10"/>
    <w:rsid w:val="006302F7"/>
    <w:rPr>
      <w:rFonts w:ascii="Arial" w:hAnsi="Arial" w:cs="Arial"/>
      <w:b/>
      <w:noProof/>
      <w:color w:val="117EB4"/>
      <w:sz w:val="70"/>
      <w:szCs w:val="70"/>
      <w:lang w:val="en-AU" w:eastAsia="en-AU"/>
    </w:rPr>
  </w:style>
  <w:style w:type="paragraph" w:styleId="TOAHeading">
    <w:name w:val="toa heading"/>
    <w:basedOn w:val="Normal"/>
    <w:next w:val="Normal"/>
    <w:uiPriority w:val="99"/>
    <w:semiHidden/>
    <w:unhideWhenUsed/>
    <w:rsid w:val="000F5CEC"/>
    <w:pPr>
      <w:spacing w:before="120"/>
    </w:pPr>
    <w:rPr>
      <w:rFonts w:asciiTheme="majorHAnsi" w:eastAsiaTheme="majorEastAsia" w:hAnsiTheme="majorHAnsi" w:cstheme="majorBidi"/>
      <w:b/>
      <w:bCs/>
      <w:sz w:val="24"/>
      <w:szCs w:val="24"/>
    </w:rPr>
  </w:style>
  <w:style w:type="paragraph" w:styleId="TOC4">
    <w:name w:val="toc 4"/>
    <w:basedOn w:val="Normal"/>
    <w:next w:val="Normal"/>
    <w:autoRedefine/>
    <w:uiPriority w:val="39"/>
    <w:semiHidden/>
    <w:unhideWhenUsed/>
    <w:rsid w:val="000F5CEC"/>
    <w:pPr>
      <w:spacing w:after="100"/>
      <w:ind w:left="660"/>
    </w:pPr>
  </w:style>
  <w:style w:type="paragraph" w:styleId="TOC5">
    <w:name w:val="toc 5"/>
    <w:basedOn w:val="Normal"/>
    <w:next w:val="Normal"/>
    <w:autoRedefine/>
    <w:uiPriority w:val="39"/>
    <w:semiHidden/>
    <w:unhideWhenUsed/>
    <w:rsid w:val="000F5CEC"/>
    <w:pPr>
      <w:spacing w:after="100"/>
      <w:ind w:left="880"/>
    </w:pPr>
  </w:style>
  <w:style w:type="paragraph" w:styleId="TOC6">
    <w:name w:val="toc 6"/>
    <w:basedOn w:val="Normal"/>
    <w:next w:val="Normal"/>
    <w:autoRedefine/>
    <w:uiPriority w:val="39"/>
    <w:semiHidden/>
    <w:unhideWhenUsed/>
    <w:rsid w:val="000F5CEC"/>
    <w:pPr>
      <w:spacing w:after="100"/>
      <w:ind w:left="1100"/>
    </w:pPr>
  </w:style>
  <w:style w:type="paragraph" w:styleId="TOC7">
    <w:name w:val="toc 7"/>
    <w:basedOn w:val="Normal"/>
    <w:next w:val="Normal"/>
    <w:autoRedefine/>
    <w:uiPriority w:val="39"/>
    <w:semiHidden/>
    <w:unhideWhenUsed/>
    <w:rsid w:val="000F5CEC"/>
    <w:pPr>
      <w:spacing w:after="100"/>
      <w:ind w:left="1320"/>
    </w:pPr>
  </w:style>
  <w:style w:type="paragraph" w:styleId="TOC8">
    <w:name w:val="toc 8"/>
    <w:basedOn w:val="Normal"/>
    <w:next w:val="Normal"/>
    <w:autoRedefine/>
    <w:uiPriority w:val="39"/>
    <w:semiHidden/>
    <w:unhideWhenUsed/>
    <w:rsid w:val="000F5CEC"/>
    <w:pPr>
      <w:spacing w:after="100"/>
      <w:ind w:left="1540"/>
    </w:pPr>
  </w:style>
  <w:style w:type="paragraph" w:styleId="TOC9">
    <w:name w:val="toc 9"/>
    <w:basedOn w:val="Normal"/>
    <w:next w:val="Normal"/>
    <w:autoRedefine/>
    <w:uiPriority w:val="39"/>
    <w:semiHidden/>
    <w:unhideWhenUsed/>
    <w:rsid w:val="000F5CEC"/>
    <w:pPr>
      <w:spacing w:after="100"/>
      <w:ind w:left="1760"/>
    </w:pPr>
  </w:style>
  <w:style w:type="paragraph" w:customStyle="1" w:styleId="VCAAnumbers">
    <w:name w:val="VCAA numbers"/>
    <w:basedOn w:val="Normal"/>
    <w:qFormat/>
    <w:rsid w:val="003701BC"/>
    <w:pPr>
      <w:tabs>
        <w:tab w:val="left" w:pos="425"/>
      </w:tabs>
      <w:spacing w:before="60" w:after="60" w:line="280" w:lineRule="exact"/>
      <w:ind w:left="425" w:hanging="425"/>
    </w:pPr>
    <w:rPr>
      <w:rFonts w:asciiTheme="majorHAnsi" w:eastAsia="Times New Roman" w:hAnsiTheme="majorHAnsi" w:cs="Arial"/>
      <w:color w:val="000000" w:themeColor="text1"/>
      <w:kern w:val="22"/>
      <w:sz w:val="20"/>
      <w:lang w:eastAsia="ja-JP"/>
    </w:rPr>
  </w:style>
  <w:style w:type="paragraph" w:customStyle="1" w:styleId="VCAAtrademarkinfo">
    <w:name w:val="VCAA trademark info"/>
    <w:basedOn w:val="Normal"/>
    <w:qFormat/>
    <w:rsid w:val="003701BC"/>
    <w:pPr>
      <w:spacing w:before="120" w:after="0" w:line="200" w:lineRule="exact"/>
    </w:pPr>
    <w:rPr>
      <w:rFonts w:asciiTheme="majorHAnsi" w:hAnsiTheme="majorHAnsi" w:cs="Arial"/>
      <w:color w:val="000000" w:themeColor="text1"/>
      <w:sz w:val="16"/>
      <w:szCs w:val="16"/>
    </w:rPr>
  </w:style>
  <w:style w:type="character" w:styleId="UnresolvedMention">
    <w:name w:val="Unresolved Mention"/>
    <w:basedOn w:val="DefaultParagraphFont"/>
    <w:uiPriority w:val="99"/>
    <w:semiHidden/>
    <w:unhideWhenUsed/>
    <w:rsid w:val="002C2929"/>
    <w:rPr>
      <w:color w:val="605E5C"/>
      <w:shd w:val="clear" w:color="auto" w:fill="E1DFDD"/>
    </w:rPr>
  </w:style>
  <w:style w:type="paragraph" w:customStyle="1" w:styleId="VCAADocumenttitle">
    <w:name w:val="VCAA Document title"/>
    <w:qFormat/>
    <w:rsid w:val="00451719"/>
    <w:pPr>
      <w:spacing w:before="600" w:after="480" w:line="680" w:lineRule="exact"/>
      <w:outlineLvl w:val="0"/>
    </w:pPr>
    <w:rPr>
      <w:rFonts w:ascii="Arial" w:hAnsi="Arial" w:cs="Arial"/>
      <w:noProof/>
      <w:color w:val="0F7EB4"/>
      <w:sz w:val="60"/>
      <w:szCs w:val="48"/>
      <w:lang w:val="en-AU" w:eastAsia="en-AU"/>
    </w:rPr>
  </w:style>
  <w:style w:type="paragraph" w:customStyle="1" w:styleId="VCAAHeading2">
    <w:name w:val="VCAA Heading 2"/>
    <w:next w:val="VCAAbody"/>
    <w:qFormat/>
    <w:rsid w:val="00451719"/>
    <w:pPr>
      <w:spacing w:before="400" w:after="120" w:line="480" w:lineRule="exact"/>
      <w:contextualSpacing/>
      <w:outlineLvl w:val="2"/>
    </w:pPr>
    <w:rPr>
      <w:rFonts w:ascii="Arial" w:hAnsi="Arial" w:cs="Arial"/>
      <w:color w:val="0F7EB4"/>
      <w:sz w:val="40"/>
      <w:szCs w:val="28"/>
    </w:rPr>
  </w:style>
  <w:style w:type="paragraph" w:customStyle="1" w:styleId="VCAAbody">
    <w:name w:val="VCAA body"/>
    <w:link w:val="VCAAbodyChar"/>
    <w:qFormat/>
    <w:rsid w:val="00451719"/>
    <w:pPr>
      <w:spacing w:before="120" w:after="120" w:line="280" w:lineRule="exact"/>
    </w:pPr>
    <w:rPr>
      <w:rFonts w:ascii="Arial" w:hAnsi="Arial" w:cs="Arial"/>
      <w:color w:val="000000" w:themeColor="text1"/>
      <w:sz w:val="20"/>
    </w:rPr>
  </w:style>
  <w:style w:type="paragraph" w:customStyle="1" w:styleId="VCAAtablecondensed">
    <w:name w:val="VCAA table condensed"/>
    <w:qFormat/>
    <w:rsid w:val="00451719"/>
    <w:pPr>
      <w:spacing w:before="80" w:after="80" w:line="280" w:lineRule="exact"/>
    </w:pPr>
    <w:rPr>
      <w:rFonts w:ascii="Arial Narrow" w:hAnsi="Arial Narrow" w:cs="Arial"/>
      <w:sz w:val="20"/>
    </w:rPr>
  </w:style>
  <w:style w:type="paragraph" w:customStyle="1" w:styleId="VCAAbullet">
    <w:name w:val="VCAA bullet"/>
    <w:basedOn w:val="VCAAbody"/>
    <w:autoRedefine/>
    <w:qFormat/>
    <w:rsid w:val="00451719"/>
    <w:pPr>
      <w:tabs>
        <w:tab w:val="left" w:pos="425"/>
      </w:tabs>
      <w:contextualSpacing/>
    </w:pPr>
    <w:rPr>
      <w:rFonts w:eastAsia="Times New Roman"/>
      <w:kern w:val="22"/>
      <w:lang w:val="en-GB" w:eastAsia="ja-JP"/>
    </w:rPr>
  </w:style>
  <w:style w:type="paragraph" w:customStyle="1" w:styleId="VCAAHeading4">
    <w:name w:val="VCAA Heading 4"/>
    <w:next w:val="VCAAbody"/>
    <w:qFormat/>
    <w:rsid w:val="0045171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451719"/>
    <w:pPr>
      <w:spacing w:after="360"/>
    </w:pPr>
    <w:rPr>
      <w:sz w:val="18"/>
      <w:szCs w:val="18"/>
    </w:rPr>
  </w:style>
  <w:style w:type="table" w:customStyle="1" w:styleId="VCAATable">
    <w:name w:val="VCAA Table"/>
    <w:basedOn w:val="TableNormal"/>
    <w:uiPriority w:val="99"/>
    <w:rsid w:val="00451719"/>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Yu Gothic UI Semibold" w:hAnsi="@Yu Gothic UI Semibold"/>
        <w:b/>
        <w:color w:val="FFFFFF" w:themeColor="background1"/>
        <w:sz w:val="22"/>
      </w:rPr>
      <w:tblPr/>
      <w:trPr>
        <w:tblHeader/>
      </w:trPr>
      <w:tcPr>
        <w:tcBorders>
          <w:insideV w:val="single" w:sz="4" w:space="0" w:color="FFFFFF" w:themeColor="background1"/>
        </w:tcBorders>
        <w:shd w:val="clear" w:color="auto" w:fill="0F7EB4"/>
      </w:tcPr>
    </w:tblStylePr>
  </w:style>
  <w:style w:type="character" w:customStyle="1" w:styleId="VCAAbodyChar">
    <w:name w:val="VCAA body Char"/>
    <w:basedOn w:val="DefaultParagraphFont"/>
    <w:link w:val="VCAAbody"/>
    <w:rsid w:val="00451719"/>
    <w:rPr>
      <w:rFonts w:ascii="Arial" w:hAnsi="Arial" w:cs="Arial"/>
      <w:color w:val="000000" w:themeColor="text1"/>
      <w:sz w:val="20"/>
    </w:rPr>
  </w:style>
  <w:style w:type="character" w:styleId="Mention">
    <w:name w:val="Mention"/>
    <w:basedOn w:val="DefaultParagraphFont"/>
    <w:uiPriority w:val="99"/>
    <w:unhideWhenUsed/>
    <w:rsid w:val="00451719"/>
    <w:rPr>
      <w:color w:val="2B579A"/>
      <w:shd w:val="clear" w:color="auto" w:fill="E1DFDD"/>
    </w:rPr>
  </w:style>
  <w:style w:type="paragraph" w:customStyle="1" w:styleId="VCAAtablebulletnarrow">
    <w:name w:val="VCAA table bullet narrow"/>
    <w:basedOn w:val="Normal"/>
    <w:uiPriority w:val="1"/>
    <w:qFormat/>
    <w:rsid w:val="00AC50B4"/>
    <w:pPr>
      <w:tabs>
        <w:tab w:val="left" w:pos="170"/>
      </w:tabs>
      <w:overflowPunct w:val="0"/>
      <w:autoSpaceDE w:val="0"/>
      <w:autoSpaceDN w:val="0"/>
      <w:adjustRightInd w:val="0"/>
      <w:spacing w:before="80" w:after="80" w:line="280" w:lineRule="exact"/>
      <w:ind w:left="170" w:hanging="170"/>
      <w:contextualSpacing/>
      <w:textAlignment w:val="baseline"/>
    </w:pPr>
    <w:rPr>
      <w:rFonts w:ascii="Arial Narrow" w:eastAsia="Times New Roman" w:hAnsi="Arial Narrow" w:cs="Arial"/>
      <w:color w:val="000000" w:themeColor="text1"/>
      <w:sz w:val="20"/>
      <w:lang w:val="en-GB" w:eastAsia="ja-JP"/>
    </w:rPr>
  </w:style>
  <w:style w:type="character" w:customStyle="1" w:styleId="cf01">
    <w:name w:val="cf01"/>
    <w:basedOn w:val="DefaultParagraphFont"/>
    <w:rsid w:val="00B62CC3"/>
    <w:rPr>
      <w:rFonts w:ascii="Segoe UI" w:hAnsi="Segoe UI" w:cs="Segoe UI" w:hint="default"/>
      <w:sz w:val="18"/>
      <w:szCs w:val="18"/>
    </w:rPr>
  </w:style>
  <w:style w:type="paragraph" w:customStyle="1" w:styleId="pf0">
    <w:name w:val="pf0"/>
    <w:basedOn w:val="Normal"/>
    <w:rsid w:val="00AC79D3"/>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styleId="TOC3">
    <w:name w:val="toc 3"/>
    <w:basedOn w:val="TOC2"/>
    <w:next w:val="Normal"/>
    <w:autoRedefine/>
    <w:uiPriority w:val="39"/>
    <w:unhideWhenUsed/>
    <w:qFormat/>
    <w:rsid w:val="00F800CE"/>
    <w:pPr>
      <w:tabs>
        <w:tab w:val="clear" w:pos="9639"/>
        <w:tab w:val="right" w:leader="dot" w:pos="9072"/>
      </w:tabs>
      <w:ind w:left="442"/>
    </w:pPr>
    <w:rPr>
      <w:b w:val="0"/>
    </w:rPr>
  </w:style>
  <w:style w:type="character" w:styleId="FollowedHyperlink">
    <w:name w:val="FollowedHyperlink"/>
    <w:basedOn w:val="Hyperlink"/>
    <w:uiPriority w:val="99"/>
    <w:semiHidden/>
    <w:unhideWhenUsed/>
    <w:rsid w:val="006B7B1E"/>
    <w:rPr>
      <w:rFonts w:asciiTheme="minorHAnsi" w:hAnsiTheme="minorHAnsi"/>
      <w:color w:val="0F7EB4"/>
      <w:sz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22948">
      <w:bodyDiv w:val="1"/>
      <w:marLeft w:val="0"/>
      <w:marRight w:val="0"/>
      <w:marTop w:val="0"/>
      <w:marBottom w:val="0"/>
      <w:divBdr>
        <w:top w:val="none" w:sz="0" w:space="0" w:color="auto"/>
        <w:left w:val="none" w:sz="0" w:space="0" w:color="auto"/>
        <w:bottom w:val="none" w:sz="0" w:space="0" w:color="auto"/>
        <w:right w:val="none" w:sz="0" w:space="0" w:color="auto"/>
      </w:divBdr>
    </w:div>
    <w:div w:id="211037828">
      <w:bodyDiv w:val="1"/>
      <w:marLeft w:val="0"/>
      <w:marRight w:val="0"/>
      <w:marTop w:val="0"/>
      <w:marBottom w:val="0"/>
      <w:divBdr>
        <w:top w:val="none" w:sz="0" w:space="0" w:color="auto"/>
        <w:left w:val="none" w:sz="0" w:space="0" w:color="auto"/>
        <w:bottom w:val="none" w:sz="0" w:space="0" w:color="auto"/>
        <w:right w:val="none" w:sz="0" w:space="0" w:color="auto"/>
      </w:divBdr>
    </w:div>
    <w:div w:id="668673439">
      <w:bodyDiv w:val="1"/>
      <w:marLeft w:val="0"/>
      <w:marRight w:val="0"/>
      <w:marTop w:val="0"/>
      <w:marBottom w:val="0"/>
      <w:divBdr>
        <w:top w:val="none" w:sz="0" w:space="0" w:color="auto"/>
        <w:left w:val="none" w:sz="0" w:space="0" w:color="auto"/>
        <w:bottom w:val="none" w:sz="0" w:space="0" w:color="auto"/>
        <w:right w:val="none" w:sz="0" w:space="0" w:color="auto"/>
      </w:divBdr>
      <w:divsChild>
        <w:div w:id="2105883676">
          <w:marLeft w:val="0"/>
          <w:marRight w:val="0"/>
          <w:marTop w:val="0"/>
          <w:marBottom w:val="0"/>
          <w:divBdr>
            <w:top w:val="none" w:sz="0" w:space="0" w:color="auto"/>
            <w:left w:val="none" w:sz="0" w:space="0" w:color="auto"/>
            <w:bottom w:val="none" w:sz="0" w:space="0" w:color="auto"/>
            <w:right w:val="none" w:sz="0" w:space="0" w:color="auto"/>
          </w:divBdr>
          <w:divsChild>
            <w:div w:id="608396622">
              <w:marLeft w:val="0"/>
              <w:marRight w:val="0"/>
              <w:marTop w:val="0"/>
              <w:marBottom w:val="0"/>
              <w:divBdr>
                <w:top w:val="none" w:sz="0" w:space="0" w:color="auto"/>
                <w:left w:val="none" w:sz="0" w:space="0" w:color="auto"/>
                <w:bottom w:val="none" w:sz="0" w:space="0" w:color="auto"/>
                <w:right w:val="none" w:sz="0" w:space="0" w:color="auto"/>
              </w:divBdr>
              <w:divsChild>
                <w:div w:id="1578858208">
                  <w:marLeft w:val="0"/>
                  <w:marRight w:val="0"/>
                  <w:marTop w:val="0"/>
                  <w:marBottom w:val="0"/>
                  <w:divBdr>
                    <w:top w:val="none" w:sz="0" w:space="0" w:color="auto"/>
                    <w:left w:val="none" w:sz="0" w:space="0" w:color="auto"/>
                    <w:bottom w:val="none" w:sz="0" w:space="0" w:color="auto"/>
                    <w:right w:val="none" w:sz="0" w:space="0" w:color="auto"/>
                  </w:divBdr>
                  <w:divsChild>
                    <w:div w:id="1731690127">
                      <w:marLeft w:val="0"/>
                      <w:marRight w:val="0"/>
                      <w:marTop w:val="0"/>
                      <w:marBottom w:val="0"/>
                      <w:divBdr>
                        <w:top w:val="none" w:sz="0" w:space="0" w:color="auto"/>
                        <w:left w:val="none" w:sz="0" w:space="0" w:color="auto"/>
                        <w:bottom w:val="none" w:sz="0" w:space="0" w:color="auto"/>
                        <w:right w:val="none" w:sz="0" w:space="0" w:color="auto"/>
                      </w:divBdr>
                      <w:divsChild>
                        <w:div w:id="1003166024">
                          <w:marLeft w:val="0"/>
                          <w:marRight w:val="0"/>
                          <w:marTop w:val="0"/>
                          <w:marBottom w:val="0"/>
                          <w:divBdr>
                            <w:top w:val="none" w:sz="0" w:space="0" w:color="auto"/>
                            <w:left w:val="none" w:sz="0" w:space="0" w:color="auto"/>
                            <w:bottom w:val="none" w:sz="0" w:space="0" w:color="auto"/>
                            <w:right w:val="none" w:sz="0" w:space="0" w:color="auto"/>
                          </w:divBdr>
                          <w:divsChild>
                            <w:div w:id="1404722958">
                              <w:marLeft w:val="0"/>
                              <w:marRight w:val="0"/>
                              <w:marTop w:val="0"/>
                              <w:marBottom w:val="0"/>
                              <w:divBdr>
                                <w:top w:val="none" w:sz="0" w:space="0" w:color="auto"/>
                                <w:left w:val="single" w:sz="6" w:space="0" w:color="E5E3E3"/>
                                <w:bottom w:val="none" w:sz="0" w:space="0" w:color="auto"/>
                                <w:right w:val="none" w:sz="0" w:space="0" w:color="auto"/>
                              </w:divBdr>
                              <w:divsChild>
                                <w:div w:id="48725276">
                                  <w:marLeft w:val="0"/>
                                  <w:marRight w:val="0"/>
                                  <w:marTop w:val="0"/>
                                  <w:marBottom w:val="0"/>
                                  <w:divBdr>
                                    <w:top w:val="none" w:sz="0" w:space="0" w:color="auto"/>
                                    <w:left w:val="none" w:sz="0" w:space="0" w:color="auto"/>
                                    <w:bottom w:val="none" w:sz="0" w:space="0" w:color="auto"/>
                                    <w:right w:val="none" w:sz="0" w:space="0" w:color="auto"/>
                                  </w:divBdr>
                                  <w:divsChild>
                                    <w:div w:id="1651402499">
                                      <w:marLeft w:val="0"/>
                                      <w:marRight w:val="0"/>
                                      <w:marTop w:val="0"/>
                                      <w:marBottom w:val="0"/>
                                      <w:divBdr>
                                        <w:top w:val="none" w:sz="0" w:space="0" w:color="auto"/>
                                        <w:left w:val="none" w:sz="0" w:space="0" w:color="auto"/>
                                        <w:bottom w:val="none" w:sz="0" w:space="0" w:color="auto"/>
                                        <w:right w:val="none" w:sz="0" w:space="0" w:color="auto"/>
                                      </w:divBdr>
                                      <w:divsChild>
                                        <w:div w:id="534318857">
                                          <w:marLeft w:val="0"/>
                                          <w:marRight w:val="0"/>
                                          <w:marTop w:val="0"/>
                                          <w:marBottom w:val="0"/>
                                          <w:divBdr>
                                            <w:top w:val="none" w:sz="0" w:space="0" w:color="auto"/>
                                            <w:left w:val="none" w:sz="0" w:space="0" w:color="auto"/>
                                            <w:bottom w:val="none" w:sz="0" w:space="0" w:color="auto"/>
                                            <w:right w:val="none" w:sz="0" w:space="0" w:color="auto"/>
                                          </w:divBdr>
                                          <w:divsChild>
                                            <w:div w:id="1319531382">
                                              <w:marLeft w:val="0"/>
                                              <w:marRight w:val="0"/>
                                              <w:marTop w:val="0"/>
                                              <w:marBottom w:val="0"/>
                                              <w:divBdr>
                                                <w:top w:val="none" w:sz="0" w:space="0" w:color="auto"/>
                                                <w:left w:val="none" w:sz="0" w:space="0" w:color="auto"/>
                                                <w:bottom w:val="none" w:sz="0" w:space="0" w:color="auto"/>
                                                <w:right w:val="none" w:sz="0" w:space="0" w:color="auto"/>
                                              </w:divBdr>
                                              <w:divsChild>
                                                <w:div w:id="1051923362">
                                                  <w:marLeft w:val="0"/>
                                                  <w:marRight w:val="0"/>
                                                  <w:marTop w:val="0"/>
                                                  <w:marBottom w:val="0"/>
                                                  <w:divBdr>
                                                    <w:top w:val="none" w:sz="0" w:space="0" w:color="auto"/>
                                                    <w:left w:val="none" w:sz="0" w:space="0" w:color="auto"/>
                                                    <w:bottom w:val="none" w:sz="0" w:space="0" w:color="auto"/>
                                                    <w:right w:val="none" w:sz="0" w:space="0" w:color="auto"/>
                                                  </w:divBdr>
                                                  <w:divsChild>
                                                    <w:div w:id="838230008">
                                                      <w:marLeft w:val="0"/>
                                                      <w:marRight w:val="0"/>
                                                      <w:marTop w:val="0"/>
                                                      <w:marBottom w:val="0"/>
                                                      <w:divBdr>
                                                        <w:top w:val="none" w:sz="0" w:space="0" w:color="auto"/>
                                                        <w:left w:val="none" w:sz="0" w:space="0" w:color="auto"/>
                                                        <w:bottom w:val="none" w:sz="0" w:space="0" w:color="auto"/>
                                                        <w:right w:val="none" w:sz="0" w:space="0" w:color="auto"/>
                                                      </w:divBdr>
                                                      <w:divsChild>
                                                        <w:div w:id="1356730881">
                                                          <w:marLeft w:val="480"/>
                                                          <w:marRight w:val="0"/>
                                                          <w:marTop w:val="0"/>
                                                          <w:marBottom w:val="0"/>
                                                          <w:divBdr>
                                                            <w:top w:val="none" w:sz="0" w:space="0" w:color="auto"/>
                                                            <w:left w:val="none" w:sz="0" w:space="0" w:color="auto"/>
                                                            <w:bottom w:val="none" w:sz="0" w:space="0" w:color="auto"/>
                                                            <w:right w:val="none" w:sz="0" w:space="0" w:color="auto"/>
                                                          </w:divBdr>
                                                          <w:divsChild>
                                                            <w:div w:id="26495794">
                                                              <w:marLeft w:val="0"/>
                                                              <w:marRight w:val="0"/>
                                                              <w:marTop w:val="0"/>
                                                              <w:marBottom w:val="0"/>
                                                              <w:divBdr>
                                                                <w:top w:val="none" w:sz="0" w:space="0" w:color="auto"/>
                                                                <w:left w:val="none" w:sz="0" w:space="0" w:color="auto"/>
                                                                <w:bottom w:val="none" w:sz="0" w:space="0" w:color="auto"/>
                                                                <w:right w:val="none" w:sz="0" w:space="0" w:color="auto"/>
                                                              </w:divBdr>
                                                              <w:divsChild>
                                                                <w:div w:id="343869003">
                                                                  <w:marLeft w:val="0"/>
                                                                  <w:marRight w:val="0"/>
                                                                  <w:marTop w:val="0"/>
                                                                  <w:marBottom w:val="0"/>
                                                                  <w:divBdr>
                                                                    <w:top w:val="none" w:sz="0" w:space="0" w:color="auto"/>
                                                                    <w:left w:val="none" w:sz="0" w:space="0" w:color="auto"/>
                                                                    <w:bottom w:val="none" w:sz="0" w:space="0" w:color="auto"/>
                                                                    <w:right w:val="none" w:sz="0" w:space="0" w:color="auto"/>
                                                                  </w:divBdr>
                                                                  <w:divsChild>
                                                                    <w:div w:id="1902474762">
                                                                      <w:marLeft w:val="0"/>
                                                                      <w:marRight w:val="0"/>
                                                                      <w:marTop w:val="0"/>
                                                                      <w:marBottom w:val="0"/>
                                                                      <w:divBdr>
                                                                        <w:top w:val="none" w:sz="0" w:space="0" w:color="auto"/>
                                                                        <w:left w:val="none" w:sz="0" w:space="0" w:color="auto"/>
                                                                        <w:bottom w:val="none" w:sz="0" w:space="0" w:color="auto"/>
                                                                        <w:right w:val="none" w:sz="0" w:space="0" w:color="auto"/>
                                                                      </w:divBdr>
                                                                      <w:divsChild>
                                                                        <w:div w:id="6029555">
                                                                          <w:marLeft w:val="0"/>
                                                                          <w:marRight w:val="0"/>
                                                                          <w:marTop w:val="0"/>
                                                                          <w:marBottom w:val="0"/>
                                                                          <w:divBdr>
                                                                            <w:top w:val="none" w:sz="0" w:space="0" w:color="auto"/>
                                                                            <w:left w:val="none" w:sz="0" w:space="0" w:color="auto"/>
                                                                            <w:bottom w:val="none" w:sz="0" w:space="0" w:color="auto"/>
                                                                            <w:right w:val="none" w:sz="0" w:space="0" w:color="auto"/>
                                                                          </w:divBdr>
                                                                          <w:divsChild>
                                                                            <w:div w:id="1935749534">
                                                                              <w:marLeft w:val="0"/>
                                                                              <w:marRight w:val="0"/>
                                                                              <w:marTop w:val="0"/>
                                                                              <w:marBottom w:val="0"/>
                                                                              <w:divBdr>
                                                                                <w:top w:val="none" w:sz="0" w:space="0" w:color="auto"/>
                                                                                <w:left w:val="none" w:sz="0" w:space="0" w:color="auto"/>
                                                                                <w:bottom w:val="none" w:sz="0" w:space="0" w:color="auto"/>
                                                                                <w:right w:val="none" w:sz="0" w:space="0" w:color="auto"/>
                                                                              </w:divBdr>
                                                                              <w:divsChild>
                                                                                <w:div w:id="1038118022">
                                                                                  <w:marLeft w:val="0"/>
                                                                                  <w:marRight w:val="0"/>
                                                                                  <w:marTop w:val="0"/>
                                                                                  <w:marBottom w:val="0"/>
                                                                                  <w:divBdr>
                                                                                    <w:top w:val="none" w:sz="0" w:space="0" w:color="auto"/>
                                                                                    <w:left w:val="none" w:sz="0" w:space="0" w:color="auto"/>
                                                                                    <w:bottom w:val="single" w:sz="6" w:space="23" w:color="auto"/>
                                                                                    <w:right w:val="none" w:sz="0" w:space="0" w:color="auto"/>
                                                                                  </w:divBdr>
                                                                                  <w:divsChild>
                                                                                    <w:div w:id="107090163">
                                                                                      <w:marLeft w:val="0"/>
                                                                                      <w:marRight w:val="0"/>
                                                                                      <w:marTop w:val="0"/>
                                                                                      <w:marBottom w:val="0"/>
                                                                                      <w:divBdr>
                                                                                        <w:top w:val="none" w:sz="0" w:space="0" w:color="auto"/>
                                                                                        <w:left w:val="none" w:sz="0" w:space="0" w:color="auto"/>
                                                                                        <w:bottom w:val="none" w:sz="0" w:space="0" w:color="auto"/>
                                                                                        <w:right w:val="none" w:sz="0" w:space="0" w:color="auto"/>
                                                                                      </w:divBdr>
                                                                                      <w:divsChild>
                                                                                        <w:div w:id="1867331304">
                                                                                          <w:marLeft w:val="0"/>
                                                                                          <w:marRight w:val="0"/>
                                                                                          <w:marTop w:val="0"/>
                                                                                          <w:marBottom w:val="0"/>
                                                                                          <w:divBdr>
                                                                                            <w:top w:val="none" w:sz="0" w:space="0" w:color="auto"/>
                                                                                            <w:left w:val="none" w:sz="0" w:space="0" w:color="auto"/>
                                                                                            <w:bottom w:val="none" w:sz="0" w:space="0" w:color="auto"/>
                                                                                            <w:right w:val="none" w:sz="0" w:space="0" w:color="auto"/>
                                                                                          </w:divBdr>
                                                                                          <w:divsChild>
                                                                                            <w:div w:id="1276908495">
                                                                                              <w:marLeft w:val="0"/>
                                                                                              <w:marRight w:val="0"/>
                                                                                              <w:marTop w:val="0"/>
                                                                                              <w:marBottom w:val="0"/>
                                                                                              <w:divBdr>
                                                                                                <w:top w:val="none" w:sz="0" w:space="0" w:color="auto"/>
                                                                                                <w:left w:val="none" w:sz="0" w:space="0" w:color="auto"/>
                                                                                                <w:bottom w:val="none" w:sz="0" w:space="0" w:color="auto"/>
                                                                                                <w:right w:val="none" w:sz="0" w:space="0" w:color="auto"/>
                                                                                              </w:divBdr>
                                                                                              <w:divsChild>
                                                                                                <w:div w:id="1656449463">
                                                                                                  <w:marLeft w:val="0"/>
                                                                                                  <w:marRight w:val="0"/>
                                                                                                  <w:marTop w:val="0"/>
                                                                                                  <w:marBottom w:val="0"/>
                                                                                                  <w:divBdr>
                                                                                                    <w:top w:val="none" w:sz="0" w:space="0" w:color="auto"/>
                                                                                                    <w:left w:val="none" w:sz="0" w:space="0" w:color="auto"/>
                                                                                                    <w:bottom w:val="none" w:sz="0" w:space="0" w:color="auto"/>
                                                                                                    <w:right w:val="none" w:sz="0" w:space="0" w:color="auto"/>
                                                                                                  </w:divBdr>
                                                                                                  <w:divsChild>
                                                                                                    <w:div w:id="1343895131">
                                                                                                      <w:marLeft w:val="0"/>
                                                                                                      <w:marRight w:val="0"/>
                                                                                                      <w:marTop w:val="0"/>
                                                                                                      <w:marBottom w:val="0"/>
                                                                                                      <w:divBdr>
                                                                                                        <w:top w:val="none" w:sz="0" w:space="0" w:color="auto"/>
                                                                                                        <w:left w:val="none" w:sz="0" w:space="0" w:color="auto"/>
                                                                                                        <w:bottom w:val="none" w:sz="0" w:space="0" w:color="auto"/>
                                                                                                        <w:right w:val="none" w:sz="0" w:space="0" w:color="auto"/>
                                                                                                      </w:divBdr>
                                                                                                      <w:divsChild>
                                                                                                        <w:div w:id="868646533">
                                                                                                          <w:marLeft w:val="0"/>
                                                                                                          <w:marRight w:val="0"/>
                                                                                                          <w:marTop w:val="0"/>
                                                                                                          <w:marBottom w:val="0"/>
                                                                                                          <w:divBdr>
                                                                                                            <w:top w:val="none" w:sz="0" w:space="0" w:color="auto"/>
                                                                                                            <w:left w:val="none" w:sz="0" w:space="0" w:color="auto"/>
                                                                                                            <w:bottom w:val="none" w:sz="0" w:space="0" w:color="auto"/>
                                                                                                            <w:right w:val="none" w:sz="0" w:space="0" w:color="auto"/>
                                                                                                          </w:divBdr>
                                                                                                          <w:divsChild>
                                                                                                            <w:div w:id="657925824">
                                                                                                              <w:marLeft w:val="0"/>
                                                                                                              <w:marRight w:val="0"/>
                                                                                                              <w:marTop w:val="280"/>
                                                                                                              <w:marBottom w:val="280"/>
                                                                                                              <w:divBdr>
                                                                                                                <w:top w:val="none" w:sz="0" w:space="0" w:color="auto"/>
                                                                                                                <w:left w:val="none" w:sz="0" w:space="0" w:color="auto"/>
                                                                                                                <w:bottom w:val="none" w:sz="0" w:space="0" w:color="auto"/>
                                                                                                                <w:right w:val="none" w:sz="0" w:space="0" w:color="auto"/>
                                                                                                              </w:divBdr>
                                                                                                            </w:div>
                                                                                                            <w:div w:id="499925974">
                                                                                                              <w:marLeft w:val="0"/>
                                                                                                              <w:marRight w:val="0"/>
                                                                                                              <w:marTop w:val="280"/>
                                                                                                              <w:marBottom w:val="280"/>
                                                                                                              <w:divBdr>
                                                                                                                <w:top w:val="none" w:sz="0" w:space="0" w:color="auto"/>
                                                                                                                <w:left w:val="none" w:sz="0" w:space="0" w:color="auto"/>
                                                                                                                <w:bottom w:val="none" w:sz="0" w:space="0" w:color="auto"/>
                                                                                                                <w:right w:val="none" w:sz="0" w:space="0" w:color="auto"/>
                                                                                                              </w:divBdr>
                                                                                                            </w:div>
                                                                                                            <w:div w:id="66997416">
                                                                                                              <w:marLeft w:val="0"/>
                                                                                                              <w:marRight w:val="0"/>
                                                                                                              <w:marTop w:val="280"/>
                                                                                                              <w:marBottom w:val="280"/>
                                                                                                              <w:divBdr>
                                                                                                                <w:top w:val="none" w:sz="0" w:space="0" w:color="auto"/>
                                                                                                                <w:left w:val="none" w:sz="0" w:space="0" w:color="auto"/>
                                                                                                                <w:bottom w:val="none" w:sz="0" w:space="0" w:color="auto"/>
                                                                                                                <w:right w:val="none" w:sz="0" w:space="0" w:color="auto"/>
                                                                                                              </w:divBdr>
                                                                                                            </w:div>
                                                                                                            <w:div w:id="1435977814">
                                                                                                              <w:marLeft w:val="0"/>
                                                                                                              <w:marRight w:val="0"/>
                                                                                                              <w:marTop w:val="280"/>
                                                                                                              <w:marBottom w:val="2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9161868">
      <w:bodyDiv w:val="1"/>
      <w:marLeft w:val="0"/>
      <w:marRight w:val="0"/>
      <w:marTop w:val="0"/>
      <w:marBottom w:val="0"/>
      <w:divBdr>
        <w:top w:val="none" w:sz="0" w:space="0" w:color="auto"/>
        <w:left w:val="none" w:sz="0" w:space="0" w:color="auto"/>
        <w:bottom w:val="none" w:sz="0" w:space="0" w:color="auto"/>
        <w:right w:val="none" w:sz="0" w:space="0" w:color="auto"/>
      </w:divBdr>
    </w:div>
    <w:div w:id="1168980541">
      <w:bodyDiv w:val="1"/>
      <w:marLeft w:val="0"/>
      <w:marRight w:val="0"/>
      <w:marTop w:val="0"/>
      <w:marBottom w:val="0"/>
      <w:divBdr>
        <w:top w:val="none" w:sz="0" w:space="0" w:color="auto"/>
        <w:left w:val="none" w:sz="0" w:space="0" w:color="auto"/>
        <w:bottom w:val="none" w:sz="0" w:space="0" w:color="auto"/>
        <w:right w:val="none" w:sz="0" w:space="0" w:color="auto"/>
      </w:divBdr>
    </w:div>
    <w:div w:id="1689257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VCAA.HR@education.vic.gov.a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https://www.vcaa.vic.edu.au/footer/copyright" TargetMode="External"/><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s://www.vcaa.vic.edu.au/footer/copyright" TargetMode="External"/><Relationship Id="rId1" Type="http://schemas.openxmlformats.org/officeDocument/2006/relationships/hyperlink" Target="https://www.vcaa.vic.edu.au/footer/copyrigh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3ADEF08D35B62479188E253AA1DD246"/>
        <w:category>
          <w:name w:val="General"/>
          <w:gallery w:val="placeholder"/>
        </w:category>
        <w:types>
          <w:type w:val="bbPlcHdr"/>
        </w:types>
        <w:behaviors>
          <w:behavior w:val="content"/>
        </w:behaviors>
        <w:guid w:val="{7B91B887-B078-5548-BBE7-879C4BD5B84C}"/>
      </w:docPartPr>
      <w:docPartBody>
        <w:p w:rsidR="007D1A35" w:rsidRDefault="007D1A35" w:rsidP="007D1A35">
          <w:pPr>
            <w:pStyle w:val="D3ADEF08D35B62479188E253AA1DD246"/>
          </w:pPr>
          <w:r w:rsidRPr="007A01CF">
            <w:rPr>
              <w:rStyle w:val="PlaceholderText"/>
            </w:rPr>
            <w:t>Click or tap here to enter text.</w:t>
          </w:r>
        </w:p>
      </w:docPartBody>
    </w:docPart>
    <w:docPart>
      <w:docPartPr>
        <w:name w:val="80EF9B6B2776F84C93BE008DDBC2361D"/>
        <w:category>
          <w:name w:val="General"/>
          <w:gallery w:val="placeholder"/>
        </w:category>
        <w:types>
          <w:type w:val="bbPlcHdr"/>
        </w:types>
        <w:behaviors>
          <w:behavior w:val="content"/>
        </w:behaviors>
        <w:guid w:val="{974B3F98-1812-F44A-9EC3-F7668351D776}"/>
      </w:docPartPr>
      <w:docPartBody>
        <w:p w:rsidR="007D1A35" w:rsidRDefault="007D1A35" w:rsidP="007D1A35">
          <w:pPr>
            <w:pStyle w:val="80EF9B6B2776F84C93BE008DDBC2361D"/>
          </w:pPr>
          <w:r w:rsidRPr="007A01CF">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Yu Gothic UI Semibold">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7A0"/>
    <w:rsid w:val="000877AD"/>
    <w:rsid w:val="000E7FA0"/>
    <w:rsid w:val="00170657"/>
    <w:rsid w:val="001927C6"/>
    <w:rsid w:val="001E3111"/>
    <w:rsid w:val="00266E53"/>
    <w:rsid w:val="002C346F"/>
    <w:rsid w:val="00300B7A"/>
    <w:rsid w:val="00313E4C"/>
    <w:rsid w:val="003764F1"/>
    <w:rsid w:val="003F3CFF"/>
    <w:rsid w:val="0045376F"/>
    <w:rsid w:val="004567A0"/>
    <w:rsid w:val="00472EE5"/>
    <w:rsid w:val="00510D07"/>
    <w:rsid w:val="005428A8"/>
    <w:rsid w:val="00590BCA"/>
    <w:rsid w:val="005924CE"/>
    <w:rsid w:val="005A10AC"/>
    <w:rsid w:val="00615BDD"/>
    <w:rsid w:val="00621DB8"/>
    <w:rsid w:val="006B0F88"/>
    <w:rsid w:val="006E459F"/>
    <w:rsid w:val="0073781A"/>
    <w:rsid w:val="00770365"/>
    <w:rsid w:val="0078456D"/>
    <w:rsid w:val="007B183F"/>
    <w:rsid w:val="007D1A35"/>
    <w:rsid w:val="008A1314"/>
    <w:rsid w:val="008B04C6"/>
    <w:rsid w:val="00943CBD"/>
    <w:rsid w:val="00983FB5"/>
    <w:rsid w:val="009A27DC"/>
    <w:rsid w:val="009B4B2E"/>
    <w:rsid w:val="00A00462"/>
    <w:rsid w:val="00A42721"/>
    <w:rsid w:val="00A666F3"/>
    <w:rsid w:val="00A67188"/>
    <w:rsid w:val="00A8221A"/>
    <w:rsid w:val="00A92376"/>
    <w:rsid w:val="00A92782"/>
    <w:rsid w:val="00B44560"/>
    <w:rsid w:val="00B46BEA"/>
    <w:rsid w:val="00BD5D9C"/>
    <w:rsid w:val="00BD6930"/>
    <w:rsid w:val="00BF71E5"/>
    <w:rsid w:val="00C12B13"/>
    <w:rsid w:val="00D3532F"/>
    <w:rsid w:val="00D3576A"/>
    <w:rsid w:val="00DD759D"/>
    <w:rsid w:val="00E33E69"/>
    <w:rsid w:val="00E54952"/>
    <w:rsid w:val="00EA7AC4"/>
    <w:rsid w:val="00F241C6"/>
    <w:rsid w:val="00F43E2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1A35"/>
    <w:rPr>
      <w:color w:val="808080"/>
    </w:rPr>
  </w:style>
  <w:style w:type="paragraph" w:customStyle="1" w:styleId="D3ADEF08D35B62479188E253AA1DD246">
    <w:name w:val="D3ADEF08D35B62479188E253AA1DD246"/>
    <w:rsid w:val="007D1A35"/>
    <w:pPr>
      <w:spacing w:after="160" w:line="278" w:lineRule="auto"/>
    </w:pPr>
    <w:rPr>
      <w:kern w:val="2"/>
      <w:lang w:eastAsia="en-GB"/>
      <w14:ligatures w14:val="standardContextual"/>
    </w:rPr>
  </w:style>
  <w:style w:type="paragraph" w:customStyle="1" w:styleId="80EF9B6B2776F84C93BE008DDBC2361D">
    <w:name w:val="80EF9B6B2776F84C93BE008DDBC2361D"/>
    <w:rsid w:val="007D1A35"/>
    <w:pPr>
      <w:spacing w:after="160" w:line="278" w:lineRule="auto"/>
    </w:pPr>
    <w:rPr>
      <w:kern w:val="2"/>
      <w:lang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ae9623a-2b95-4ee7-b5a6-fde17298596f"/>
    <lcf76f155ced4ddcb4097134ff3c332f xmlns="ccac6cc5-77d1-4b16-b7b0-11de93cc93a7">
      <Terms xmlns="http://schemas.microsoft.com/office/infopath/2007/PartnerControls"/>
    </lcf76f155ced4ddcb4097134ff3c332f>
    <Notes xmlns="ccac6cc5-77d1-4b16-b7b0-11de93cc93a7"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4FF0FDCD1053134DBD3DAF48C8EE11CD" ma:contentTypeVersion="14" ma:contentTypeDescription="Create a new document." ma:contentTypeScope="" ma:versionID="b68da68eceed4e419774cf1b8de7bf04">
  <xsd:schema xmlns:xsd="http://www.w3.org/2001/XMLSchema" xmlns:xs="http://www.w3.org/2001/XMLSchema" xmlns:p="http://schemas.microsoft.com/office/2006/metadata/properties" xmlns:ns2="ccac6cc5-77d1-4b16-b7b0-11de93cc93a7" xmlns:ns3="eae9623a-2b95-4ee7-b5a6-fde17298596f" targetNamespace="http://schemas.microsoft.com/office/2006/metadata/properties" ma:root="true" ma:fieldsID="085e06b823309fe1b0cf1d502a376ee7" ns2:_="" ns3:_="">
    <xsd:import namespace="ccac6cc5-77d1-4b16-b7b0-11de93cc93a7"/>
    <xsd:import namespace="eae9623a-2b95-4ee7-b5a6-fde17298596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ac6cc5-77d1-4b16-b7b0-11de93cc93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Notes" ma:index="21" nillable="true" ma:displayName="Notes" ma:description="Description of the file, version, context"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ae9623a-2b95-4ee7-b5a6-fde17298596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3d6b896-f2b1-49b5-8bc3-8cd88b38c4a3}" ma:internalName="TaxCatchAll" ma:showField="CatchAllData" ma:web="eae9623a-2b95-4ee7-b5a6-fde1729859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F37878-3676-40C8-B108-FAF3DB7B6CA5}">
  <ds:schemaRefs>
    <ds:schemaRef ds:uri="http://schemas.microsoft.com/sharepoint/v3/contenttype/forms"/>
  </ds:schemaRefs>
</ds:datastoreItem>
</file>

<file path=customXml/itemProps2.xml><?xml version="1.0" encoding="utf-8"?>
<ds:datastoreItem xmlns:ds="http://schemas.openxmlformats.org/officeDocument/2006/customXml" ds:itemID="{EE30330C-F8D0-4B95-8BB4-BF4D057658BF}">
  <ds:schemaRefs>
    <ds:schemaRef ds:uri="http://schemas.microsoft.com/office/2006/metadata/properties"/>
    <ds:schemaRef ds:uri="http://schemas.microsoft.com/office/infopath/2007/PartnerControls"/>
    <ds:schemaRef ds:uri="eae9623a-2b95-4ee7-b5a6-fde17298596f"/>
    <ds:schemaRef ds:uri="ccac6cc5-77d1-4b16-b7b0-11de93cc93a7"/>
  </ds:schemaRefs>
</ds:datastoreItem>
</file>

<file path=customXml/itemProps3.xml><?xml version="1.0" encoding="utf-8"?>
<ds:datastoreItem xmlns:ds="http://schemas.openxmlformats.org/officeDocument/2006/customXml" ds:itemID="{D7DB2F90-53A7-584E-89D7-245DB1501FF7}">
  <ds:schemaRefs>
    <ds:schemaRef ds:uri="http://schemas.openxmlformats.org/officeDocument/2006/bibliography"/>
  </ds:schemaRefs>
</ds:datastoreItem>
</file>

<file path=customXml/itemProps4.xml><?xml version="1.0" encoding="utf-8"?>
<ds:datastoreItem xmlns:ds="http://schemas.openxmlformats.org/officeDocument/2006/customXml" ds:itemID="{A8B560EF-66E5-4176-BAED-18092113D3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ac6cc5-77d1-4b16-b7b0-11de93cc93a7"/>
    <ds:schemaRef ds:uri="eae9623a-2b95-4ee7-b5a6-fde1729859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1556</Words>
  <Characters>8875</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Policy: xx</vt:lpstr>
    </vt:vector>
  </TitlesOfParts>
  <Manager/>
  <Company/>
  <LinksUpToDate>false</LinksUpToDate>
  <CharactersWithSpaces>10411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Long Service Leave</dc:title>
  <dc:subject/>
  <dc:creator>Rita Ferraro</dc:creator>
  <cp:keywords/>
  <dc:description/>
  <cp:lastModifiedBy>Anita Dolzan</cp:lastModifiedBy>
  <cp:revision>2</cp:revision>
  <dcterms:created xsi:type="dcterms:W3CDTF">2026-09-08T04:26:00Z</dcterms:created>
  <dcterms:modified xsi:type="dcterms:W3CDTF">2026-09-08T04:26:00Z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0x0101004FF0FDCD1053134DBD3DAF48C8EE11CD</vt:lpwstr>
  </property>
  <property fmtid="{D5CDD505-2E9C-101B-9397-08002B2CF9AE}" pid="3" name="MediaServiceImageTags">
    <vt:lpwstr/>
  </property>
</Properties>
</file>