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2BCC4FB0" w:rsidR="00F4525C" w:rsidRPr="003C0A2F" w:rsidRDefault="00F1252E" w:rsidP="00FC0C7D">
      <w:pPr>
        <w:pStyle w:val="VCAADocumenttitle"/>
        <w:rPr>
          <w:noProof w:val="0"/>
        </w:rPr>
      </w:pPr>
      <w:r w:rsidRPr="003C0A2F">
        <w:rPr>
          <w:noProof w:val="0"/>
        </w:rPr>
        <w:t>202</w:t>
      </w:r>
      <w:r w:rsidR="00F412FB">
        <w:rPr>
          <w:noProof w:val="0"/>
        </w:rPr>
        <w:t>3</w:t>
      </w:r>
      <w:r w:rsidRPr="003C0A2F">
        <w:rPr>
          <w:noProof w:val="0"/>
        </w:rPr>
        <w:t xml:space="preserve"> VCE Economics </w:t>
      </w:r>
      <w:r w:rsidR="00A32948" w:rsidRPr="003C0A2F">
        <w:rPr>
          <w:noProof w:val="0"/>
        </w:rPr>
        <w:t xml:space="preserve">external assessment </w:t>
      </w:r>
      <w:r w:rsidRPr="003C0A2F">
        <w:rPr>
          <w:noProof w:val="0"/>
        </w:rPr>
        <w:t>report</w:t>
      </w:r>
    </w:p>
    <w:p w14:paraId="3481CA29" w14:textId="14257224" w:rsidR="00F1252E" w:rsidRPr="003C0A2F" w:rsidRDefault="00F1252E" w:rsidP="00FC0C7D">
      <w:pPr>
        <w:pStyle w:val="VCAAHeading1"/>
        <w:rPr>
          <w:lang w:val="en-AU"/>
        </w:rPr>
      </w:pPr>
      <w:bookmarkStart w:id="0" w:name="TemplateOverview"/>
      <w:bookmarkEnd w:id="0"/>
      <w:r w:rsidRPr="003C0A2F">
        <w:rPr>
          <w:lang w:val="en-AU"/>
        </w:rPr>
        <w:t>General comments</w:t>
      </w:r>
    </w:p>
    <w:p w14:paraId="70EF9349" w14:textId="6BDBCE06" w:rsidR="00AC649E" w:rsidRPr="003C0A2F" w:rsidRDefault="00AC649E" w:rsidP="00AC649E">
      <w:pPr>
        <w:pStyle w:val="VCAAbody"/>
        <w:rPr>
          <w:lang w:val="en-AU"/>
        </w:rPr>
      </w:pPr>
      <w:r>
        <w:rPr>
          <w:lang w:val="en-AU"/>
        </w:rPr>
        <w:t>S</w:t>
      </w:r>
      <w:r w:rsidRPr="003C0A2F">
        <w:rPr>
          <w:lang w:val="en-AU"/>
        </w:rPr>
        <w:t xml:space="preserve">tudents performed </w:t>
      </w:r>
      <w:r>
        <w:rPr>
          <w:lang w:val="en-AU"/>
        </w:rPr>
        <w:t xml:space="preserve">reasonably </w:t>
      </w:r>
      <w:r w:rsidRPr="003C0A2F">
        <w:rPr>
          <w:lang w:val="en-AU"/>
        </w:rPr>
        <w:t>well in the examination</w:t>
      </w:r>
      <w:r>
        <w:rPr>
          <w:lang w:val="en-AU"/>
        </w:rPr>
        <w:t>, particularly in Section B, where students were able to respond to most of the questions in a meaningful way</w:t>
      </w:r>
      <w:r w:rsidRPr="003C0A2F">
        <w:rPr>
          <w:lang w:val="en-AU"/>
        </w:rPr>
        <w:t xml:space="preserve">. </w:t>
      </w:r>
      <w:r>
        <w:rPr>
          <w:lang w:val="en-AU"/>
        </w:rPr>
        <w:t>However, in</w:t>
      </w:r>
      <w:r w:rsidRPr="003C0A2F">
        <w:rPr>
          <w:lang w:val="en-AU"/>
        </w:rPr>
        <w:t xml:space="preserve"> Section A, </w:t>
      </w:r>
      <w:r>
        <w:rPr>
          <w:lang w:val="en-AU"/>
        </w:rPr>
        <w:t>many</w:t>
      </w:r>
      <w:r w:rsidRPr="003C0A2F">
        <w:rPr>
          <w:lang w:val="en-AU"/>
        </w:rPr>
        <w:t xml:space="preserve"> of the 15 multiple-choice questions were </w:t>
      </w:r>
      <w:r>
        <w:rPr>
          <w:lang w:val="en-AU"/>
        </w:rPr>
        <w:t xml:space="preserve">not </w:t>
      </w:r>
      <w:r w:rsidRPr="003C0A2F">
        <w:rPr>
          <w:lang w:val="en-AU"/>
        </w:rPr>
        <w:t xml:space="preserve">well handled, </w:t>
      </w:r>
      <w:r>
        <w:rPr>
          <w:lang w:val="en-AU"/>
        </w:rPr>
        <w:t>suggesting that students need to spend more time practising the skills required to effectively answer these types of questions.</w:t>
      </w:r>
      <w:r w:rsidRPr="003C0A2F">
        <w:rPr>
          <w:lang w:val="en-AU"/>
        </w:rPr>
        <w:t xml:space="preserve"> </w:t>
      </w:r>
    </w:p>
    <w:p w14:paraId="4304FF01" w14:textId="5B7DDC2B" w:rsidR="00D41733" w:rsidRPr="00104DDD" w:rsidRDefault="00974CF5" w:rsidP="00104DDD">
      <w:pPr>
        <w:pStyle w:val="VCAAbody"/>
      </w:pPr>
      <w:proofErr w:type="gramStart"/>
      <w:r w:rsidRPr="00104DDD">
        <w:t>I</w:t>
      </w:r>
      <w:r w:rsidR="005566FA" w:rsidRPr="00104DDD">
        <w:t xml:space="preserve">n </w:t>
      </w:r>
      <w:r w:rsidR="00E15A50">
        <w:t>particular, st</w:t>
      </w:r>
      <w:r w:rsidR="00C71FE4" w:rsidRPr="00104DDD">
        <w:t>udents</w:t>
      </w:r>
      <w:proofErr w:type="gramEnd"/>
      <w:r w:rsidR="00C71FE4" w:rsidRPr="00104DDD">
        <w:t xml:space="preserve"> </w:t>
      </w:r>
      <w:r w:rsidR="0063649B" w:rsidRPr="00104DDD">
        <w:t>had</w:t>
      </w:r>
      <w:r w:rsidRPr="00104DDD">
        <w:t xml:space="preserve"> difficult</w:t>
      </w:r>
      <w:r w:rsidR="00F31E63" w:rsidRPr="00104DDD">
        <w:t>ies</w:t>
      </w:r>
      <w:r w:rsidRPr="00104DDD">
        <w:t xml:space="preserve"> with</w:t>
      </w:r>
      <w:r w:rsidR="00FB40D0" w:rsidRPr="00104DDD">
        <w:t xml:space="preserve"> </w:t>
      </w:r>
      <w:r w:rsidR="003C5FD2">
        <w:t>Q</w:t>
      </w:r>
      <w:r w:rsidR="00F31E63" w:rsidRPr="00104DDD">
        <w:t>uestions 2, 3, 5, 6, 7, 8 and 11</w:t>
      </w:r>
      <w:r w:rsidR="000129E7">
        <w:t xml:space="preserve">, </w:t>
      </w:r>
      <w:r w:rsidR="00407C19">
        <w:t>suggesting</w:t>
      </w:r>
      <w:r w:rsidR="00D41733" w:rsidRPr="00104DDD">
        <w:t xml:space="preserve"> that </w:t>
      </w:r>
      <w:r w:rsidR="00CD3A94" w:rsidRPr="00104DDD">
        <w:t xml:space="preserve">teachers and students should </w:t>
      </w:r>
      <w:r w:rsidR="00E15A50">
        <w:t xml:space="preserve">also </w:t>
      </w:r>
      <w:r w:rsidR="00CD3A94" w:rsidRPr="00104DDD">
        <w:t xml:space="preserve">carefully revise </w:t>
      </w:r>
      <w:r w:rsidR="00D41733" w:rsidRPr="00104DDD">
        <w:t>the following key knowledge areas</w:t>
      </w:r>
      <w:r w:rsidR="00CD3A94" w:rsidRPr="00104DDD">
        <w:t xml:space="preserve"> as part of examination preparation:</w:t>
      </w:r>
      <w:r w:rsidR="00D41733" w:rsidRPr="00104DDD">
        <w:t xml:space="preserve"> </w:t>
      </w:r>
    </w:p>
    <w:p w14:paraId="5B76AA5C" w14:textId="64EDDDD0" w:rsidR="002452AB" w:rsidRDefault="000129E7" w:rsidP="00D75026">
      <w:pPr>
        <w:pStyle w:val="VCAAbullet"/>
      </w:pPr>
      <w:r>
        <w:t>t</w:t>
      </w:r>
      <w:r w:rsidR="00F31E63">
        <w:t>he consequences of a high rate of inflation (Question 2)</w:t>
      </w:r>
    </w:p>
    <w:p w14:paraId="7748DAEA" w14:textId="43CBB42C" w:rsidR="00F31E63" w:rsidRDefault="000129E7" w:rsidP="00D75026">
      <w:pPr>
        <w:pStyle w:val="VCAAbullet"/>
      </w:pPr>
      <w:r>
        <w:t>t</w:t>
      </w:r>
      <w:r w:rsidR="00F31E63" w:rsidRPr="00F31E63">
        <w:t>he difference between government current expenditure</w:t>
      </w:r>
      <w:r w:rsidR="00F31E63">
        <w:t xml:space="preserve">, </w:t>
      </w:r>
      <w:r w:rsidR="00F31E63" w:rsidRPr="00F31E63">
        <w:t>government capital expenditure</w:t>
      </w:r>
      <w:r w:rsidR="00F31E63">
        <w:t xml:space="preserve"> and </w:t>
      </w:r>
      <w:r>
        <w:t>t</w:t>
      </w:r>
      <w:r w:rsidR="00F31E63" w:rsidRPr="00F31E63">
        <w:t>ransfer payments</w:t>
      </w:r>
    </w:p>
    <w:p w14:paraId="6FA18973" w14:textId="78CBD539" w:rsidR="00F31E63" w:rsidRDefault="000129E7" w:rsidP="00D75026">
      <w:pPr>
        <w:pStyle w:val="VCAAbullet"/>
      </w:pPr>
      <w:r>
        <w:t>f</w:t>
      </w:r>
      <w:r w:rsidR="00F31E63">
        <w:t>actors influencing aggregate supply</w:t>
      </w:r>
      <w:r w:rsidR="00F31E63" w:rsidRPr="00F31E63">
        <w:t xml:space="preserve"> (Question </w:t>
      </w:r>
      <w:r w:rsidR="00F31E63">
        <w:t>5</w:t>
      </w:r>
      <w:r w:rsidR="00F31E63" w:rsidRPr="00F31E63">
        <w:t>)</w:t>
      </w:r>
    </w:p>
    <w:p w14:paraId="4FE5C0D6" w14:textId="3EBFD25C" w:rsidR="00F31E63" w:rsidRDefault="000129E7" w:rsidP="00D75026">
      <w:pPr>
        <w:pStyle w:val="VCAAbullet"/>
      </w:pPr>
      <w:r>
        <w:t>t</w:t>
      </w:r>
      <w:r w:rsidR="00F31E63" w:rsidRPr="00F31E63">
        <w:t xml:space="preserve">he </w:t>
      </w:r>
      <w:r w:rsidR="00F31E63">
        <w:t xml:space="preserve">meaning and </w:t>
      </w:r>
      <w:r w:rsidR="00F31E63" w:rsidRPr="00F31E63">
        <w:t>calculation of the labour force underutilisation rate</w:t>
      </w:r>
      <w:r w:rsidR="00F31E63">
        <w:t xml:space="preserve"> </w:t>
      </w:r>
      <w:r w:rsidR="00F31E63" w:rsidRPr="00F31E63">
        <w:t xml:space="preserve">(Question </w:t>
      </w:r>
      <w:r w:rsidR="00F31E63">
        <w:t>6</w:t>
      </w:r>
      <w:r w:rsidR="00F31E63" w:rsidRPr="00F31E63">
        <w:t>)</w:t>
      </w:r>
    </w:p>
    <w:p w14:paraId="12AE58D7" w14:textId="5FF5E791" w:rsidR="00F31E63" w:rsidRDefault="000129E7" w:rsidP="00D75026">
      <w:pPr>
        <w:pStyle w:val="VCAAbullet"/>
      </w:pPr>
      <w:r>
        <w:t>t</w:t>
      </w:r>
      <w:r w:rsidR="00F31E63" w:rsidRPr="00F31E63">
        <w:t>he recording of transactions in the balance of payments</w:t>
      </w:r>
      <w:r w:rsidR="00F31E63">
        <w:t xml:space="preserve"> </w:t>
      </w:r>
      <w:r w:rsidR="00F31E63" w:rsidRPr="00F31E63">
        <w:t xml:space="preserve">(Question </w:t>
      </w:r>
      <w:r w:rsidR="00F31E63">
        <w:t>7</w:t>
      </w:r>
      <w:r w:rsidR="00F31E63" w:rsidRPr="00F31E63">
        <w:t>)</w:t>
      </w:r>
    </w:p>
    <w:p w14:paraId="08BC81FC" w14:textId="77C17ED6" w:rsidR="00F31E63" w:rsidRDefault="000129E7" w:rsidP="00D75026">
      <w:pPr>
        <w:pStyle w:val="VCAAbullet"/>
      </w:pPr>
      <w:r>
        <w:t>t</w:t>
      </w:r>
      <w:r w:rsidR="00F31E63" w:rsidRPr="00F31E63">
        <w:t>he causes of cyclical unemployment</w:t>
      </w:r>
      <w:r w:rsidR="00F31E63">
        <w:t xml:space="preserve"> </w:t>
      </w:r>
      <w:r w:rsidR="00F31E63" w:rsidRPr="00F31E63">
        <w:t xml:space="preserve">(Question </w:t>
      </w:r>
      <w:r w:rsidR="00F31E63">
        <w:t>8</w:t>
      </w:r>
      <w:r w:rsidR="00F31E63" w:rsidRPr="00F31E63">
        <w:t>)</w:t>
      </w:r>
    </w:p>
    <w:p w14:paraId="1B536ED6" w14:textId="66475F3D" w:rsidR="00F31E63" w:rsidRDefault="00F31E63" w:rsidP="00D75026">
      <w:pPr>
        <w:pStyle w:val="VCAAbullet"/>
      </w:pPr>
      <w:r w:rsidRPr="00F31E63">
        <w:t>cyclical factors influencing the current account balance</w:t>
      </w:r>
      <w:r>
        <w:t xml:space="preserve"> </w:t>
      </w:r>
      <w:r w:rsidRPr="00F31E63">
        <w:t xml:space="preserve">(Question </w:t>
      </w:r>
      <w:r>
        <w:t>11</w:t>
      </w:r>
      <w:r w:rsidRPr="00F31E63">
        <w:t>)</w:t>
      </w:r>
      <w:r w:rsidR="000129E7">
        <w:t>.</w:t>
      </w:r>
    </w:p>
    <w:p w14:paraId="385CCBCE" w14:textId="4D3D4699" w:rsidR="002452AB" w:rsidRPr="00104DDD" w:rsidRDefault="00CD3A94" w:rsidP="00104DDD">
      <w:pPr>
        <w:pStyle w:val="VCAAbody"/>
      </w:pPr>
      <w:r w:rsidRPr="00104DDD">
        <w:t xml:space="preserve">Most students </w:t>
      </w:r>
      <w:r w:rsidR="001C0B6C">
        <w:t xml:space="preserve">both </w:t>
      </w:r>
      <w:r w:rsidRPr="00104DDD">
        <w:t>attempted all questions within Section B and were able to structure responses well, address all components of a question accurately and make productive use of the extra space at the end of the booklet.</w:t>
      </w:r>
      <w:r w:rsidR="00F412FB" w:rsidRPr="00104DDD">
        <w:t xml:space="preserve"> </w:t>
      </w:r>
      <w:r w:rsidR="000129E7">
        <w:t>S</w:t>
      </w:r>
      <w:r w:rsidR="00F412FB" w:rsidRPr="00104DDD">
        <w:t>tudents are</w:t>
      </w:r>
      <w:r w:rsidRPr="00104DDD">
        <w:t xml:space="preserve"> reminde</w:t>
      </w:r>
      <w:r w:rsidR="000129E7">
        <w:t>d</w:t>
      </w:r>
      <w:r w:rsidRPr="00104DDD">
        <w:t xml:space="preserve"> that it is acceptable to write below the lines </w:t>
      </w:r>
      <w:r w:rsidR="006972E3" w:rsidRPr="00104DDD">
        <w:t xml:space="preserve">provided </w:t>
      </w:r>
      <w:r w:rsidRPr="00104DDD">
        <w:t>before using the extra writing space at the</w:t>
      </w:r>
      <w:r w:rsidR="00B6177F" w:rsidRPr="00104DDD">
        <w:t xml:space="preserve"> </w:t>
      </w:r>
      <w:r w:rsidRPr="00104DDD">
        <w:t xml:space="preserve">back of the </w:t>
      </w:r>
      <w:proofErr w:type="gramStart"/>
      <w:r w:rsidRPr="00104DDD">
        <w:t>booklet</w:t>
      </w:r>
      <w:r w:rsidR="000129E7">
        <w:t>, if</w:t>
      </w:r>
      <w:proofErr w:type="gramEnd"/>
      <w:r w:rsidR="000129E7">
        <w:t xml:space="preserve"> there are only a few words to add</w:t>
      </w:r>
      <w:r w:rsidRPr="00104DDD">
        <w:t xml:space="preserve">. </w:t>
      </w:r>
    </w:p>
    <w:p w14:paraId="6A0D2B7B" w14:textId="1FDD86F9" w:rsidR="00AE2F0B" w:rsidRPr="00D93BFA" w:rsidRDefault="00A77B2C" w:rsidP="00104DDD">
      <w:pPr>
        <w:pStyle w:val="VCAAbody"/>
      </w:pPr>
      <w:r>
        <w:t>S</w:t>
      </w:r>
      <w:r w:rsidR="00065143" w:rsidRPr="00104DDD">
        <w:t xml:space="preserve">tudents </w:t>
      </w:r>
      <w:r w:rsidR="00760D96">
        <w:t>need</w:t>
      </w:r>
      <w:r w:rsidR="001C0B6C">
        <w:t xml:space="preserve"> to </w:t>
      </w:r>
      <w:r w:rsidR="00065143" w:rsidRPr="00104DDD">
        <w:t xml:space="preserve">provide responses </w:t>
      </w:r>
      <w:r w:rsidR="001C0B6C">
        <w:t>that directly address</w:t>
      </w:r>
      <w:r w:rsidR="00065143" w:rsidRPr="00104DDD">
        <w:t xml:space="preserve"> the specific question being asked</w:t>
      </w:r>
      <w:r w:rsidR="001C0B6C">
        <w:t>, incorporat</w:t>
      </w:r>
      <w:r w:rsidR="00BA01AA">
        <w:t>e</w:t>
      </w:r>
      <w:r w:rsidR="001C0B6C">
        <w:t xml:space="preserve"> accurate </w:t>
      </w:r>
      <w:r w:rsidR="00760D96">
        <w:t>interpretation of</w:t>
      </w:r>
      <w:r w:rsidR="001C0B6C">
        <w:t xml:space="preserve"> task word</w:t>
      </w:r>
      <w:r w:rsidR="00760D96">
        <w:t>s,</w:t>
      </w:r>
      <w:r w:rsidR="001C0B6C">
        <w:t xml:space="preserve"> inclu</w:t>
      </w:r>
      <w:r w:rsidR="00BA01AA">
        <w:t>de</w:t>
      </w:r>
      <w:r w:rsidR="001C0B6C">
        <w:t xml:space="preserve"> </w:t>
      </w:r>
      <w:r w:rsidR="00760D96">
        <w:t>appropriate knowledge and demonstrat</w:t>
      </w:r>
      <w:r w:rsidR="00BA01AA">
        <w:t xml:space="preserve">e </w:t>
      </w:r>
      <w:r w:rsidR="00760D96">
        <w:t>the skill</w:t>
      </w:r>
      <w:r w:rsidR="00BA01AA">
        <w:t>s</w:t>
      </w:r>
      <w:r w:rsidR="00760D96">
        <w:t xml:space="preserve"> required within the question.</w:t>
      </w:r>
      <w:r w:rsidR="00065143" w:rsidRPr="00104DDD">
        <w:t xml:space="preserve"> Inclusion of material </w:t>
      </w:r>
      <w:r w:rsidR="00760D96">
        <w:t>that is irrelevant or beyond</w:t>
      </w:r>
      <w:r w:rsidR="00065143" w:rsidRPr="00104DDD">
        <w:t xml:space="preserve"> the scope of the question being asked will not add value to a response. For example</w:t>
      </w:r>
      <w:r w:rsidR="003C0A2F" w:rsidRPr="00104DDD">
        <w:t>,</w:t>
      </w:r>
      <w:r w:rsidR="00065143" w:rsidRPr="00104DDD">
        <w:t xml:space="preserve"> </w:t>
      </w:r>
      <w:r w:rsidR="006972E3" w:rsidRPr="00104DDD">
        <w:t xml:space="preserve">in </w:t>
      </w:r>
      <w:r w:rsidR="00065143" w:rsidRPr="00104DDD">
        <w:t>Q</w:t>
      </w:r>
      <w:r w:rsidR="00E9433A" w:rsidRPr="00104DDD">
        <w:t xml:space="preserve">uestion </w:t>
      </w:r>
      <w:r w:rsidR="00065143" w:rsidRPr="00104DDD">
        <w:t>1a</w:t>
      </w:r>
      <w:r w:rsidR="000129E7">
        <w:t>.</w:t>
      </w:r>
      <w:r w:rsidR="00F412FB" w:rsidRPr="00104DDD">
        <w:t xml:space="preserve">, </w:t>
      </w:r>
      <w:r w:rsidR="00065143" w:rsidRPr="00104DDD">
        <w:t xml:space="preserve">all that was required was </w:t>
      </w:r>
      <w:r w:rsidR="00F412FB" w:rsidRPr="00104DDD">
        <w:t xml:space="preserve">identification of the stage of the business cycle for the Australian economy since July 2023, while also </w:t>
      </w:r>
      <w:proofErr w:type="gramStart"/>
      <w:r w:rsidR="00F412FB" w:rsidRPr="00104DDD">
        <w:t>making reference</w:t>
      </w:r>
      <w:proofErr w:type="gramEnd"/>
      <w:r w:rsidR="00F412FB" w:rsidRPr="00104DDD">
        <w:t xml:space="preserve"> to ‘at least one economic indicator’. Responses describing all stages of an economy’s business cycle and/or the effects of being in </w:t>
      </w:r>
      <w:r w:rsidR="000129E7">
        <w:t xml:space="preserve">a </w:t>
      </w:r>
      <w:r w:rsidR="00F412FB" w:rsidRPr="00104DDD">
        <w:t xml:space="preserve">specific stage of the business cycle </w:t>
      </w:r>
      <w:r w:rsidR="00BA01AA">
        <w:t>wasted valuable writing time and space</w:t>
      </w:r>
      <w:r w:rsidR="00F412FB" w:rsidRPr="00104DDD">
        <w:t xml:space="preserve">. </w:t>
      </w:r>
      <w:r w:rsidR="00065143" w:rsidRPr="00104DDD">
        <w:t>Similarly</w:t>
      </w:r>
      <w:r w:rsidR="003C0A2F" w:rsidRPr="00104DDD">
        <w:t>,</w:t>
      </w:r>
      <w:r w:rsidR="00065143" w:rsidRPr="00104DDD">
        <w:t xml:space="preserve"> in Q</w:t>
      </w:r>
      <w:r w:rsidR="00E9433A" w:rsidRPr="00104DDD">
        <w:t xml:space="preserve">uestion </w:t>
      </w:r>
      <w:r w:rsidR="00F412FB" w:rsidRPr="00104DDD">
        <w:t>3b</w:t>
      </w:r>
      <w:r w:rsidR="006D3322">
        <w:t>.</w:t>
      </w:r>
      <w:r w:rsidR="006972E3" w:rsidRPr="00104DDD">
        <w:t>,</w:t>
      </w:r>
      <w:r w:rsidR="00065143" w:rsidRPr="00104DDD">
        <w:t xml:space="preserve"> </w:t>
      </w:r>
      <w:r w:rsidR="00AE2F0B" w:rsidRPr="00104DDD">
        <w:t>students were required to</w:t>
      </w:r>
      <w:r w:rsidR="00065143" w:rsidRPr="00104DDD">
        <w:t xml:space="preserve"> </w:t>
      </w:r>
      <w:r w:rsidR="00F412FB" w:rsidRPr="00104DDD">
        <w:t>analys</w:t>
      </w:r>
      <w:r w:rsidR="00AE2F0B" w:rsidRPr="00104DDD">
        <w:t>e how Australia’s recent unemployment rate and inflation rate influenced the stance of aggregate demand policies.</w:t>
      </w:r>
      <w:r w:rsidR="00F87ED6">
        <w:t xml:space="preserve"> </w:t>
      </w:r>
      <w:r w:rsidR="00AE2F0B" w:rsidRPr="00104DDD">
        <w:t xml:space="preserve">Many students went beyond the scope of the question by exploring the following types of </w:t>
      </w:r>
      <w:r w:rsidR="00EB334F" w:rsidRPr="00104DDD">
        <w:t>areas/issues in some detail</w:t>
      </w:r>
      <w:r w:rsidR="00FB3B86">
        <w:t>:</w:t>
      </w:r>
      <w:r w:rsidR="00BA01AA">
        <w:t xml:space="preserve"> </w:t>
      </w:r>
    </w:p>
    <w:p w14:paraId="607EA3A4" w14:textId="436F978D" w:rsidR="00AE2F0B" w:rsidRPr="00D93BFA" w:rsidRDefault="000129E7" w:rsidP="00D75026">
      <w:pPr>
        <w:pStyle w:val="VCAAbullet"/>
      </w:pPr>
      <w:r w:rsidRPr="00D93BFA">
        <w:t>h</w:t>
      </w:r>
      <w:r w:rsidR="00AE2F0B" w:rsidRPr="00D93BFA">
        <w:t>ow the R</w:t>
      </w:r>
      <w:r w:rsidR="00945833" w:rsidRPr="00D93BFA">
        <w:t xml:space="preserve">eserve </w:t>
      </w:r>
      <w:r w:rsidR="00AE2F0B" w:rsidRPr="00D93BFA">
        <w:t>B</w:t>
      </w:r>
      <w:r w:rsidR="00945833" w:rsidRPr="00D93BFA">
        <w:t xml:space="preserve">ank of </w:t>
      </w:r>
      <w:r w:rsidR="00AE2F0B" w:rsidRPr="00D93BFA">
        <w:t>A</w:t>
      </w:r>
      <w:r w:rsidR="00945833" w:rsidRPr="00D93BFA">
        <w:t>ustralia (RBA)</w:t>
      </w:r>
      <w:r w:rsidR="00AE2F0B" w:rsidRPr="00D93BFA">
        <w:t xml:space="preserve"> raises the cash rate and interest rates in the economy</w:t>
      </w:r>
    </w:p>
    <w:p w14:paraId="211B1C26" w14:textId="22092014" w:rsidR="00AE2F0B" w:rsidRPr="00D93BFA" w:rsidRDefault="000129E7" w:rsidP="00D75026">
      <w:pPr>
        <w:pStyle w:val="VCAAbullet"/>
      </w:pPr>
      <w:r w:rsidRPr="00D93BFA">
        <w:t>h</w:t>
      </w:r>
      <w:r w:rsidR="00AE2F0B" w:rsidRPr="00D93BFA">
        <w:t>ow the increase in interest rates helps to restrain A</w:t>
      </w:r>
      <w:r w:rsidR="002D58E8" w:rsidRPr="00D93BFA">
        <w:t xml:space="preserve">ggregate </w:t>
      </w:r>
      <w:r w:rsidR="00AE2F0B" w:rsidRPr="00D93BFA">
        <w:t>D</w:t>
      </w:r>
      <w:r w:rsidR="002D58E8" w:rsidRPr="00D93BFA">
        <w:t>emand (AD)</w:t>
      </w:r>
      <w:r w:rsidR="00AE2F0B" w:rsidRPr="00D93BFA">
        <w:t xml:space="preserve"> via the transmission channels</w:t>
      </w:r>
    </w:p>
    <w:p w14:paraId="5C73EB12" w14:textId="639D7248" w:rsidR="00AE2F0B" w:rsidRDefault="000129E7" w:rsidP="00D75026">
      <w:pPr>
        <w:pStyle w:val="VCAAbullet"/>
      </w:pPr>
      <w:r w:rsidRPr="00D93BFA">
        <w:t>h</w:t>
      </w:r>
      <w:r w:rsidR="00AE2F0B" w:rsidRPr="00D93BFA">
        <w:t xml:space="preserve">ow the government’s </w:t>
      </w:r>
      <w:r w:rsidR="00EB334F" w:rsidRPr="00D93BFA">
        <w:t>recent budget outcomes will influence AD or A</w:t>
      </w:r>
      <w:r w:rsidR="002D58E8" w:rsidRPr="00D93BFA">
        <w:t xml:space="preserve">ggregate </w:t>
      </w:r>
      <w:r w:rsidR="00EB334F" w:rsidRPr="00D93BFA">
        <w:t>S</w:t>
      </w:r>
      <w:r w:rsidR="002D58E8" w:rsidRPr="00D93BFA">
        <w:t>upply (AS)</w:t>
      </w:r>
      <w:r w:rsidR="00EB334F" w:rsidRPr="00D93BFA">
        <w:t xml:space="preserve"> and the</w:t>
      </w:r>
      <w:r w:rsidR="00EB334F" w:rsidRPr="00727C94">
        <w:t xml:space="preserve"> achievement of the economic goals</w:t>
      </w:r>
      <w:r>
        <w:t>.</w:t>
      </w:r>
      <w:r w:rsidR="00F87ED6">
        <w:t xml:space="preserve"> </w:t>
      </w:r>
    </w:p>
    <w:p w14:paraId="179C9BE8" w14:textId="77777777" w:rsidR="00FB3B86" w:rsidRDefault="00FB3B86" w:rsidP="00104DDD">
      <w:pPr>
        <w:pStyle w:val="VCAAbody"/>
      </w:pPr>
      <w:r>
        <w:t xml:space="preserve">The time taken in adding these details could have </w:t>
      </w:r>
      <w:r w:rsidRPr="00D93BFA">
        <w:t>been used more productively in answering other aspects of the examination.</w:t>
      </w:r>
    </w:p>
    <w:p w14:paraId="6EACB7C3" w14:textId="4F15EFC8" w:rsidR="00016789" w:rsidRPr="00104DDD" w:rsidRDefault="00065143" w:rsidP="00104DDD">
      <w:pPr>
        <w:pStyle w:val="VCAAbody"/>
      </w:pPr>
      <w:r w:rsidRPr="00104DDD">
        <w:t xml:space="preserve">It is important to read each question thoroughly and consider </w:t>
      </w:r>
      <w:r w:rsidR="00BA01AA">
        <w:t>the</w:t>
      </w:r>
      <w:r w:rsidRPr="00104DDD">
        <w:t xml:space="preserve"> intent before beginning a</w:t>
      </w:r>
      <w:r w:rsidR="00BA01AA">
        <w:t>ny</w:t>
      </w:r>
      <w:r w:rsidRPr="00104DDD">
        <w:t xml:space="preserve"> response. </w:t>
      </w:r>
      <w:proofErr w:type="gramStart"/>
      <w:r w:rsidR="00760D96">
        <w:t>A number of</w:t>
      </w:r>
      <w:proofErr w:type="gramEnd"/>
      <w:r w:rsidR="00760D96">
        <w:t xml:space="preserve"> s</w:t>
      </w:r>
      <w:r w:rsidRPr="00104DDD">
        <w:t>tudents misinterpret</w:t>
      </w:r>
      <w:r w:rsidR="00760D96">
        <w:t>ed</w:t>
      </w:r>
      <w:r w:rsidRPr="00104DDD">
        <w:t xml:space="preserve"> questions</w:t>
      </w:r>
      <w:r w:rsidR="00EB334F" w:rsidRPr="00104DDD">
        <w:t>, and/</w:t>
      </w:r>
      <w:r w:rsidRPr="00104DDD">
        <w:t xml:space="preserve">or </w:t>
      </w:r>
      <w:r w:rsidR="00C14E0E">
        <w:t xml:space="preserve">did </w:t>
      </w:r>
      <w:r w:rsidRPr="00104DDD">
        <w:t>not address all parts of a question</w:t>
      </w:r>
      <w:r w:rsidR="00BA01AA">
        <w:t xml:space="preserve">, resulting in </w:t>
      </w:r>
      <w:r w:rsidR="00BA01AA">
        <w:lastRenderedPageBreak/>
        <w:t>inaccurate responses</w:t>
      </w:r>
      <w:r w:rsidRPr="00104DDD">
        <w:t>.</w:t>
      </w:r>
      <w:r w:rsidR="005436E8" w:rsidRPr="00104DDD">
        <w:t xml:space="preserve"> </w:t>
      </w:r>
      <w:r w:rsidR="006216CD" w:rsidRPr="00104DDD">
        <w:t>For example,</w:t>
      </w:r>
      <w:r w:rsidR="009F786A" w:rsidRPr="00104DDD">
        <w:t xml:space="preserve"> </w:t>
      </w:r>
      <w:r w:rsidR="00EB334F" w:rsidRPr="00104DDD">
        <w:t>Question 4b</w:t>
      </w:r>
      <w:r w:rsidR="000129E7">
        <w:t>.</w:t>
      </w:r>
      <w:r w:rsidR="00EB334F" w:rsidRPr="00104DDD">
        <w:t xml:space="preserve"> required students</w:t>
      </w:r>
      <w:r w:rsidR="000129E7">
        <w:t xml:space="preserve"> to</w:t>
      </w:r>
      <w:r w:rsidR="00EB334F" w:rsidRPr="00104DDD">
        <w:t xml:space="preserve"> analyse how one non-price factor will cause a leftward movement along the demand curve for new houses</w:t>
      </w:r>
      <w:r w:rsidR="00347700" w:rsidRPr="00104DDD">
        <w:t xml:space="preserve">. Many students misinterpreted this and instead answered the following question: ‘analyse how one non-price factor will cause a leftward shift of the demand curve for new </w:t>
      </w:r>
      <w:proofErr w:type="gramStart"/>
      <w:r w:rsidR="00347700" w:rsidRPr="00104DDD">
        <w:t>houses’</w:t>
      </w:r>
      <w:proofErr w:type="gramEnd"/>
      <w:r w:rsidR="00347700" w:rsidRPr="00104DDD">
        <w:t>.</w:t>
      </w:r>
      <w:r w:rsidR="00F87ED6">
        <w:t xml:space="preserve"> </w:t>
      </w:r>
    </w:p>
    <w:p w14:paraId="6951A317" w14:textId="1F7101C1" w:rsidR="000F2747" w:rsidRDefault="00016789" w:rsidP="000F2747">
      <w:pPr>
        <w:pStyle w:val="VCAAbody"/>
      </w:pPr>
      <w:r w:rsidRPr="00104DDD">
        <w:t xml:space="preserve">When interpreting questions, students must </w:t>
      </w:r>
      <w:r w:rsidR="00BA01AA">
        <w:t xml:space="preserve">directly address the specific question in </w:t>
      </w:r>
      <w:r w:rsidR="00C14E0E">
        <w:t xml:space="preserve">its </w:t>
      </w:r>
      <w:r w:rsidR="00BA01AA">
        <w:t>entirety</w:t>
      </w:r>
      <w:r w:rsidRPr="00104DDD">
        <w:t xml:space="preserve">. </w:t>
      </w:r>
      <w:r w:rsidR="000F2747" w:rsidRPr="00104DDD">
        <w:t xml:space="preserve">There were numerous instances where some or all </w:t>
      </w:r>
      <w:r w:rsidR="00FB3B86">
        <w:t xml:space="preserve">aspects </w:t>
      </w:r>
      <w:r w:rsidR="000F2747" w:rsidRPr="00104DDD">
        <w:t xml:space="preserve">of </w:t>
      </w:r>
      <w:r w:rsidR="00BA01AA">
        <w:t>a question w</w:t>
      </w:r>
      <w:r w:rsidR="00FB3B86">
        <w:t>ere</w:t>
      </w:r>
      <w:r w:rsidR="00BA01AA">
        <w:t xml:space="preserve"> not addressed</w:t>
      </w:r>
      <w:r w:rsidR="000F2747" w:rsidRPr="00104DDD">
        <w:t xml:space="preserve"> by students, </w:t>
      </w:r>
      <w:r w:rsidR="00FB3B86">
        <w:t xml:space="preserve">which </w:t>
      </w:r>
      <w:r w:rsidR="000F2747" w:rsidRPr="00104DDD">
        <w:t>prevented them from achieving full marks.</w:t>
      </w:r>
      <w:r w:rsidR="000F2747">
        <w:t xml:space="preserve"> </w:t>
      </w:r>
      <w:r w:rsidRPr="00104DDD">
        <w:t>For example</w:t>
      </w:r>
      <w:r w:rsidR="000F2747">
        <w:t>:</w:t>
      </w:r>
      <w:r w:rsidRPr="00104DDD">
        <w:t xml:space="preserve"> </w:t>
      </w:r>
    </w:p>
    <w:p w14:paraId="6073E8B9" w14:textId="29B57DA9" w:rsidR="000B2423" w:rsidRDefault="00ED2409" w:rsidP="00D75026">
      <w:pPr>
        <w:pStyle w:val="VCAAbullet"/>
      </w:pPr>
      <w:r w:rsidRPr="00104DDD">
        <w:t xml:space="preserve">Question </w:t>
      </w:r>
      <w:r w:rsidR="00347700" w:rsidRPr="00104DDD">
        <w:t>2c</w:t>
      </w:r>
      <w:r w:rsidR="00C818F0">
        <w:t>.</w:t>
      </w:r>
      <w:r w:rsidRPr="00104DDD">
        <w:t xml:space="preserve"> </w:t>
      </w:r>
      <w:r w:rsidR="000F2747">
        <w:t xml:space="preserve">required </w:t>
      </w:r>
      <w:r w:rsidRPr="00104DDD">
        <w:t xml:space="preserve">students to </w:t>
      </w:r>
      <w:r w:rsidR="00347700" w:rsidRPr="00104DDD">
        <w:t xml:space="preserve">make ‘reference to the chart on page 10’ when explaining how the depreciation of the Australian dollar is likely to have affected the achievement of one domestic macroeconomic goal and living standards. </w:t>
      </w:r>
      <w:r w:rsidR="00BA01AA">
        <w:t>Many</w:t>
      </w:r>
      <w:r w:rsidR="00347700" w:rsidRPr="00104DDD">
        <w:t xml:space="preserve"> students made no reference to the chart despite the explicit requirement.</w:t>
      </w:r>
      <w:r w:rsidR="00F87ED6">
        <w:t xml:space="preserve"> </w:t>
      </w:r>
    </w:p>
    <w:p w14:paraId="43095608" w14:textId="1DCB4BBC" w:rsidR="00347700" w:rsidRPr="00104DDD" w:rsidRDefault="00347700" w:rsidP="00D75026">
      <w:pPr>
        <w:pStyle w:val="VCAAbullet"/>
      </w:pPr>
      <w:r w:rsidRPr="00104DDD">
        <w:t>Question 4c</w:t>
      </w:r>
      <w:r w:rsidR="00C818F0">
        <w:t>.</w:t>
      </w:r>
      <w:r w:rsidRPr="00104DDD">
        <w:t xml:space="preserve"> required students to ‘make</w:t>
      </w:r>
      <w:r w:rsidR="00CE2643">
        <w:t xml:space="preserve"> </w:t>
      </w:r>
      <w:r w:rsidRPr="00104DDD">
        <w:t xml:space="preserve">reference to the asset prices and wealth channel of monetary policy’ before explaining ‘why the fall in house prices might have a negative effect on </w:t>
      </w:r>
      <w:r w:rsidRPr="00785D3D">
        <w:t>AD</w:t>
      </w:r>
      <w:r w:rsidRPr="00104DDD">
        <w:t xml:space="preserve"> and the achievement of the domestic macroeconomic goal of full employment</w:t>
      </w:r>
      <w:r w:rsidR="00016789" w:rsidRPr="00104DDD">
        <w:t>’</w:t>
      </w:r>
      <w:r w:rsidRPr="00104DDD">
        <w:t xml:space="preserve">. Many students </w:t>
      </w:r>
      <w:r w:rsidR="00AB1889">
        <w:t xml:space="preserve">did not </w:t>
      </w:r>
      <w:r w:rsidR="00016789" w:rsidRPr="00104DDD">
        <w:t>r</w:t>
      </w:r>
      <w:r w:rsidRPr="00104DDD">
        <w:t xml:space="preserve">efer to the role of the asset prices/wealth channel </w:t>
      </w:r>
      <w:r w:rsidR="00016789" w:rsidRPr="00104DDD">
        <w:t xml:space="preserve">in causing the fall in house prices, and instead commenced their response by explaining how lower house prices can have a negative impact on </w:t>
      </w:r>
      <w:r w:rsidR="00016789" w:rsidRPr="00785D3D">
        <w:t>AD</w:t>
      </w:r>
      <w:r w:rsidR="00016789" w:rsidRPr="00104DDD">
        <w:t xml:space="preserve"> and full employment.</w:t>
      </w:r>
      <w:r w:rsidR="00F87ED6">
        <w:t xml:space="preserve"> </w:t>
      </w:r>
      <w:r w:rsidR="00016789" w:rsidRPr="00104DDD">
        <w:t xml:space="preserve">In many cases, students also </w:t>
      </w:r>
      <w:r w:rsidR="007C0790">
        <w:t>did not</w:t>
      </w:r>
      <w:r w:rsidR="00016789" w:rsidRPr="00104DDD">
        <w:t xml:space="preserve"> extend their response beyond the link to unemployment and therefore demonstrate some understanding of the goal of full employment.</w:t>
      </w:r>
    </w:p>
    <w:p w14:paraId="64421CB2" w14:textId="7F1BE322" w:rsidR="00016789" w:rsidRPr="00104DDD" w:rsidRDefault="00016789" w:rsidP="00104DDD">
      <w:pPr>
        <w:pStyle w:val="VCAAbody"/>
      </w:pPr>
      <w:r w:rsidRPr="00104DDD">
        <w:t xml:space="preserve">Other examples </w:t>
      </w:r>
      <w:r w:rsidR="00C14E0E">
        <w:t xml:space="preserve">where students did not respond to the whole question </w:t>
      </w:r>
      <w:r w:rsidRPr="00104DDD">
        <w:t>included the following:</w:t>
      </w:r>
    </w:p>
    <w:p w14:paraId="7818F749" w14:textId="7AEADE95" w:rsidR="005534B8" w:rsidRPr="003C0A2F" w:rsidRDefault="002E19A3" w:rsidP="00D75026">
      <w:pPr>
        <w:pStyle w:val="VCAAbullet"/>
      </w:pPr>
      <w:r w:rsidRPr="003C0A2F">
        <w:t>Question 1a</w:t>
      </w:r>
      <w:r w:rsidR="00D31BCA" w:rsidRPr="003C0A2F">
        <w:t>.</w:t>
      </w:r>
      <w:r w:rsidRPr="003C0A2F">
        <w:t xml:space="preserve"> specifically required students to make </w:t>
      </w:r>
      <w:r w:rsidR="00016789">
        <w:t>‘</w:t>
      </w:r>
      <w:r w:rsidR="00016789" w:rsidRPr="00016789">
        <w:t>reference to at least one economic indicator</w:t>
      </w:r>
      <w:r w:rsidR="00016789">
        <w:t>’</w:t>
      </w:r>
      <w:r w:rsidR="00B24B59" w:rsidRPr="003C0A2F">
        <w:t xml:space="preserve"> </w:t>
      </w:r>
    </w:p>
    <w:p w14:paraId="55C57856" w14:textId="2DFDA429" w:rsidR="00DC5808" w:rsidRPr="003C0A2F" w:rsidRDefault="00DC0EEF" w:rsidP="00D75026">
      <w:pPr>
        <w:pStyle w:val="VCAAbullet"/>
      </w:pPr>
      <w:r w:rsidRPr="003C0A2F">
        <w:t>Question 3</w:t>
      </w:r>
      <w:r w:rsidR="00016789">
        <w:t>a</w:t>
      </w:r>
      <w:r w:rsidR="00D31BCA" w:rsidRPr="003C0A2F">
        <w:t>.</w:t>
      </w:r>
      <w:r w:rsidRPr="003C0A2F">
        <w:t xml:space="preserve"> required students to make ‘reference </w:t>
      </w:r>
      <w:r w:rsidR="00016789" w:rsidRPr="00016789">
        <w:t>to the table above</w:t>
      </w:r>
      <w:r w:rsidR="00016789">
        <w:t>’</w:t>
      </w:r>
    </w:p>
    <w:p w14:paraId="71D558DF" w14:textId="40B2553F" w:rsidR="00DC5808" w:rsidRPr="003C0A2F" w:rsidRDefault="00DC0EEF" w:rsidP="00D75026">
      <w:pPr>
        <w:pStyle w:val="VCAAbullet"/>
      </w:pPr>
      <w:r w:rsidRPr="003C0A2F">
        <w:t>Question 4b</w:t>
      </w:r>
      <w:r w:rsidR="00D31BCA" w:rsidRPr="003C0A2F">
        <w:t>.</w:t>
      </w:r>
      <w:r w:rsidRPr="003C0A2F">
        <w:t xml:space="preserve"> required students to </w:t>
      </w:r>
      <w:r w:rsidR="00016789">
        <w:t>c</w:t>
      </w:r>
      <w:r w:rsidR="00016789" w:rsidRPr="00016789">
        <w:t xml:space="preserve">onstruct a </w:t>
      </w:r>
      <w:r w:rsidR="000F2747">
        <w:t>‘</w:t>
      </w:r>
      <w:r w:rsidR="00016789" w:rsidRPr="00270206">
        <w:t>fully labelled</w:t>
      </w:r>
      <w:r w:rsidR="000F2747">
        <w:t>’</w:t>
      </w:r>
      <w:r w:rsidR="00016789" w:rsidRPr="00016789">
        <w:t xml:space="preserve"> demand and supply diagram</w:t>
      </w:r>
      <w:r w:rsidR="00AB1889">
        <w:t>.</w:t>
      </w:r>
    </w:p>
    <w:p w14:paraId="7899B068" w14:textId="03AC1A86" w:rsidR="005566FA" w:rsidRPr="00104DDD" w:rsidRDefault="007C0790" w:rsidP="00104DDD">
      <w:pPr>
        <w:pStyle w:val="VCAAbody"/>
      </w:pPr>
      <w:r>
        <w:t>Overall</w:t>
      </w:r>
      <w:r w:rsidR="00561198">
        <w:t>,</w:t>
      </w:r>
      <w:r w:rsidR="00B13626" w:rsidRPr="00104DDD">
        <w:t xml:space="preserve"> students </w:t>
      </w:r>
      <w:r>
        <w:t>prepared high</w:t>
      </w:r>
      <w:r w:rsidR="0030301D">
        <w:t>-</w:t>
      </w:r>
      <w:r>
        <w:t xml:space="preserve">quality responses to </w:t>
      </w:r>
      <w:r w:rsidR="00B13626" w:rsidRPr="00104DDD">
        <w:t>q</w:t>
      </w:r>
      <w:r w:rsidR="005566FA" w:rsidRPr="00104DDD">
        <w:t xml:space="preserve">uestions </w:t>
      </w:r>
      <w:r>
        <w:t>covering</w:t>
      </w:r>
      <w:r w:rsidR="005566FA" w:rsidRPr="00104DDD">
        <w:t xml:space="preserve"> the following </w:t>
      </w:r>
      <w:r>
        <w:t xml:space="preserve">key </w:t>
      </w:r>
      <w:r w:rsidR="005566FA" w:rsidRPr="00104DDD">
        <w:t xml:space="preserve">knowledge </w:t>
      </w:r>
      <w:r>
        <w:t xml:space="preserve">areas </w:t>
      </w:r>
      <w:r w:rsidR="005566FA" w:rsidRPr="00104DDD">
        <w:t>and skills:</w:t>
      </w:r>
    </w:p>
    <w:p w14:paraId="70A2D7FD" w14:textId="13D3F473" w:rsidR="00070BF0" w:rsidRDefault="00070BF0" w:rsidP="00D75026">
      <w:pPr>
        <w:pStyle w:val="VCAAbullet"/>
      </w:pPr>
      <w:r w:rsidRPr="00070BF0">
        <w:t>types of market failure, including public goods, externalities, asymmetric information and common access resources</w:t>
      </w:r>
      <w:r w:rsidR="00EC458C">
        <w:t xml:space="preserve"> </w:t>
      </w:r>
      <w:r w:rsidR="00EC458C" w:rsidRPr="003C0A2F">
        <w:t xml:space="preserve">(Question </w:t>
      </w:r>
      <w:r w:rsidR="00EC458C">
        <w:t>4c</w:t>
      </w:r>
      <w:r w:rsidR="000B2423">
        <w:t>.</w:t>
      </w:r>
      <w:r w:rsidR="00EC458C" w:rsidRPr="003C0A2F">
        <w:t>)</w:t>
      </w:r>
    </w:p>
    <w:p w14:paraId="31792AD0" w14:textId="2157A4FA" w:rsidR="00EC458C" w:rsidRDefault="00EC458C" w:rsidP="00D75026">
      <w:pPr>
        <w:pStyle w:val="VCAAbullet"/>
      </w:pPr>
      <w:r w:rsidRPr="00EC458C">
        <w:t>the business cycle and its causes</w:t>
      </w:r>
      <w:r>
        <w:t xml:space="preserve"> </w:t>
      </w:r>
      <w:r w:rsidRPr="003C0A2F">
        <w:t>(Question</w:t>
      </w:r>
      <w:r>
        <w:t>s 1a</w:t>
      </w:r>
      <w:r w:rsidR="000B2423">
        <w:t>.</w:t>
      </w:r>
      <w:r>
        <w:t xml:space="preserve"> and 1b</w:t>
      </w:r>
      <w:r w:rsidR="000B2423">
        <w:t>.</w:t>
      </w:r>
      <w:r w:rsidRPr="003C0A2F">
        <w:t>)</w:t>
      </w:r>
    </w:p>
    <w:p w14:paraId="437AA852" w14:textId="335C65E6" w:rsidR="00EC458C" w:rsidRDefault="00EC458C" w:rsidP="00D75026">
      <w:pPr>
        <w:pStyle w:val="VCAAbullet"/>
      </w:pPr>
      <w:r w:rsidRPr="00EC458C">
        <w:t>the meaning of the goal of strong and sustainable economic growth</w:t>
      </w:r>
      <w:r>
        <w:t xml:space="preserve"> </w:t>
      </w:r>
      <w:r w:rsidRPr="003C0A2F">
        <w:t xml:space="preserve">(Question </w:t>
      </w:r>
      <w:r>
        <w:t>1c</w:t>
      </w:r>
      <w:r w:rsidR="000B2423">
        <w:t>.</w:t>
      </w:r>
      <w:r w:rsidRPr="003C0A2F">
        <w:t>)</w:t>
      </w:r>
    </w:p>
    <w:p w14:paraId="1CD0BC0F" w14:textId="385AA998" w:rsidR="00070BF0" w:rsidRDefault="000B2423" w:rsidP="00D75026">
      <w:pPr>
        <w:pStyle w:val="VCAAbullet"/>
      </w:pPr>
      <w:r>
        <w:t xml:space="preserve">the </w:t>
      </w:r>
      <w:r w:rsidR="00EC458C" w:rsidRPr="00EC458C">
        <w:t>consequences of not achieving the goal of strong and sustainable economic growth and its effect on living standards, including environmental degradation, external pressures, high inflation if growth is too high, and high unemployment if growth is too low</w:t>
      </w:r>
      <w:r w:rsidR="00EC458C">
        <w:t xml:space="preserve"> </w:t>
      </w:r>
      <w:r w:rsidR="00EC458C" w:rsidRPr="003C0A2F">
        <w:t xml:space="preserve">(Question </w:t>
      </w:r>
      <w:r w:rsidR="00EC458C">
        <w:t>1c</w:t>
      </w:r>
      <w:r>
        <w:t>.</w:t>
      </w:r>
      <w:r w:rsidR="00EC458C" w:rsidRPr="003C0A2F">
        <w:t>)</w:t>
      </w:r>
    </w:p>
    <w:p w14:paraId="322CA204" w14:textId="5A449DF6" w:rsidR="00EC458C" w:rsidRDefault="00EC458C" w:rsidP="00D75026">
      <w:pPr>
        <w:pStyle w:val="VCAAbullet"/>
      </w:pPr>
      <w:r w:rsidRPr="00EC458C">
        <w:t>the meaning of the goal of full employment</w:t>
      </w:r>
      <w:r>
        <w:t xml:space="preserve"> </w:t>
      </w:r>
      <w:r w:rsidRPr="003C0A2F">
        <w:t>(Question</w:t>
      </w:r>
      <w:r>
        <w:t xml:space="preserve"> 4d</w:t>
      </w:r>
      <w:r w:rsidR="000B2423">
        <w:t>.</w:t>
      </w:r>
      <w:r w:rsidRPr="003C0A2F">
        <w:t>)</w:t>
      </w:r>
    </w:p>
    <w:p w14:paraId="13C2BCA9" w14:textId="4E63FD7D" w:rsidR="00EC458C" w:rsidRDefault="00EC458C" w:rsidP="00D75026">
      <w:pPr>
        <w:pStyle w:val="VCAAbullet"/>
      </w:pPr>
      <w:r w:rsidRPr="00EC458C">
        <w:t>the role of discretionary stabilisers (structural component of the budget) in influencing aggregate demand and stabilising the business cycle</w:t>
      </w:r>
      <w:r>
        <w:t xml:space="preserve"> </w:t>
      </w:r>
      <w:r w:rsidRPr="003C0A2F">
        <w:t xml:space="preserve">(Question </w:t>
      </w:r>
      <w:r>
        <w:t>3c</w:t>
      </w:r>
      <w:r w:rsidR="000B2423">
        <w:t>.</w:t>
      </w:r>
      <w:r w:rsidRPr="003C0A2F">
        <w:t>)</w:t>
      </w:r>
    </w:p>
    <w:p w14:paraId="6E4C45FD" w14:textId="74FBA16F" w:rsidR="00EC458C" w:rsidRDefault="00EC458C" w:rsidP="00D75026">
      <w:pPr>
        <w:pStyle w:val="VCAAbullet"/>
      </w:pPr>
      <w:r w:rsidRPr="00EC458C">
        <w:t>the strengths and weaknesses of using budgetary policy to affect aggregate demand and influence the achievement of the domestic macroeconomic goals and living standards</w:t>
      </w:r>
      <w:r>
        <w:t xml:space="preserve"> </w:t>
      </w:r>
      <w:r w:rsidRPr="003C0A2F">
        <w:t xml:space="preserve">(Question </w:t>
      </w:r>
      <w:r>
        <w:t>3d</w:t>
      </w:r>
      <w:r w:rsidR="000B2423">
        <w:t>.</w:t>
      </w:r>
      <w:r w:rsidRPr="003C0A2F">
        <w:t>)</w:t>
      </w:r>
    </w:p>
    <w:p w14:paraId="012CF09C" w14:textId="2FB9D1C5" w:rsidR="0035211E" w:rsidRDefault="0035211E" w:rsidP="00D75026">
      <w:pPr>
        <w:pStyle w:val="VCAAbullet"/>
      </w:pPr>
      <w:r w:rsidRPr="0035211E">
        <w:t>the effect of skilled immigration policy on population, productivity and participation and the subsequent effect on productive capacity, aggregate supply, international competitiveness, the achievement of domestic macroeconomic goals, and living standards</w:t>
      </w:r>
      <w:r>
        <w:t xml:space="preserve"> (</w:t>
      </w:r>
      <w:r w:rsidRPr="003C0A2F">
        <w:t>Question</w:t>
      </w:r>
      <w:r>
        <w:t xml:space="preserve"> 5b</w:t>
      </w:r>
      <w:r w:rsidR="000B2423">
        <w:t>.</w:t>
      </w:r>
      <w:r w:rsidRPr="003C0A2F">
        <w:t>)</w:t>
      </w:r>
    </w:p>
    <w:p w14:paraId="7269EF42" w14:textId="09D38815" w:rsidR="004B5307" w:rsidRDefault="004B5307" w:rsidP="00D75026">
      <w:pPr>
        <w:pStyle w:val="VCAAbullet"/>
      </w:pPr>
      <w:r w:rsidRPr="004B5307">
        <w:t>explain</w:t>
      </w:r>
      <w:r w:rsidR="000B2423">
        <w:t>ing</w:t>
      </w:r>
      <w:r w:rsidRPr="004B5307">
        <w:t xml:space="preserve"> and interpret</w:t>
      </w:r>
      <w:r w:rsidR="000B2423">
        <w:t>ing</w:t>
      </w:r>
      <w:r w:rsidRPr="004B5307">
        <w:t xml:space="preserve"> trends and patterns in economic data and other information</w:t>
      </w:r>
      <w:r>
        <w:t xml:space="preserve"> (</w:t>
      </w:r>
      <w:r w:rsidRPr="003C0A2F">
        <w:t>Question</w:t>
      </w:r>
      <w:r>
        <w:t>s 2a</w:t>
      </w:r>
      <w:r w:rsidR="000B2423">
        <w:t>.</w:t>
      </w:r>
      <w:r>
        <w:t xml:space="preserve"> and 2c</w:t>
      </w:r>
      <w:r w:rsidR="000B2423">
        <w:t>.</w:t>
      </w:r>
      <w:r>
        <w:t>)</w:t>
      </w:r>
    </w:p>
    <w:p w14:paraId="349E4530" w14:textId="1CA02327" w:rsidR="001E4D9F" w:rsidRDefault="001E4D9F" w:rsidP="00D75026">
      <w:pPr>
        <w:pStyle w:val="VCAAbullet"/>
      </w:pPr>
      <w:r w:rsidRPr="001E4D9F">
        <w:t>predict</w:t>
      </w:r>
      <w:r w:rsidR="000B2423">
        <w:t>ing</w:t>
      </w:r>
      <w:r w:rsidRPr="001E4D9F">
        <w:t xml:space="preserve"> the impact of changes in aggregate demand policies on the achievement of the domestic macroeconomic goals and living standards</w:t>
      </w:r>
      <w:r>
        <w:t xml:space="preserve"> (</w:t>
      </w:r>
      <w:r w:rsidRPr="003C0A2F">
        <w:t>Question</w:t>
      </w:r>
      <w:r>
        <w:t xml:space="preserve"> 3c</w:t>
      </w:r>
      <w:r w:rsidR="000B2423">
        <w:t>.</w:t>
      </w:r>
      <w:r w:rsidRPr="003C0A2F">
        <w:t>)</w:t>
      </w:r>
      <w:r w:rsidR="0030301D">
        <w:t>.</w:t>
      </w:r>
    </w:p>
    <w:p w14:paraId="24E2BE37" w14:textId="4E9F0E96" w:rsidR="005566FA" w:rsidRPr="00104DDD" w:rsidRDefault="007C0790" w:rsidP="00104DDD">
      <w:pPr>
        <w:pStyle w:val="VCAAbody"/>
      </w:pPr>
      <w:r>
        <w:t>The</w:t>
      </w:r>
      <w:r w:rsidR="005566FA" w:rsidRPr="00104DDD">
        <w:t xml:space="preserve"> following skills and knowledge areas</w:t>
      </w:r>
      <w:r>
        <w:t xml:space="preserve"> should be addressed by teachers as many students demonstrated a lack of depth in their responses to the questions listed</w:t>
      </w:r>
      <w:r w:rsidR="005566FA" w:rsidRPr="00104DDD">
        <w:t>:</w:t>
      </w:r>
    </w:p>
    <w:p w14:paraId="2045F437" w14:textId="618EF389" w:rsidR="001228E1" w:rsidRDefault="004146CB" w:rsidP="00D75026">
      <w:pPr>
        <w:pStyle w:val="VCAAbullet"/>
      </w:pPr>
      <w:r w:rsidRPr="003C0A2F">
        <w:t>construct and interpret demand and supply diagrams</w:t>
      </w:r>
      <w:r w:rsidR="005233BA" w:rsidRPr="003C0A2F">
        <w:t xml:space="preserve"> (Question 4c</w:t>
      </w:r>
      <w:r w:rsidR="000B2423">
        <w:t>.</w:t>
      </w:r>
      <w:r w:rsidR="005233BA" w:rsidRPr="003C0A2F">
        <w:t>)</w:t>
      </w:r>
    </w:p>
    <w:p w14:paraId="0054298F" w14:textId="3D2E69CE" w:rsidR="00EC458C" w:rsidRDefault="00EC458C" w:rsidP="00D75026">
      <w:pPr>
        <w:pStyle w:val="VCAAbullet"/>
      </w:pPr>
      <w:r w:rsidRPr="00EC458C">
        <w:t>the difference between the headline and underlying (core) rate of inflation</w:t>
      </w:r>
      <w:r>
        <w:t xml:space="preserve"> </w:t>
      </w:r>
      <w:r w:rsidRPr="003C0A2F">
        <w:t xml:space="preserve">(Question </w:t>
      </w:r>
      <w:r>
        <w:t>1d</w:t>
      </w:r>
      <w:r w:rsidR="000B2423">
        <w:t>.</w:t>
      </w:r>
      <w:r w:rsidRPr="003C0A2F">
        <w:t>)</w:t>
      </w:r>
    </w:p>
    <w:p w14:paraId="7FD1E436" w14:textId="5A731C18" w:rsidR="00EC458C" w:rsidRDefault="00EC458C" w:rsidP="00D75026">
      <w:pPr>
        <w:pStyle w:val="VCAAbullet"/>
      </w:pPr>
      <w:r w:rsidRPr="00EC458C">
        <w:lastRenderedPageBreak/>
        <w:t>non-price factors likely to affect supply and the position of the supply curve, including changes in the costs of production, number of suppliers, technology, productivity and climatic conditions</w:t>
      </w:r>
      <w:r>
        <w:t xml:space="preserve"> (Questions 4a</w:t>
      </w:r>
      <w:r w:rsidR="000B2423">
        <w:t>.</w:t>
      </w:r>
      <w:r>
        <w:t xml:space="preserve"> and 4b</w:t>
      </w:r>
      <w:r w:rsidR="000B2423">
        <w:t>.</w:t>
      </w:r>
      <w:r>
        <w:t>)</w:t>
      </w:r>
    </w:p>
    <w:p w14:paraId="6C1C01EC" w14:textId="76924E2B" w:rsidR="00EC458C" w:rsidRDefault="00EC458C" w:rsidP="00D75026">
      <w:pPr>
        <w:pStyle w:val="VCAAbullet"/>
      </w:pPr>
      <w:r w:rsidRPr="00EC458C">
        <w:t>the effect of movements in the terms of trade and the exchange rate, and changes in international competitiveness on the domestic macroeconomic goals and living standards</w:t>
      </w:r>
      <w:r>
        <w:t xml:space="preserve"> </w:t>
      </w:r>
      <w:r w:rsidRPr="003C0A2F">
        <w:t>(Question 2c</w:t>
      </w:r>
      <w:r w:rsidR="000B2423">
        <w:t>.</w:t>
      </w:r>
      <w:r w:rsidRPr="003C0A2F">
        <w:t>)</w:t>
      </w:r>
    </w:p>
    <w:p w14:paraId="0D89B506" w14:textId="142AB958" w:rsidR="00EC458C" w:rsidRDefault="00EC458C" w:rsidP="00D75026">
      <w:pPr>
        <w:pStyle w:val="VCAAbullet"/>
      </w:pPr>
      <w:r w:rsidRPr="00EC458C">
        <w:t>the relationship between the budget outcome and the level of public debt</w:t>
      </w:r>
      <w:r>
        <w:t xml:space="preserve"> (</w:t>
      </w:r>
      <w:r w:rsidRPr="003C0A2F">
        <w:t>Question</w:t>
      </w:r>
      <w:r>
        <w:t xml:space="preserve"> 3a</w:t>
      </w:r>
      <w:r w:rsidR="000B2423">
        <w:t>.</w:t>
      </w:r>
      <w:r w:rsidRPr="003C0A2F">
        <w:t>)</w:t>
      </w:r>
    </w:p>
    <w:p w14:paraId="4D0DCADE" w14:textId="499A6121" w:rsidR="00EC458C" w:rsidRDefault="00EC458C" w:rsidP="00D75026">
      <w:pPr>
        <w:pStyle w:val="VCAAbullet"/>
      </w:pPr>
      <w:r w:rsidRPr="00EC458C">
        <w:t>the stance of budgetary policy: expansionary or contractionary</w:t>
      </w:r>
      <w:r>
        <w:t xml:space="preserve"> (</w:t>
      </w:r>
      <w:r w:rsidRPr="003C0A2F">
        <w:t>Question</w:t>
      </w:r>
      <w:r>
        <w:t xml:space="preserve"> 3b</w:t>
      </w:r>
      <w:r w:rsidR="000B2423">
        <w:t>.</w:t>
      </w:r>
      <w:r w:rsidRPr="003C0A2F">
        <w:t>)</w:t>
      </w:r>
    </w:p>
    <w:p w14:paraId="361F1A88" w14:textId="0DF20B82" w:rsidR="00EC458C" w:rsidRDefault="00EC458C" w:rsidP="00D75026">
      <w:pPr>
        <w:pStyle w:val="VCAAbullet"/>
      </w:pPr>
      <w:r w:rsidRPr="00EC458C">
        <w:t>the stance of monetary policy: expansionary (accommodative), contractionary (restrictive) or neutral</w:t>
      </w:r>
      <w:r>
        <w:t xml:space="preserve"> (</w:t>
      </w:r>
      <w:r w:rsidRPr="003C0A2F">
        <w:t>Question</w:t>
      </w:r>
      <w:r>
        <w:t xml:space="preserve"> 3b</w:t>
      </w:r>
      <w:r w:rsidR="000B2423">
        <w:t>.</w:t>
      </w:r>
      <w:r w:rsidRPr="003C0A2F">
        <w:t>)</w:t>
      </w:r>
    </w:p>
    <w:p w14:paraId="4073D0F4" w14:textId="193AED9E" w:rsidR="00EC458C" w:rsidRDefault="0035211E" w:rsidP="00D75026">
      <w:pPr>
        <w:pStyle w:val="VCAAbullet"/>
      </w:pPr>
      <w:r w:rsidRPr="0035211E">
        <w:t>transmission mechanism of monetary policy and its effect on the level of aggregate demand, including the four channels of savings and investment, cash-flow, exchange rate, and asset prices and wealth</w:t>
      </w:r>
      <w:r>
        <w:t xml:space="preserve"> (</w:t>
      </w:r>
      <w:r w:rsidRPr="003C0A2F">
        <w:t>Question</w:t>
      </w:r>
      <w:r>
        <w:t xml:space="preserve"> 4d</w:t>
      </w:r>
      <w:r w:rsidR="000B2423">
        <w:t>.</w:t>
      </w:r>
      <w:r w:rsidRPr="003C0A2F">
        <w:t>)</w:t>
      </w:r>
    </w:p>
    <w:p w14:paraId="1E558676" w14:textId="760B442F" w:rsidR="00EC458C" w:rsidRDefault="0035211E" w:rsidP="00D75026">
      <w:pPr>
        <w:pStyle w:val="VCAAbullet"/>
      </w:pPr>
      <w:r w:rsidRPr="0035211E">
        <w:t>the use of aggregate supply policies to complement aggregate demand policies in promoting non-inflationary economic growth over time</w:t>
      </w:r>
      <w:r>
        <w:t xml:space="preserve"> (</w:t>
      </w:r>
      <w:r w:rsidRPr="003C0A2F">
        <w:t>Question</w:t>
      </w:r>
      <w:r>
        <w:t xml:space="preserve"> 5a</w:t>
      </w:r>
      <w:r w:rsidR="000B2423">
        <w:t>.</w:t>
      </w:r>
      <w:r w:rsidRPr="003C0A2F">
        <w:t>)</w:t>
      </w:r>
    </w:p>
    <w:p w14:paraId="783E0033" w14:textId="5471B8F5" w:rsidR="0035211E" w:rsidRDefault="0035211E" w:rsidP="00D75026">
      <w:pPr>
        <w:pStyle w:val="VCAAbullet"/>
      </w:pPr>
      <w:r w:rsidRPr="0035211E">
        <w:t>one market-based environmental policy and its short-term and long-term effects on aggregate supply, intertemporal efficiency and living standards</w:t>
      </w:r>
      <w:r>
        <w:t xml:space="preserve"> (</w:t>
      </w:r>
      <w:r w:rsidRPr="003C0A2F">
        <w:t>Question</w:t>
      </w:r>
      <w:r>
        <w:t xml:space="preserve"> 5c</w:t>
      </w:r>
      <w:r w:rsidR="000B2423">
        <w:t>.</w:t>
      </w:r>
      <w:r w:rsidRPr="003C0A2F">
        <w:t>)</w:t>
      </w:r>
    </w:p>
    <w:p w14:paraId="675F0AA8" w14:textId="6ADCF8D4" w:rsidR="00EC458C" w:rsidRDefault="004B5307" w:rsidP="00D75026">
      <w:pPr>
        <w:pStyle w:val="VCAAbullet"/>
      </w:pPr>
      <w:r w:rsidRPr="004B5307">
        <w:t>us</w:t>
      </w:r>
      <w:r w:rsidR="000B2423">
        <w:t>ing</w:t>
      </w:r>
      <w:r w:rsidRPr="004B5307">
        <w:t xml:space="preserve"> economic data and information to analyse economic issues and form conclusions</w:t>
      </w:r>
      <w:r>
        <w:t xml:space="preserve"> (Question 3a</w:t>
      </w:r>
      <w:r w:rsidR="000B2423">
        <w:t>.</w:t>
      </w:r>
      <w:r>
        <w:t>)</w:t>
      </w:r>
    </w:p>
    <w:p w14:paraId="47DA7AE2" w14:textId="7E567D76" w:rsidR="004B5307" w:rsidRDefault="004B5307" w:rsidP="00D75026">
      <w:pPr>
        <w:pStyle w:val="VCAAbullet"/>
      </w:pPr>
      <w:r w:rsidRPr="004B5307">
        <w:t>analys</w:t>
      </w:r>
      <w:r w:rsidR="000B2423">
        <w:t>ing</w:t>
      </w:r>
      <w:r w:rsidRPr="004B5307">
        <w:t xml:space="preserve"> the effect of current factors on the setting of aggregate demand policies and living standards</w:t>
      </w:r>
      <w:r>
        <w:t xml:space="preserve"> (Question 3b</w:t>
      </w:r>
      <w:r w:rsidR="000B2423">
        <w:t>.</w:t>
      </w:r>
      <w:r>
        <w:t>)</w:t>
      </w:r>
      <w:r w:rsidR="007C5105">
        <w:t>.</w:t>
      </w:r>
    </w:p>
    <w:p w14:paraId="4B16E920" w14:textId="0C59B2FC" w:rsidR="005566FA" w:rsidRPr="00104DDD" w:rsidRDefault="005566FA" w:rsidP="00104DDD">
      <w:pPr>
        <w:pStyle w:val="VCAAbody"/>
      </w:pPr>
      <w:bookmarkStart w:id="1" w:name="_Hlk82963309"/>
      <w:r w:rsidRPr="00104DDD">
        <w:t>Students are advised to develop a</w:t>
      </w:r>
      <w:r w:rsidR="00AC7363" w:rsidRPr="00104DDD">
        <w:t>n</w:t>
      </w:r>
      <w:r w:rsidRPr="00104DDD">
        <w:t xml:space="preserve"> understanding of the following terms and concepts</w:t>
      </w:r>
      <w:r w:rsidR="001A1B13" w:rsidRPr="00104DDD">
        <w:t>,</w:t>
      </w:r>
      <w:r w:rsidRPr="00104DDD">
        <w:t xml:space="preserve"> as many students demonstrated gaps in knowledge:</w:t>
      </w:r>
    </w:p>
    <w:bookmarkEnd w:id="1"/>
    <w:p w14:paraId="54CB54FB" w14:textId="33BE751A" w:rsidR="0035211E" w:rsidRPr="003C0A2F" w:rsidRDefault="0035211E" w:rsidP="00D75026">
      <w:pPr>
        <w:pStyle w:val="VCAAbullet"/>
      </w:pPr>
      <w:r w:rsidRPr="003C0A2F">
        <w:t xml:space="preserve">the differences between </w:t>
      </w:r>
      <w:r>
        <w:t>the headline and underlying rates of inflation</w:t>
      </w:r>
      <w:r w:rsidRPr="003C0A2F">
        <w:t xml:space="preserve"> (Question</w:t>
      </w:r>
      <w:r>
        <w:t xml:space="preserve"> 1d</w:t>
      </w:r>
      <w:r w:rsidR="00B12DBF">
        <w:t>.</w:t>
      </w:r>
      <w:r w:rsidRPr="003C0A2F">
        <w:t>)</w:t>
      </w:r>
    </w:p>
    <w:p w14:paraId="17880537" w14:textId="26E41D4F" w:rsidR="0035211E" w:rsidRPr="003C0A2F" w:rsidRDefault="0035211E" w:rsidP="00D75026">
      <w:pPr>
        <w:pStyle w:val="VCAAbullet"/>
      </w:pPr>
      <w:r>
        <w:t>how tariff reductions or trade liberalisation</w:t>
      </w:r>
      <w:r w:rsidRPr="003C0A2F">
        <w:t xml:space="preserve"> </w:t>
      </w:r>
      <w:r>
        <w:t xml:space="preserve">influences the allocation of resources </w:t>
      </w:r>
      <w:r w:rsidRPr="003C0A2F">
        <w:t>(Question 2a</w:t>
      </w:r>
      <w:r w:rsidR="00B12DBF">
        <w:t>.</w:t>
      </w:r>
      <w:r w:rsidRPr="003C0A2F">
        <w:t>)</w:t>
      </w:r>
    </w:p>
    <w:p w14:paraId="583CD543" w14:textId="1C1B564D" w:rsidR="0035211E" w:rsidRDefault="0035211E" w:rsidP="00D75026">
      <w:pPr>
        <w:pStyle w:val="VCAAbullet"/>
      </w:pPr>
      <w:r>
        <w:t>how an exchange rate depreciation affects living standards</w:t>
      </w:r>
      <w:r w:rsidRPr="003C0A2F">
        <w:t xml:space="preserve"> (Question 2c</w:t>
      </w:r>
      <w:r w:rsidR="00B12DBF">
        <w:t>.</w:t>
      </w:r>
      <w:r w:rsidRPr="003C0A2F">
        <w:t>)</w:t>
      </w:r>
    </w:p>
    <w:p w14:paraId="1BA3E67E" w14:textId="151C2466" w:rsidR="00D173F5" w:rsidRDefault="00D173F5" w:rsidP="00D75026">
      <w:pPr>
        <w:pStyle w:val="VCAAbullet"/>
      </w:pPr>
      <w:r>
        <w:t xml:space="preserve">the relationship between the term of trade and the exchange rate </w:t>
      </w:r>
      <w:r w:rsidRPr="003C0A2F">
        <w:t>(Question 2</w:t>
      </w:r>
      <w:r>
        <w:t>b</w:t>
      </w:r>
      <w:r w:rsidR="00B12DBF">
        <w:t>.</w:t>
      </w:r>
      <w:r w:rsidRPr="003C0A2F">
        <w:t>)</w:t>
      </w:r>
    </w:p>
    <w:p w14:paraId="36104A4C" w14:textId="215DE2D6" w:rsidR="00D173F5" w:rsidRPr="003C0A2F" w:rsidRDefault="00D173F5" w:rsidP="00D75026">
      <w:pPr>
        <w:pStyle w:val="VCAAbullet"/>
      </w:pPr>
      <w:r>
        <w:t>The relationship between changes in interest rates, capital inflow/outflow and the exchange rate (</w:t>
      </w:r>
      <w:r w:rsidRPr="003C0A2F">
        <w:t>Question 2</w:t>
      </w:r>
      <w:r>
        <w:t>b</w:t>
      </w:r>
      <w:r w:rsidR="00B12DBF">
        <w:t>.</w:t>
      </w:r>
      <w:r w:rsidRPr="003C0A2F">
        <w:t>)</w:t>
      </w:r>
    </w:p>
    <w:p w14:paraId="30CE53B7" w14:textId="31DA22EB" w:rsidR="0035211E" w:rsidRDefault="0035211E" w:rsidP="00D75026">
      <w:pPr>
        <w:pStyle w:val="VCAAbullet"/>
      </w:pPr>
      <w:r>
        <w:t>the relationship between the budget outcome and public debt</w:t>
      </w:r>
      <w:r w:rsidR="00C41D4F">
        <w:t xml:space="preserve">, and the </w:t>
      </w:r>
      <w:r w:rsidR="00B12DBF">
        <w:t xml:space="preserve">difference </w:t>
      </w:r>
      <w:r w:rsidR="00C41D4F">
        <w:t xml:space="preserve">between net government debt and net foreign debt </w:t>
      </w:r>
      <w:r w:rsidRPr="003C0A2F">
        <w:t>(Question 3a</w:t>
      </w:r>
      <w:r w:rsidR="00B12DBF">
        <w:t>.</w:t>
      </w:r>
      <w:r w:rsidRPr="003C0A2F">
        <w:t>)</w:t>
      </w:r>
    </w:p>
    <w:p w14:paraId="766E6E4A" w14:textId="42E12CCB" w:rsidR="0035211E" w:rsidRDefault="0035211E" w:rsidP="00D75026">
      <w:pPr>
        <w:pStyle w:val="VCAAbullet"/>
      </w:pPr>
      <w:proofErr w:type="gramStart"/>
      <w:r>
        <w:t>how</w:t>
      </w:r>
      <w:proofErr w:type="gramEnd"/>
      <w:r>
        <w:t xml:space="preserve"> current factors (e.g. unemployment rates and inflation rates) influence the stance of AD policies </w:t>
      </w:r>
      <w:r w:rsidRPr="003C0A2F">
        <w:t>(Question 3</w:t>
      </w:r>
      <w:r>
        <w:t>b</w:t>
      </w:r>
      <w:r w:rsidR="00B12DBF">
        <w:t>.</w:t>
      </w:r>
      <w:r w:rsidRPr="003C0A2F">
        <w:t>)</w:t>
      </w:r>
      <w:r>
        <w:t xml:space="preserve"> </w:t>
      </w:r>
    </w:p>
    <w:p w14:paraId="058A12C9" w14:textId="44D2001B" w:rsidR="0035211E" w:rsidRDefault="0035211E" w:rsidP="00D75026">
      <w:pPr>
        <w:pStyle w:val="VCAAbullet"/>
      </w:pPr>
      <w:r>
        <w:t xml:space="preserve">what factors will cause a movement along the demand curve </w:t>
      </w:r>
      <w:r w:rsidRPr="003C0A2F">
        <w:t xml:space="preserve">(Question </w:t>
      </w:r>
      <w:r>
        <w:t>4b</w:t>
      </w:r>
      <w:r w:rsidR="00B12DBF">
        <w:t>.</w:t>
      </w:r>
      <w:r w:rsidRPr="003C0A2F">
        <w:t>)</w:t>
      </w:r>
    </w:p>
    <w:p w14:paraId="1CFF4CEA" w14:textId="058F7219" w:rsidR="0035211E" w:rsidRDefault="0035211E" w:rsidP="00D75026">
      <w:pPr>
        <w:pStyle w:val="VCAAbullet"/>
      </w:pPr>
      <w:r>
        <w:t xml:space="preserve">how the </w:t>
      </w:r>
      <w:r w:rsidRPr="00070BF0">
        <w:t>asset prices and wealth channel of monetary policy</w:t>
      </w:r>
      <w:r>
        <w:t xml:space="preserve"> influences AD </w:t>
      </w:r>
      <w:r w:rsidRPr="003C0A2F">
        <w:t xml:space="preserve">(Question </w:t>
      </w:r>
      <w:r>
        <w:t>4d</w:t>
      </w:r>
      <w:r w:rsidR="00B12DBF">
        <w:t>.</w:t>
      </w:r>
      <w:r w:rsidRPr="003C0A2F">
        <w:t>)</w:t>
      </w:r>
    </w:p>
    <w:p w14:paraId="093660B6" w14:textId="5E7EED97" w:rsidR="0035211E" w:rsidRDefault="0035211E" w:rsidP="00D75026">
      <w:pPr>
        <w:pStyle w:val="VCAAbullet"/>
      </w:pPr>
      <w:r>
        <w:t xml:space="preserve">the complementary nature of AD and AS policies in achieving </w:t>
      </w:r>
      <w:r w:rsidRPr="00070BF0">
        <w:t xml:space="preserve">non-inflationary economic growth </w:t>
      </w:r>
      <w:r w:rsidRPr="003C0A2F">
        <w:t xml:space="preserve">(Question </w:t>
      </w:r>
      <w:r>
        <w:t>5a</w:t>
      </w:r>
      <w:r w:rsidR="00B12DBF">
        <w:t>.</w:t>
      </w:r>
      <w:r w:rsidRPr="003C0A2F">
        <w:t>)</w:t>
      </w:r>
    </w:p>
    <w:p w14:paraId="0628E656" w14:textId="4FFCD0E4" w:rsidR="0035211E" w:rsidRPr="003C0A2F" w:rsidRDefault="0035211E" w:rsidP="00D75026">
      <w:pPr>
        <w:pStyle w:val="VCAAbullet"/>
      </w:pPr>
      <w:r>
        <w:t>how a market</w:t>
      </w:r>
      <w:r w:rsidR="00D02B1E">
        <w:t>-</w:t>
      </w:r>
      <w:r>
        <w:t xml:space="preserve">based environmental policy uses the power of the market or the price mechanism to achieve a more intertemporally efficient allocation of resources </w:t>
      </w:r>
      <w:r w:rsidRPr="003C0A2F">
        <w:t xml:space="preserve">(Question </w:t>
      </w:r>
      <w:r>
        <w:t>5c</w:t>
      </w:r>
      <w:r w:rsidR="00B12DBF">
        <w:t>.</w:t>
      </w:r>
      <w:r w:rsidRPr="003C0A2F">
        <w:t>)</w:t>
      </w:r>
      <w:r>
        <w:t>.</w:t>
      </w:r>
    </w:p>
    <w:p w14:paraId="300E5DC9" w14:textId="77777777" w:rsidR="0015370C" w:rsidRPr="003C0A2F" w:rsidRDefault="0015370C" w:rsidP="001F4458">
      <w:pPr>
        <w:pStyle w:val="VCAAbody"/>
        <w:rPr>
          <w:lang w:val="en-AU"/>
        </w:rPr>
      </w:pPr>
      <w:r w:rsidRPr="003C0A2F">
        <w:rPr>
          <w:lang w:val="en-AU"/>
        </w:rPr>
        <w:br w:type="page"/>
      </w:r>
    </w:p>
    <w:p w14:paraId="49155957" w14:textId="63B4F455" w:rsidR="00F1252E" w:rsidRPr="003C0A2F" w:rsidRDefault="00F1252E" w:rsidP="00FC0C7D">
      <w:pPr>
        <w:pStyle w:val="VCAAHeading1"/>
        <w:rPr>
          <w:lang w:val="en-AU"/>
        </w:rPr>
      </w:pPr>
      <w:r w:rsidRPr="003C0A2F">
        <w:rPr>
          <w:lang w:val="en-AU"/>
        </w:rPr>
        <w:lastRenderedPageBreak/>
        <w:t>Specific information</w:t>
      </w:r>
    </w:p>
    <w:p w14:paraId="09250933" w14:textId="77777777" w:rsidR="00967822" w:rsidRPr="003C0A2F" w:rsidRDefault="00967822" w:rsidP="00967822">
      <w:pPr>
        <w:pStyle w:val="VCAAbody"/>
        <w:rPr>
          <w:lang w:val="en-AU"/>
        </w:rPr>
      </w:pPr>
      <w:r w:rsidRPr="003C0A2F">
        <w:rPr>
          <w:lang w:val="en-AU"/>
        </w:rPr>
        <w:t xml:space="preserve">Note: Student responses reproduced in this report have not been corrected for grammar, spelling or </w:t>
      </w:r>
      <w:proofErr w:type="gramStart"/>
      <w:r w:rsidRPr="003C0A2F">
        <w:rPr>
          <w:lang w:val="en-AU"/>
        </w:rPr>
        <w:t>factual information</w:t>
      </w:r>
      <w:proofErr w:type="gramEnd"/>
      <w:r w:rsidRPr="003C0A2F">
        <w:rPr>
          <w:lang w:val="en-AU"/>
        </w:rPr>
        <w:t>.</w:t>
      </w:r>
    </w:p>
    <w:p w14:paraId="6CDEA278" w14:textId="77777777" w:rsidR="00967822" w:rsidRPr="003C0A2F" w:rsidRDefault="00967822" w:rsidP="00967822">
      <w:pPr>
        <w:pStyle w:val="VCAAbody"/>
        <w:rPr>
          <w:lang w:val="en-AU"/>
        </w:rPr>
      </w:pPr>
      <w:r w:rsidRPr="003C0A2F">
        <w:rPr>
          <w:lang w:val="en-AU"/>
        </w:rPr>
        <w:t>This report provides sample answers, or an indication of what answers may have been included. Unless otherwise stated, these are not intended to be exemplary or complete responses.</w:t>
      </w:r>
    </w:p>
    <w:p w14:paraId="5311475B" w14:textId="125F6D42" w:rsidR="00D806FD" w:rsidRPr="003C0A2F" w:rsidRDefault="00F1252E" w:rsidP="00FC0C7D">
      <w:pPr>
        <w:pStyle w:val="VCAAbody"/>
        <w:rPr>
          <w:lang w:val="en-AU"/>
        </w:rPr>
      </w:pPr>
      <w:r w:rsidRPr="003C0A2F">
        <w:rPr>
          <w:lang w:val="en-AU"/>
        </w:rPr>
        <w:t>The statistics in this report may be subject to rounding resulting in a total more or less than 100 per cent.</w:t>
      </w:r>
    </w:p>
    <w:p w14:paraId="58EB4559" w14:textId="77777777" w:rsidR="00F1252E" w:rsidRPr="003C0A2F" w:rsidRDefault="00F1252E" w:rsidP="00FC0C7D">
      <w:pPr>
        <w:pStyle w:val="VCAAHeading2"/>
        <w:rPr>
          <w:lang w:val="en-AU"/>
        </w:rPr>
      </w:pPr>
      <w:r w:rsidRPr="003C0A2F">
        <w:rPr>
          <w:lang w:val="en-AU"/>
        </w:rPr>
        <w:t>Section A – Multiple-choice questions</w:t>
      </w:r>
    </w:p>
    <w:p w14:paraId="54D0589F" w14:textId="2A31BDAE" w:rsidR="00F1252E" w:rsidRPr="003C0A2F" w:rsidRDefault="00F1252E" w:rsidP="00FC0C7D">
      <w:pPr>
        <w:pStyle w:val="VCAAbody"/>
        <w:rPr>
          <w:lang w:val="en-AU"/>
        </w:rPr>
      </w:pPr>
      <w:r w:rsidRPr="003C0A2F">
        <w:rPr>
          <w:lang w:val="en-AU"/>
        </w:rPr>
        <w:t xml:space="preserve">The table below indicates the percentage of students who chose each option. </w:t>
      </w:r>
      <w:bookmarkStart w:id="2" w:name="_Hlk61604306"/>
      <w:bookmarkEnd w:id="2"/>
      <w:r w:rsidR="00477BAA">
        <w:rPr>
          <w:lang w:val="en-AU"/>
        </w:rPr>
        <w:t>Grey shading indicates the correct response.</w:t>
      </w:r>
    </w:p>
    <w:tbl>
      <w:tblPr>
        <w:tblStyle w:val="VCAATableClosed"/>
        <w:tblW w:w="0" w:type="auto"/>
        <w:tblLook w:val="04A0" w:firstRow="1" w:lastRow="0" w:firstColumn="1" w:lastColumn="0" w:noHBand="0" w:noVBand="1"/>
      </w:tblPr>
      <w:tblGrid>
        <w:gridCol w:w="1100"/>
        <w:gridCol w:w="809"/>
        <w:gridCol w:w="576"/>
        <w:gridCol w:w="576"/>
        <w:gridCol w:w="576"/>
        <w:gridCol w:w="576"/>
        <w:gridCol w:w="5280"/>
      </w:tblGrid>
      <w:tr w:rsidR="00967822" w:rsidRPr="003C0A2F" w14:paraId="2A486924" w14:textId="77777777" w:rsidTr="003B5AAC">
        <w:trPr>
          <w:cnfStyle w:val="100000000000" w:firstRow="1" w:lastRow="0" w:firstColumn="0" w:lastColumn="0" w:oddVBand="0" w:evenVBand="0" w:oddHBand="0" w:evenHBand="0" w:firstRowFirstColumn="0" w:firstRowLastColumn="0" w:lastRowFirstColumn="0" w:lastRowLastColumn="0"/>
        </w:trPr>
        <w:tc>
          <w:tcPr>
            <w:tcW w:w="1100" w:type="dxa"/>
          </w:tcPr>
          <w:p w14:paraId="58FD9AAD" w14:textId="77777777" w:rsidR="00967822" w:rsidRPr="003C0A2F" w:rsidRDefault="00967822" w:rsidP="00FC0C7D">
            <w:pPr>
              <w:pStyle w:val="VCAAtablecondensedheading"/>
              <w:rPr>
                <w:lang w:val="en-AU"/>
              </w:rPr>
            </w:pPr>
            <w:r w:rsidRPr="003C0A2F">
              <w:rPr>
                <w:lang w:val="en-AU"/>
              </w:rPr>
              <w:t>Question</w:t>
            </w:r>
          </w:p>
        </w:tc>
        <w:tc>
          <w:tcPr>
            <w:tcW w:w="809" w:type="dxa"/>
          </w:tcPr>
          <w:p w14:paraId="2732F537" w14:textId="38A7E4EE" w:rsidR="00967822" w:rsidRPr="003C0A2F" w:rsidRDefault="00967822" w:rsidP="00FC0C7D">
            <w:pPr>
              <w:pStyle w:val="VCAAtablecondensedheading"/>
              <w:rPr>
                <w:lang w:val="en-AU"/>
              </w:rPr>
            </w:pPr>
            <w:r w:rsidRPr="003C0A2F">
              <w:rPr>
                <w:lang w:val="en-AU"/>
              </w:rPr>
              <w:t xml:space="preserve">Correct </w:t>
            </w:r>
            <w:r w:rsidR="007F14D2" w:rsidRPr="003C0A2F">
              <w:rPr>
                <w:lang w:val="en-AU"/>
              </w:rPr>
              <w:t>a</w:t>
            </w:r>
            <w:r w:rsidRPr="003C0A2F">
              <w:rPr>
                <w:lang w:val="en-AU"/>
              </w:rPr>
              <w:t>nswer</w:t>
            </w:r>
          </w:p>
        </w:tc>
        <w:tc>
          <w:tcPr>
            <w:tcW w:w="576" w:type="dxa"/>
          </w:tcPr>
          <w:p w14:paraId="1423D490" w14:textId="2BE5BA90" w:rsidR="00967822" w:rsidRPr="003C0A2F" w:rsidRDefault="00967822" w:rsidP="00FC0C7D">
            <w:pPr>
              <w:pStyle w:val="VCAAtablecondensedheading"/>
              <w:rPr>
                <w:lang w:val="en-AU"/>
              </w:rPr>
            </w:pPr>
            <w:r w:rsidRPr="003C0A2F">
              <w:rPr>
                <w:lang w:val="en-AU"/>
              </w:rPr>
              <w:t>% A</w:t>
            </w:r>
          </w:p>
        </w:tc>
        <w:tc>
          <w:tcPr>
            <w:tcW w:w="576" w:type="dxa"/>
          </w:tcPr>
          <w:p w14:paraId="3D9E5980" w14:textId="77777777" w:rsidR="00967822" w:rsidRPr="003C0A2F" w:rsidRDefault="00967822" w:rsidP="00FC0C7D">
            <w:pPr>
              <w:pStyle w:val="VCAAtablecondensedheading"/>
              <w:rPr>
                <w:lang w:val="en-AU"/>
              </w:rPr>
            </w:pPr>
            <w:r w:rsidRPr="003C0A2F">
              <w:rPr>
                <w:lang w:val="en-AU"/>
              </w:rPr>
              <w:t>% B</w:t>
            </w:r>
          </w:p>
        </w:tc>
        <w:tc>
          <w:tcPr>
            <w:tcW w:w="576" w:type="dxa"/>
          </w:tcPr>
          <w:p w14:paraId="7EDC5E62" w14:textId="77777777" w:rsidR="00967822" w:rsidRPr="003C0A2F" w:rsidRDefault="00967822" w:rsidP="00FC0C7D">
            <w:pPr>
              <w:pStyle w:val="VCAAtablecondensedheading"/>
              <w:rPr>
                <w:lang w:val="en-AU"/>
              </w:rPr>
            </w:pPr>
            <w:r w:rsidRPr="003C0A2F">
              <w:rPr>
                <w:lang w:val="en-AU"/>
              </w:rPr>
              <w:t>% C</w:t>
            </w:r>
          </w:p>
        </w:tc>
        <w:tc>
          <w:tcPr>
            <w:tcW w:w="576" w:type="dxa"/>
            <w:tcBorders>
              <w:bottom w:val="single" w:sz="4" w:space="0" w:color="000000" w:themeColor="text1"/>
            </w:tcBorders>
          </w:tcPr>
          <w:p w14:paraId="671DE277" w14:textId="77777777" w:rsidR="00967822" w:rsidRPr="003C0A2F" w:rsidRDefault="00967822" w:rsidP="00FC0C7D">
            <w:pPr>
              <w:pStyle w:val="VCAAtablecondensedheading"/>
              <w:rPr>
                <w:lang w:val="en-AU"/>
              </w:rPr>
            </w:pPr>
            <w:r w:rsidRPr="003C0A2F">
              <w:rPr>
                <w:lang w:val="en-AU"/>
              </w:rPr>
              <w:t>% D</w:t>
            </w:r>
          </w:p>
        </w:tc>
        <w:tc>
          <w:tcPr>
            <w:tcW w:w="5280" w:type="dxa"/>
          </w:tcPr>
          <w:p w14:paraId="0085DBA8" w14:textId="77777777" w:rsidR="00967822" w:rsidRPr="003C0A2F" w:rsidRDefault="00967822" w:rsidP="00FC0C7D">
            <w:pPr>
              <w:pStyle w:val="VCAAtablecondensedheading"/>
              <w:rPr>
                <w:lang w:val="en-AU"/>
              </w:rPr>
            </w:pPr>
            <w:r w:rsidRPr="003C0A2F">
              <w:rPr>
                <w:lang w:val="en-AU"/>
              </w:rPr>
              <w:t>Comments</w:t>
            </w:r>
          </w:p>
        </w:tc>
      </w:tr>
      <w:tr w:rsidR="007D5D13" w:rsidRPr="003C0A2F" w14:paraId="3916B923" w14:textId="77777777" w:rsidTr="0005739E">
        <w:trPr>
          <w:trHeight w:val="64"/>
        </w:trPr>
        <w:tc>
          <w:tcPr>
            <w:tcW w:w="0" w:type="dxa"/>
          </w:tcPr>
          <w:p w14:paraId="36F64AE5" w14:textId="4FA2C8AA" w:rsidR="007D5D13" w:rsidRPr="00270206" w:rsidRDefault="007D5D13" w:rsidP="00B12DBF">
            <w:pPr>
              <w:pStyle w:val="VCAAtablecondensed"/>
              <w:rPr>
                <w:rStyle w:val="VCAAbold"/>
              </w:rPr>
            </w:pPr>
            <w:r w:rsidRPr="00270206">
              <w:rPr>
                <w:rStyle w:val="VCAAbold"/>
              </w:rPr>
              <w:t>1</w:t>
            </w:r>
          </w:p>
        </w:tc>
        <w:tc>
          <w:tcPr>
            <w:tcW w:w="0" w:type="dxa"/>
          </w:tcPr>
          <w:p w14:paraId="3FED1275" w14:textId="14B80551" w:rsidR="007D5D13" w:rsidRPr="003C0A2F" w:rsidRDefault="007D5D13" w:rsidP="00B12DBF">
            <w:pPr>
              <w:pStyle w:val="VCAAtablecondensed"/>
              <w:rPr>
                <w:lang w:val="en-AU"/>
              </w:rPr>
            </w:pPr>
            <w:r>
              <w:t>B or C</w:t>
            </w:r>
          </w:p>
        </w:tc>
        <w:tc>
          <w:tcPr>
            <w:tcW w:w="0" w:type="dxa"/>
          </w:tcPr>
          <w:p w14:paraId="21A3F6BE" w14:textId="137F30AF" w:rsidR="007D5D13" w:rsidRPr="00F54D18" w:rsidRDefault="007D5D13" w:rsidP="00B12DBF">
            <w:pPr>
              <w:pStyle w:val="VCAAtablecondensed"/>
            </w:pPr>
            <w:r w:rsidRPr="00F54D18">
              <w:t>2</w:t>
            </w:r>
          </w:p>
        </w:tc>
        <w:tc>
          <w:tcPr>
            <w:tcW w:w="0" w:type="dxa"/>
            <w:shd w:val="clear" w:color="auto" w:fill="F2F2F2" w:themeFill="background1" w:themeFillShade="F2"/>
          </w:tcPr>
          <w:p w14:paraId="2A3D9404" w14:textId="117B5483" w:rsidR="007D5D13" w:rsidRPr="00104DDD" w:rsidRDefault="007D5D13" w:rsidP="00B12DBF">
            <w:pPr>
              <w:pStyle w:val="VCAAtablecondensed"/>
              <w:rPr>
                <w:rStyle w:val="VCAAbold"/>
              </w:rPr>
            </w:pPr>
            <w:r w:rsidRPr="00104DDD">
              <w:rPr>
                <w:rStyle w:val="VCAAbold"/>
              </w:rPr>
              <w:t>77</w:t>
            </w:r>
          </w:p>
        </w:tc>
        <w:tc>
          <w:tcPr>
            <w:tcW w:w="0" w:type="dxa"/>
            <w:tcBorders>
              <w:bottom w:val="single" w:sz="4" w:space="0" w:color="000000" w:themeColor="text1"/>
            </w:tcBorders>
            <w:shd w:val="clear" w:color="auto" w:fill="F2F2F2" w:themeFill="background1" w:themeFillShade="F2"/>
          </w:tcPr>
          <w:p w14:paraId="176431C0" w14:textId="4365DC23" w:rsidR="007D5D13" w:rsidRPr="00F54D18" w:rsidRDefault="007D5D13" w:rsidP="00B12DBF">
            <w:pPr>
              <w:pStyle w:val="VCAAtablecondensed"/>
              <w:rPr>
                <w:rStyle w:val="VCAAbold"/>
              </w:rPr>
            </w:pPr>
            <w:r w:rsidRPr="00F54D18">
              <w:rPr>
                <w:rStyle w:val="VCAAbold"/>
              </w:rPr>
              <w:t>21</w:t>
            </w:r>
          </w:p>
        </w:tc>
        <w:tc>
          <w:tcPr>
            <w:tcW w:w="0" w:type="dxa"/>
          </w:tcPr>
          <w:p w14:paraId="79D5537C" w14:textId="35BB0D8C" w:rsidR="007D5D13" w:rsidRPr="003C0A2F" w:rsidRDefault="007D5D13" w:rsidP="00B12DBF">
            <w:pPr>
              <w:pStyle w:val="VCAAtablecondensed"/>
              <w:rPr>
                <w:lang w:val="en-AU"/>
              </w:rPr>
            </w:pPr>
            <w:r>
              <w:t>1</w:t>
            </w:r>
          </w:p>
        </w:tc>
        <w:tc>
          <w:tcPr>
            <w:tcW w:w="0" w:type="dxa"/>
          </w:tcPr>
          <w:p w14:paraId="07F0B9DB" w14:textId="77777777" w:rsidR="007D5D13" w:rsidRPr="003C0A2F" w:rsidRDefault="007D5D13" w:rsidP="007D5D13">
            <w:pPr>
              <w:pStyle w:val="VCAAbody"/>
              <w:rPr>
                <w:lang w:val="en-AU"/>
              </w:rPr>
            </w:pPr>
          </w:p>
        </w:tc>
      </w:tr>
      <w:tr w:rsidR="007D5D13" w:rsidRPr="003C0A2F" w14:paraId="7CFA1C10" w14:textId="77777777" w:rsidTr="0005739E">
        <w:tc>
          <w:tcPr>
            <w:tcW w:w="0" w:type="dxa"/>
          </w:tcPr>
          <w:p w14:paraId="37C93E7E" w14:textId="1854062A" w:rsidR="007D5D13" w:rsidRPr="00270206" w:rsidRDefault="007D5D13" w:rsidP="00B12DBF">
            <w:pPr>
              <w:pStyle w:val="VCAAtablecondensed"/>
              <w:rPr>
                <w:rStyle w:val="VCAAbold"/>
              </w:rPr>
            </w:pPr>
            <w:r w:rsidRPr="00270206">
              <w:rPr>
                <w:rStyle w:val="VCAAbold"/>
              </w:rPr>
              <w:t>2</w:t>
            </w:r>
          </w:p>
        </w:tc>
        <w:tc>
          <w:tcPr>
            <w:tcW w:w="0" w:type="dxa"/>
          </w:tcPr>
          <w:p w14:paraId="1EAC4BAB" w14:textId="6A7D471B" w:rsidR="007D5D13" w:rsidRPr="003C0A2F" w:rsidRDefault="007D5D13" w:rsidP="00B12DBF">
            <w:pPr>
              <w:pStyle w:val="VCAAtablecondensed"/>
              <w:rPr>
                <w:lang w:val="en-AU"/>
              </w:rPr>
            </w:pPr>
            <w:r>
              <w:t>A</w:t>
            </w:r>
          </w:p>
        </w:tc>
        <w:tc>
          <w:tcPr>
            <w:tcW w:w="0" w:type="dxa"/>
            <w:shd w:val="clear" w:color="auto" w:fill="F2F2F2" w:themeFill="background1" w:themeFillShade="F2"/>
          </w:tcPr>
          <w:p w14:paraId="3E6F4C41" w14:textId="64037DBD" w:rsidR="007D5D13" w:rsidRPr="00104DDD" w:rsidRDefault="007D5D13" w:rsidP="00B12DBF">
            <w:pPr>
              <w:pStyle w:val="VCAAtablecondensed"/>
              <w:rPr>
                <w:rStyle w:val="VCAAbold"/>
              </w:rPr>
            </w:pPr>
            <w:r w:rsidRPr="00104DDD">
              <w:rPr>
                <w:rStyle w:val="VCAAbold"/>
              </w:rPr>
              <w:t>47</w:t>
            </w:r>
          </w:p>
        </w:tc>
        <w:tc>
          <w:tcPr>
            <w:tcW w:w="0" w:type="dxa"/>
          </w:tcPr>
          <w:p w14:paraId="4ECD2358" w14:textId="74FB993E" w:rsidR="007D5D13" w:rsidRPr="003C0A2F" w:rsidRDefault="007D5D13" w:rsidP="00B12DBF">
            <w:pPr>
              <w:pStyle w:val="VCAAtablecondensed"/>
              <w:rPr>
                <w:lang w:val="en-AU"/>
              </w:rPr>
            </w:pPr>
            <w:r>
              <w:t>5</w:t>
            </w:r>
          </w:p>
        </w:tc>
        <w:tc>
          <w:tcPr>
            <w:tcW w:w="0" w:type="dxa"/>
          </w:tcPr>
          <w:p w14:paraId="2ED1B69E" w14:textId="7332DAB4" w:rsidR="007D5D13" w:rsidRPr="003C0A2F" w:rsidRDefault="007D5D13" w:rsidP="00B12DBF">
            <w:pPr>
              <w:pStyle w:val="VCAAtablecondensed"/>
              <w:rPr>
                <w:b/>
                <w:bCs/>
                <w:lang w:val="en-AU"/>
              </w:rPr>
            </w:pPr>
            <w:r>
              <w:t>29</w:t>
            </w:r>
          </w:p>
        </w:tc>
        <w:tc>
          <w:tcPr>
            <w:tcW w:w="0" w:type="dxa"/>
            <w:tcBorders>
              <w:bottom w:val="single" w:sz="4" w:space="0" w:color="000000" w:themeColor="text1"/>
            </w:tcBorders>
          </w:tcPr>
          <w:p w14:paraId="3E57A876" w14:textId="00FD1CE9" w:rsidR="007D5D13" w:rsidRPr="003C0A2F" w:rsidRDefault="007D5D13" w:rsidP="00B12DBF">
            <w:pPr>
              <w:pStyle w:val="VCAAtablecondensed"/>
              <w:rPr>
                <w:lang w:val="en-AU"/>
              </w:rPr>
            </w:pPr>
            <w:r>
              <w:t>19</w:t>
            </w:r>
          </w:p>
        </w:tc>
        <w:tc>
          <w:tcPr>
            <w:tcW w:w="0" w:type="dxa"/>
          </w:tcPr>
          <w:p w14:paraId="43E68145" w14:textId="285F0B99" w:rsidR="007D5D13" w:rsidRPr="00727C94" w:rsidRDefault="007D5D13" w:rsidP="00727C94">
            <w:pPr>
              <w:pStyle w:val="VCAAtablecondensed"/>
            </w:pPr>
            <w:r w:rsidRPr="00727C94">
              <w:t>An inflation rate of 7.8% is excessive and erodes the purchasing power of money and is likely to distort investment as well as reduce the international competitiveness of a countr</w:t>
            </w:r>
            <w:r w:rsidR="00B12DBF">
              <w:t>y’</w:t>
            </w:r>
            <w:r w:rsidRPr="00727C94">
              <w:t xml:space="preserve">s </w:t>
            </w:r>
            <w:proofErr w:type="spellStart"/>
            <w:r w:rsidRPr="00727C94">
              <w:t>tradeables</w:t>
            </w:r>
            <w:proofErr w:type="spellEnd"/>
            <w:r w:rsidRPr="00727C94">
              <w:t xml:space="preserve"> sector </w:t>
            </w:r>
            <w:r w:rsidR="00B12DBF">
              <w:t>–</w:t>
            </w:r>
            <w:r w:rsidRPr="00727C94">
              <w:t xml:space="preserve"> all of which rule out B, C and D as the answer.</w:t>
            </w:r>
            <w:r w:rsidR="00F87ED6">
              <w:t xml:space="preserve"> </w:t>
            </w:r>
            <w:r w:rsidRPr="00727C94">
              <w:t>However, inflation is likely to accelerate (rather than delay) consumption to the extent that consumers are keen to avoid price rises.</w:t>
            </w:r>
          </w:p>
        </w:tc>
      </w:tr>
      <w:tr w:rsidR="007D5D13" w:rsidRPr="003C0A2F" w14:paraId="13B6D6D0" w14:textId="77777777" w:rsidTr="0005739E">
        <w:tc>
          <w:tcPr>
            <w:tcW w:w="0" w:type="dxa"/>
          </w:tcPr>
          <w:p w14:paraId="22139683" w14:textId="631DCC72" w:rsidR="007D5D13" w:rsidRPr="00270206" w:rsidRDefault="007D5D13" w:rsidP="00B12DBF">
            <w:pPr>
              <w:pStyle w:val="VCAAtablecondensed"/>
              <w:rPr>
                <w:rStyle w:val="VCAAbold"/>
              </w:rPr>
            </w:pPr>
            <w:r w:rsidRPr="00270206">
              <w:rPr>
                <w:rStyle w:val="VCAAbold"/>
              </w:rPr>
              <w:t>3</w:t>
            </w:r>
          </w:p>
        </w:tc>
        <w:tc>
          <w:tcPr>
            <w:tcW w:w="0" w:type="dxa"/>
          </w:tcPr>
          <w:p w14:paraId="665B2580" w14:textId="09391200" w:rsidR="007D5D13" w:rsidRPr="003C0A2F" w:rsidRDefault="007D5D13" w:rsidP="00B12DBF">
            <w:pPr>
              <w:pStyle w:val="VCAAtablecondensed"/>
              <w:rPr>
                <w:lang w:val="en-AU"/>
              </w:rPr>
            </w:pPr>
            <w:r>
              <w:t>B</w:t>
            </w:r>
          </w:p>
        </w:tc>
        <w:tc>
          <w:tcPr>
            <w:tcW w:w="0" w:type="dxa"/>
            <w:tcBorders>
              <w:bottom w:val="single" w:sz="4" w:space="0" w:color="000000" w:themeColor="text1"/>
            </w:tcBorders>
          </w:tcPr>
          <w:p w14:paraId="6481ED70" w14:textId="094AD151" w:rsidR="007D5D13" w:rsidRPr="003C0A2F" w:rsidRDefault="007D5D13" w:rsidP="00B12DBF">
            <w:pPr>
              <w:pStyle w:val="VCAAtablecondensed"/>
              <w:rPr>
                <w:lang w:val="en-AU"/>
              </w:rPr>
            </w:pPr>
            <w:r>
              <w:t>33</w:t>
            </w:r>
          </w:p>
        </w:tc>
        <w:tc>
          <w:tcPr>
            <w:tcW w:w="0" w:type="dxa"/>
            <w:shd w:val="clear" w:color="auto" w:fill="F2F2F2" w:themeFill="background1" w:themeFillShade="F2"/>
          </w:tcPr>
          <w:p w14:paraId="677ED753" w14:textId="164CCC86" w:rsidR="007D5D13" w:rsidRPr="00104DDD" w:rsidRDefault="007D5D13" w:rsidP="00B12DBF">
            <w:pPr>
              <w:pStyle w:val="VCAAtablecondensed"/>
              <w:rPr>
                <w:rStyle w:val="VCAAbold"/>
              </w:rPr>
            </w:pPr>
            <w:r w:rsidRPr="00104DDD">
              <w:rPr>
                <w:rStyle w:val="VCAAbold"/>
              </w:rPr>
              <w:t>40</w:t>
            </w:r>
          </w:p>
        </w:tc>
        <w:tc>
          <w:tcPr>
            <w:tcW w:w="0" w:type="dxa"/>
          </w:tcPr>
          <w:p w14:paraId="08176BBD" w14:textId="1B4EE339" w:rsidR="007D5D13" w:rsidRPr="003C0A2F" w:rsidRDefault="007D5D13" w:rsidP="00B12DBF">
            <w:pPr>
              <w:pStyle w:val="VCAAtablecondensed"/>
              <w:rPr>
                <w:lang w:val="en-AU"/>
              </w:rPr>
            </w:pPr>
            <w:r>
              <w:t>15</w:t>
            </w:r>
          </w:p>
        </w:tc>
        <w:tc>
          <w:tcPr>
            <w:tcW w:w="0" w:type="dxa"/>
          </w:tcPr>
          <w:p w14:paraId="058CEA4F" w14:textId="3C6FB5D2" w:rsidR="007D5D13" w:rsidRPr="003C0A2F" w:rsidRDefault="007D5D13" w:rsidP="00B12DBF">
            <w:pPr>
              <w:pStyle w:val="VCAAtablecondensed"/>
              <w:rPr>
                <w:b/>
                <w:bCs/>
                <w:lang w:val="en-AU"/>
              </w:rPr>
            </w:pPr>
            <w:r>
              <w:t>12</w:t>
            </w:r>
          </w:p>
        </w:tc>
        <w:tc>
          <w:tcPr>
            <w:tcW w:w="0" w:type="dxa"/>
          </w:tcPr>
          <w:p w14:paraId="0A059878" w14:textId="614CAC1F" w:rsidR="007D5D13" w:rsidRPr="00727C94" w:rsidRDefault="00DE0239" w:rsidP="00727C94">
            <w:pPr>
              <w:pStyle w:val="VCAAtablecondensed"/>
            </w:pPr>
            <w:r>
              <w:t>T</w:t>
            </w:r>
            <w:r w:rsidR="007D5D13" w:rsidRPr="00727C94">
              <w:t xml:space="preserve">he payment of salaries to public servants is classified as government current (consumption) expenditure given that the benefits provided do not extend beyond the current </w:t>
            </w:r>
            <w:r w:rsidR="002D10EB" w:rsidRPr="00727C94">
              <w:t xml:space="preserve">budget </w:t>
            </w:r>
            <w:r w:rsidR="007D5D13" w:rsidRPr="00727C94">
              <w:t>period (e.g. one year).</w:t>
            </w:r>
            <w:r w:rsidR="002D10EB" w:rsidRPr="00727C94">
              <w:t xml:space="preserve"> Unemployment benefits is a government transfer payment (neither G1 nor G2); Options C and D relate to Government Investment (G2) spending.</w:t>
            </w:r>
          </w:p>
        </w:tc>
      </w:tr>
      <w:tr w:rsidR="007D5D13" w:rsidRPr="003C0A2F" w14:paraId="33F61B92" w14:textId="77777777" w:rsidTr="0005739E">
        <w:tc>
          <w:tcPr>
            <w:tcW w:w="0" w:type="dxa"/>
          </w:tcPr>
          <w:p w14:paraId="685BAB46" w14:textId="6D7442A5" w:rsidR="007D5D13" w:rsidRPr="00270206" w:rsidRDefault="007D5D13" w:rsidP="00B12DBF">
            <w:pPr>
              <w:pStyle w:val="VCAAtablecondensed"/>
              <w:rPr>
                <w:rStyle w:val="VCAAbold"/>
              </w:rPr>
            </w:pPr>
            <w:r w:rsidRPr="00270206">
              <w:rPr>
                <w:rStyle w:val="VCAAbold"/>
              </w:rPr>
              <w:t>4</w:t>
            </w:r>
          </w:p>
        </w:tc>
        <w:tc>
          <w:tcPr>
            <w:tcW w:w="0" w:type="dxa"/>
          </w:tcPr>
          <w:p w14:paraId="7ED2B677" w14:textId="202D9A12" w:rsidR="007D5D13" w:rsidRPr="003C0A2F" w:rsidRDefault="007D5D13" w:rsidP="00B12DBF">
            <w:pPr>
              <w:pStyle w:val="VCAAtablecondensed"/>
              <w:rPr>
                <w:lang w:val="en-AU"/>
              </w:rPr>
            </w:pPr>
            <w:r>
              <w:t>B</w:t>
            </w:r>
          </w:p>
        </w:tc>
        <w:tc>
          <w:tcPr>
            <w:tcW w:w="0" w:type="dxa"/>
          </w:tcPr>
          <w:p w14:paraId="1FC681BC" w14:textId="249F0CA6" w:rsidR="007D5D13" w:rsidRPr="003C0A2F" w:rsidRDefault="007D5D13" w:rsidP="00B12DBF">
            <w:pPr>
              <w:pStyle w:val="VCAAtablecondensed"/>
              <w:rPr>
                <w:b/>
                <w:bCs/>
                <w:lang w:val="en-AU"/>
              </w:rPr>
            </w:pPr>
            <w:r>
              <w:t>14</w:t>
            </w:r>
          </w:p>
        </w:tc>
        <w:tc>
          <w:tcPr>
            <w:tcW w:w="0" w:type="dxa"/>
            <w:tcBorders>
              <w:bottom w:val="single" w:sz="4" w:space="0" w:color="000000" w:themeColor="text1"/>
            </w:tcBorders>
            <w:shd w:val="clear" w:color="auto" w:fill="F2F2F2" w:themeFill="background1" w:themeFillShade="F2"/>
          </w:tcPr>
          <w:p w14:paraId="1D6BD2F4" w14:textId="04B505E3" w:rsidR="007D5D13" w:rsidRPr="00104DDD" w:rsidRDefault="007D5D13" w:rsidP="00B12DBF">
            <w:pPr>
              <w:pStyle w:val="VCAAtablecondensed"/>
              <w:rPr>
                <w:rStyle w:val="VCAAbold"/>
              </w:rPr>
            </w:pPr>
            <w:r w:rsidRPr="00104DDD">
              <w:rPr>
                <w:rStyle w:val="VCAAbold"/>
              </w:rPr>
              <w:t>68</w:t>
            </w:r>
          </w:p>
        </w:tc>
        <w:tc>
          <w:tcPr>
            <w:tcW w:w="0" w:type="dxa"/>
          </w:tcPr>
          <w:p w14:paraId="4C88A352" w14:textId="2FAF972E" w:rsidR="007D5D13" w:rsidRPr="003C0A2F" w:rsidRDefault="007D5D13" w:rsidP="00B12DBF">
            <w:pPr>
              <w:pStyle w:val="VCAAtablecondensed"/>
              <w:rPr>
                <w:lang w:val="en-AU"/>
              </w:rPr>
            </w:pPr>
            <w:r>
              <w:t>7</w:t>
            </w:r>
          </w:p>
        </w:tc>
        <w:tc>
          <w:tcPr>
            <w:tcW w:w="0" w:type="dxa"/>
          </w:tcPr>
          <w:p w14:paraId="30EE61F9" w14:textId="7E477EA6" w:rsidR="007D5D13" w:rsidRPr="003C0A2F" w:rsidRDefault="007D5D13" w:rsidP="00B12DBF">
            <w:pPr>
              <w:pStyle w:val="VCAAtablecondensed"/>
              <w:rPr>
                <w:lang w:val="en-AU"/>
              </w:rPr>
            </w:pPr>
            <w:r>
              <w:t>11</w:t>
            </w:r>
          </w:p>
        </w:tc>
        <w:tc>
          <w:tcPr>
            <w:tcW w:w="0" w:type="dxa"/>
          </w:tcPr>
          <w:p w14:paraId="4431577C" w14:textId="77777777" w:rsidR="007D5D13" w:rsidRPr="003C0A2F" w:rsidRDefault="007D5D13" w:rsidP="007D5D13">
            <w:pPr>
              <w:pStyle w:val="VCAAbody"/>
              <w:rPr>
                <w:lang w:val="en-AU"/>
              </w:rPr>
            </w:pPr>
          </w:p>
        </w:tc>
      </w:tr>
      <w:tr w:rsidR="007D5D13" w:rsidRPr="003C0A2F" w14:paraId="091F73E2" w14:textId="77777777" w:rsidTr="0005739E">
        <w:tc>
          <w:tcPr>
            <w:tcW w:w="0" w:type="dxa"/>
          </w:tcPr>
          <w:p w14:paraId="038C7C9F" w14:textId="107C6E32" w:rsidR="007D5D13" w:rsidRPr="00270206" w:rsidRDefault="007D5D13" w:rsidP="00B12DBF">
            <w:pPr>
              <w:pStyle w:val="VCAAtablecondensed"/>
              <w:rPr>
                <w:rStyle w:val="VCAAbold"/>
              </w:rPr>
            </w:pPr>
            <w:r w:rsidRPr="00270206">
              <w:rPr>
                <w:rStyle w:val="VCAAbold"/>
              </w:rPr>
              <w:t>5</w:t>
            </w:r>
          </w:p>
        </w:tc>
        <w:tc>
          <w:tcPr>
            <w:tcW w:w="0" w:type="dxa"/>
          </w:tcPr>
          <w:p w14:paraId="76929CEF" w14:textId="109C3CD9" w:rsidR="007D5D13" w:rsidRPr="003C0A2F" w:rsidRDefault="007D5D13" w:rsidP="00B12DBF">
            <w:pPr>
              <w:pStyle w:val="VCAAtablecondensed"/>
              <w:rPr>
                <w:lang w:val="en-AU"/>
              </w:rPr>
            </w:pPr>
            <w:r>
              <w:t>B</w:t>
            </w:r>
          </w:p>
        </w:tc>
        <w:tc>
          <w:tcPr>
            <w:tcW w:w="0" w:type="dxa"/>
          </w:tcPr>
          <w:p w14:paraId="3F95854D" w14:textId="17D29653" w:rsidR="007D5D13" w:rsidRPr="003C0A2F" w:rsidRDefault="007D5D13" w:rsidP="00B12DBF">
            <w:pPr>
              <w:pStyle w:val="VCAAtablecondensed"/>
              <w:rPr>
                <w:lang w:val="en-AU"/>
              </w:rPr>
            </w:pPr>
            <w:r>
              <w:t>56</w:t>
            </w:r>
          </w:p>
        </w:tc>
        <w:tc>
          <w:tcPr>
            <w:tcW w:w="0" w:type="dxa"/>
            <w:shd w:val="clear" w:color="auto" w:fill="F2F2F2" w:themeFill="background1" w:themeFillShade="F2"/>
          </w:tcPr>
          <w:p w14:paraId="6627B4E2" w14:textId="04DDB6E9" w:rsidR="007D5D13" w:rsidRPr="00104DDD" w:rsidRDefault="007D5D13" w:rsidP="00B12DBF">
            <w:pPr>
              <w:pStyle w:val="VCAAtablecondensed"/>
              <w:rPr>
                <w:rStyle w:val="VCAAbold"/>
              </w:rPr>
            </w:pPr>
            <w:r w:rsidRPr="00104DDD">
              <w:rPr>
                <w:rStyle w:val="VCAAbold"/>
              </w:rPr>
              <w:t>23</w:t>
            </w:r>
          </w:p>
        </w:tc>
        <w:tc>
          <w:tcPr>
            <w:tcW w:w="0" w:type="dxa"/>
          </w:tcPr>
          <w:p w14:paraId="1C53411C" w14:textId="48BECA6E" w:rsidR="007D5D13" w:rsidRPr="003C0A2F" w:rsidRDefault="007D5D13" w:rsidP="00B12DBF">
            <w:pPr>
              <w:pStyle w:val="VCAAtablecondensed"/>
              <w:rPr>
                <w:lang w:val="en-AU"/>
              </w:rPr>
            </w:pPr>
            <w:r>
              <w:t>16</w:t>
            </w:r>
          </w:p>
        </w:tc>
        <w:tc>
          <w:tcPr>
            <w:tcW w:w="0" w:type="dxa"/>
            <w:tcBorders>
              <w:bottom w:val="single" w:sz="4" w:space="0" w:color="000000" w:themeColor="text1"/>
            </w:tcBorders>
          </w:tcPr>
          <w:p w14:paraId="40F57E14" w14:textId="5A68CA3B" w:rsidR="007D5D13" w:rsidRPr="003C0A2F" w:rsidRDefault="007D5D13" w:rsidP="00B12DBF">
            <w:pPr>
              <w:pStyle w:val="VCAAtablecondensed"/>
              <w:rPr>
                <w:lang w:val="en-AU"/>
              </w:rPr>
            </w:pPr>
            <w:r>
              <w:t>5</w:t>
            </w:r>
          </w:p>
        </w:tc>
        <w:tc>
          <w:tcPr>
            <w:tcW w:w="0" w:type="dxa"/>
          </w:tcPr>
          <w:p w14:paraId="24F293DE" w14:textId="5573FC4C" w:rsidR="007D5D13" w:rsidRPr="00727C94" w:rsidRDefault="002D10EB" w:rsidP="00727C94">
            <w:pPr>
              <w:pStyle w:val="VCAAtablecondensed"/>
            </w:pPr>
            <w:r w:rsidRPr="00727C94">
              <w:t>B is the answer because productivity is still increasing (despite a slower growth rate) which increases aggregate supply.</w:t>
            </w:r>
            <w:r w:rsidR="00F87ED6">
              <w:t xml:space="preserve"> </w:t>
            </w:r>
            <w:r w:rsidRPr="00727C94">
              <w:t xml:space="preserve">Option </w:t>
            </w:r>
            <w:r w:rsidR="00DE0239">
              <w:t>A</w:t>
            </w:r>
            <w:r w:rsidRPr="00727C94">
              <w:t xml:space="preserve"> is less valid because higher interest rates can have negative supply side effects via an increase in the costs of production (debt servicing costs).</w:t>
            </w:r>
            <w:r w:rsidR="00F87ED6">
              <w:t xml:space="preserve"> </w:t>
            </w:r>
            <w:r w:rsidR="00C8714C" w:rsidRPr="00727C94">
              <w:t xml:space="preserve">Increases in retirement </w:t>
            </w:r>
            <w:r w:rsidR="00DE0239">
              <w:t xml:space="preserve">(Option C) </w:t>
            </w:r>
            <w:r w:rsidR="00C8714C" w:rsidRPr="00727C94">
              <w:t xml:space="preserve">and less available capital resources </w:t>
            </w:r>
            <w:r w:rsidR="00DE0239">
              <w:t xml:space="preserve">(Option D) </w:t>
            </w:r>
            <w:r w:rsidR="00C8714C" w:rsidRPr="00727C94">
              <w:t>are likely to reduce aggregate supply as the quantity of labour and capital resources falls.</w:t>
            </w:r>
          </w:p>
        </w:tc>
      </w:tr>
      <w:tr w:rsidR="007D5D13" w:rsidRPr="003C0A2F" w14:paraId="2FD3F6E2" w14:textId="77777777" w:rsidTr="0005739E">
        <w:tc>
          <w:tcPr>
            <w:tcW w:w="0" w:type="dxa"/>
          </w:tcPr>
          <w:p w14:paraId="16AD5C7A" w14:textId="54D70BA6" w:rsidR="007D5D13" w:rsidRPr="00270206" w:rsidRDefault="007D5D13" w:rsidP="00B12DBF">
            <w:pPr>
              <w:pStyle w:val="VCAAtablecondensed"/>
              <w:rPr>
                <w:rStyle w:val="VCAAbold"/>
              </w:rPr>
            </w:pPr>
            <w:r w:rsidRPr="00270206">
              <w:rPr>
                <w:rStyle w:val="VCAAbold"/>
              </w:rPr>
              <w:t>6</w:t>
            </w:r>
          </w:p>
        </w:tc>
        <w:tc>
          <w:tcPr>
            <w:tcW w:w="0" w:type="dxa"/>
          </w:tcPr>
          <w:p w14:paraId="72CDE1AB" w14:textId="58E6CFB2" w:rsidR="007D5D13" w:rsidRPr="003C0A2F" w:rsidRDefault="007D5D13" w:rsidP="00B12DBF">
            <w:pPr>
              <w:pStyle w:val="VCAAtablecondensed"/>
              <w:rPr>
                <w:lang w:val="en-AU"/>
              </w:rPr>
            </w:pPr>
            <w:r>
              <w:t>D</w:t>
            </w:r>
          </w:p>
        </w:tc>
        <w:tc>
          <w:tcPr>
            <w:tcW w:w="0" w:type="dxa"/>
          </w:tcPr>
          <w:p w14:paraId="13C170B7" w14:textId="01232556" w:rsidR="007D5D13" w:rsidRPr="003C0A2F" w:rsidRDefault="007D5D13" w:rsidP="00B12DBF">
            <w:pPr>
              <w:pStyle w:val="VCAAtablecondensed"/>
              <w:rPr>
                <w:lang w:val="en-AU"/>
              </w:rPr>
            </w:pPr>
            <w:r>
              <w:t>3</w:t>
            </w:r>
          </w:p>
        </w:tc>
        <w:tc>
          <w:tcPr>
            <w:tcW w:w="0" w:type="dxa"/>
          </w:tcPr>
          <w:p w14:paraId="7F0DDF63" w14:textId="3C5BF6EF" w:rsidR="007D5D13" w:rsidRPr="003C0A2F" w:rsidRDefault="007D5D13" w:rsidP="00B12DBF">
            <w:pPr>
              <w:pStyle w:val="VCAAtablecondensed"/>
              <w:rPr>
                <w:lang w:val="en-AU"/>
              </w:rPr>
            </w:pPr>
            <w:r>
              <w:t>7</w:t>
            </w:r>
          </w:p>
        </w:tc>
        <w:tc>
          <w:tcPr>
            <w:tcW w:w="0" w:type="dxa"/>
            <w:tcBorders>
              <w:bottom w:val="single" w:sz="4" w:space="0" w:color="000000" w:themeColor="text1"/>
            </w:tcBorders>
          </w:tcPr>
          <w:p w14:paraId="523FE109" w14:textId="2F1D0C7D" w:rsidR="007D5D13" w:rsidRPr="003C0A2F" w:rsidRDefault="007D5D13" w:rsidP="00B12DBF">
            <w:pPr>
              <w:pStyle w:val="VCAAtablecondensed"/>
              <w:rPr>
                <w:lang w:val="en-AU"/>
              </w:rPr>
            </w:pPr>
            <w:r>
              <w:t>46</w:t>
            </w:r>
          </w:p>
        </w:tc>
        <w:tc>
          <w:tcPr>
            <w:tcW w:w="0" w:type="dxa"/>
            <w:shd w:val="clear" w:color="auto" w:fill="F2F2F2" w:themeFill="background1" w:themeFillShade="F2"/>
          </w:tcPr>
          <w:p w14:paraId="77A8EAB6" w14:textId="0874D84D" w:rsidR="007D5D13" w:rsidRPr="00104DDD" w:rsidRDefault="007D5D13" w:rsidP="00B12DBF">
            <w:pPr>
              <w:pStyle w:val="VCAAtablecondensed"/>
              <w:rPr>
                <w:rStyle w:val="VCAAbold"/>
              </w:rPr>
            </w:pPr>
            <w:r w:rsidRPr="00104DDD">
              <w:rPr>
                <w:rStyle w:val="VCAAbold"/>
              </w:rPr>
              <w:t>43</w:t>
            </w:r>
          </w:p>
        </w:tc>
        <w:tc>
          <w:tcPr>
            <w:tcW w:w="0" w:type="dxa"/>
          </w:tcPr>
          <w:p w14:paraId="26413D28" w14:textId="7232B294" w:rsidR="007D5D13" w:rsidRPr="00727C94" w:rsidRDefault="00936A91" w:rsidP="00727C94">
            <w:pPr>
              <w:pStyle w:val="VCAAtablecondensed"/>
            </w:pPr>
            <w:r>
              <w:t>T</w:t>
            </w:r>
            <w:r w:rsidR="00C8714C" w:rsidRPr="00727C94">
              <w:t xml:space="preserve">he total underemployed </w:t>
            </w:r>
            <w:r w:rsidR="00DE0239">
              <w:t>equals</w:t>
            </w:r>
            <w:r w:rsidR="00C8714C" w:rsidRPr="00727C94">
              <w:t xml:space="preserve"> 15m (10m UE + 5m </w:t>
            </w:r>
            <w:proofErr w:type="spellStart"/>
            <w:r w:rsidR="00C8714C" w:rsidRPr="00727C94">
              <w:t>UnderE</w:t>
            </w:r>
            <w:proofErr w:type="spellEnd"/>
            <w:r w:rsidR="00C8714C" w:rsidRPr="00727C94">
              <w:t xml:space="preserve">) and the labour force is 80m (10m UE + 70m E). The </w:t>
            </w:r>
            <w:proofErr w:type="spellStart"/>
            <w:r w:rsidR="00C8714C" w:rsidRPr="00727C94">
              <w:t>underutilisation</w:t>
            </w:r>
            <w:proofErr w:type="spellEnd"/>
            <w:r w:rsidR="00C8714C" w:rsidRPr="00727C94">
              <w:t xml:space="preserve"> rate </w:t>
            </w:r>
            <w:r w:rsidR="00DE0239">
              <w:t>equals</w:t>
            </w:r>
            <w:r w:rsidR="00C8714C" w:rsidRPr="00727C94">
              <w:t xml:space="preserve"> [15m/80m] </w:t>
            </w:r>
            <w:r w:rsidR="00DE0239">
              <w:t>×</w:t>
            </w:r>
            <w:r w:rsidR="00C8714C" w:rsidRPr="00727C94">
              <w:t xml:space="preserve"> 100 = </w:t>
            </w:r>
            <w:r w:rsidR="004B0662" w:rsidRPr="00727C94">
              <w:t>18.75% which is approximately 19%.</w:t>
            </w:r>
          </w:p>
        </w:tc>
      </w:tr>
      <w:tr w:rsidR="007D5D13" w:rsidRPr="003C0A2F" w14:paraId="169B318A" w14:textId="77777777" w:rsidTr="0005739E">
        <w:tc>
          <w:tcPr>
            <w:tcW w:w="0" w:type="dxa"/>
          </w:tcPr>
          <w:p w14:paraId="71B2FD49" w14:textId="29BACB30" w:rsidR="007D5D13" w:rsidRPr="00270206" w:rsidRDefault="007D5D13" w:rsidP="00B12DBF">
            <w:pPr>
              <w:pStyle w:val="VCAAtablecondensed"/>
              <w:rPr>
                <w:rStyle w:val="VCAAbold"/>
              </w:rPr>
            </w:pPr>
            <w:r w:rsidRPr="00270206">
              <w:rPr>
                <w:rStyle w:val="VCAAbold"/>
              </w:rPr>
              <w:t>7</w:t>
            </w:r>
          </w:p>
        </w:tc>
        <w:tc>
          <w:tcPr>
            <w:tcW w:w="0" w:type="dxa"/>
          </w:tcPr>
          <w:p w14:paraId="36228536" w14:textId="7E11BD03" w:rsidR="007D5D13" w:rsidRPr="003C0A2F" w:rsidRDefault="007D5D13" w:rsidP="00B12DBF">
            <w:pPr>
              <w:pStyle w:val="VCAAtablecondensed"/>
              <w:rPr>
                <w:lang w:val="en-AU"/>
              </w:rPr>
            </w:pPr>
            <w:r>
              <w:t>C</w:t>
            </w:r>
          </w:p>
        </w:tc>
        <w:tc>
          <w:tcPr>
            <w:tcW w:w="0" w:type="dxa"/>
          </w:tcPr>
          <w:p w14:paraId="7AABDAC5" w14:textId="059AC0FE" w:rsidR="007D5D13" w:rsidRPr="003C0A2F" w:rsidRDefault="007D5D13" w:rsidP="00B12DBF">
            <w:pPr>
              <w:pStyle w:val="VCAAtablecondensed"/>
              <w:rPr>
                <w:lang w:val="en-AU"/>
              </w:rPr>
            </w:pPr>
            <w:r>
              <w:t>34</w:t>
            </w:r>
          </w:p>
        </w:tc>
        <w:tc>
          <w:tcPr>
            <w:tcW w:w="0" w:type="dxa"/>
            <w:tcBorders>
              <w:bottom w:val="single" w:sz="4" w:space="0" w:color="000000" w:themeColor="text1"/>
            </w:tcBorders>
          </w:tcPr>
          <w:p w14:paraId="2DF49E25" w14:textId="1CEA7A89" w:rsidR="007D5D13" w:rsidRPr="003C0A2F" w:rsidRDefault="007D5D13" w:rsidP="00B12DBF">
            <w:pPr>
              <w:pStyle w:val="VCAAtablecondensed"/>
              <w:rPr>
                <w:lang w:val="en-AU"/>
              </w:rPr>
            </w:pPr>
            <w:r>
              <w:t>12</w:t>
            </w:r>
          </w:p>
        </w:tc>
        <w:tc>
          <w:tcPr>
            <w:tcW w:w="0" w:type="dxa"/>
            <w:shd w:val="clear" w:color="auto" w:fill="F2F2F2" w:themeFill="background1" w:themeFillShade="F2"/>
          </w:tcPr>
          <w:p w14:paraId="1C63BE8C" w14:textId="6A6B9E54" w:rsidR="007D5D13" w:rsidRPr="00104DDD" w:rsidRDefault="007D5D13" w:rsidP="00B12DBF">
            <w:pPr>
              <w:pStyle w:val="VCAAtablecondensed"/>
              <w:rPr>
                <w:rStyle w:val="VCAAbold"/>
              </w:rPr>
            </w:pPr>
            <w:r w:rsidRPr="00104DDD">
              <w:rPr>
                <w:rStyle w:val="VCAAbold"/>
              </w:rPr>
              <w:t>47</w:t>
            </w:r>
          </w:p>
        </w:tc>
        <w:tc>
          <w:tcPr>
            <w:tcW w:w="0" w:type="dxa"/>
          </w:tcPr>
          <w:p w14:paraId="3991B0D0" w14:textId="3DA5DE13" w:rsidR="007D5D13" w:rsidRPr="003C0A2F" w:rsidRDefault="007D5D13" w:rsidP="00B12DBF">
            <w:pPr>
              <w:pStyle w:val="VCAAtablecondensed"/>
              <w:rPr>
                <w:lang w:val="en-AU"/>
              </w:rPr>
            </w:pPr>
            <w:r>
              <w:t>7</w:t>
            </w:r>
          </w:p>
        </w:tc>
        <w:tc>
          <w:tcPr>
            <w:tcW w:w="0" w:type="dxa"/>
          </w:tcPr>
          <w:p w14:paraId="2538FEFF" w14:textId="5A274630" w:rsidR="007D5D13" w:rsidRPr="00727C94" w:rsidRDefault="00936A91" w:rsidP="00727C94">
            <w:pPr>
              <w:pStyle w:val="VCAAtablecondensed"/>
            </w:pPr>
            <w:r>
              <w:t>D</w:t>
            </w:r>
            <w:r w:rsidR="004B0662" w:rsidRPr="00727C94">
              <w:t xml:space="preserve">ividends received represent an inflow of funds (credit) that represents the servicing costs (for foreigners) who have sold shares to Australian investors. These flows are recorded in the current account as a credit. </w:t>
            </w:r>
            <w:r>
              <w:t>(</w:t>
            </w:r>
            <w:r w:rsidR="004B0662" w:rsidRPr="00727C94">
              <w:t xml:space="preserve">If the receipt of funds </w:t>
            </w:r>
            <w:r w:rsidR="00D019FF">
              <w:t>wa</w:t>
            </w:r>
            <w:r w:rsidR="007C5105">
              <w:t xml:space="preserve">s </w:t>
            </w:r>
            <w:r w:rsidR="004B0662" w:rsidRPr="00727C94">
              <w:t xml:space="preserve">related to the sale of the shares by Australian </w:t>
            </w:r>
            <w:proofErr w:type="gramStart"/>
            <w:r w:rsidR="004B0662" w:rsidRPr="00727C94">
              <w:t>investors</w:t>
            </w:r>
            <w:proofErr w:type="gramEnd"/>
            <w:r w:rsidR="004B0662" w:rsidRPr="00727C94">
              <w:t xml:space="preserve"> then this would have been recorded in the CAFA.</w:t>
            </w:r>
            <w:r>
              <w:t>)</w:t>
            </w:r>
            <w:r w:rsidR="00F87ED6">
              <w:t xml:space="preserve"> </w:t>
            </w:r>
          </w:p>
        </w:tc>
      </w:tr>
      <w:tr w:rsidR="007D5D13" w:rsidRPr="003C0A2F" w14:paraId="5E2DE852" w14:textId="77777777" w:rsidTr="0005739E">
        <w:tc>
          <w:tcPr>
            <w:tcW w:w="0" w:type="dxa"/>
          </w:tcPr>
          <w:p w14:paraId="5AC837C0" w14:textId="098D0E5C" w:rsidR="007D5D13" w:rsidRPr="00270206" w:rsidRDefault="007D5D13" w:rsidP="00B12DBF">
            <w:pPr>
              <w:pStyle w:val="VCAAtablecondensed"/>
              <w:rPr>
                <w:rStyle w:val="VCAAbold"/>
              </w:rPr>
            </w:pPr>
            <w:r w:rsidRPr="00270206">
              <w:rPr>
                <w:rStyle w:val="VCAAbold"/>
              </w:rPr>
              <w:lastRenderedPageBreak/>
              <w:t>8</w:t>
            </w:r>
          </w:p>
        </w:tc>
        <w:tc>
          <w:tcPr>
            <w:tcW w:w="0" w:type="dxa"/>
          </w:tcPr>
          <w:p w14:paraId="42981909" w14:textId="036C930D" w:rsidR="007D5D13" w:rsidRPr="003C0A2F" w:rsidRDefault="007D5D13" w:rsidP="00B12DBF">
            <w:pPr>
              <w:pStyle w:val="VCAAtablecondensed"/>
              <w:rPr>
                <w:lang w:val="en-AU"/>
              </w:rPr>
            </w:pPr>
            <w:r>
              <w:t>D</w:t>
            </w:r>
          </w:p>
        </w:tc>
        <w:tc>
          <w:tcPr>
            <w:tcW w:w="0" w:type="dxa"/>
          </w:tcPr>
          <w:p w14:paraId="4E0F9891" w14:textId="1F45456A" w:rsidR="007D5D13" w:rsidRPr="003C0A2F" w:rsidRDefault="007D5D13" w:rsidP="00B12DBF">
            <w:pPr>
              <w:pStyle w:val="VCAAtablecondensed"/>
              <w:rPr>
                <w:lang w:val="en-AU"/>
              </w:rPr>
            </w:pPr>
            <w:r>
              <w:t>28</w:t>
            </w:r>
          </w:p>
        </w:tc>
        <w:tc>
          <w:tcPr>
            <w:tcW w:w="0" w:type="dxa"/>
            <w:tcBorders>
              <w:bottom w:val="single" w:sz="4" w:space="0" w:color="000000" w:themeColor="text1"/>
            </w:tcBorders>
          </w:tcPr>
          <w:p w14:paraId="475CC805" w14:textId="3F84A410" w:rsidR="007D5D13" w:rsidRPr="003C0A2F" w:rsidRDefault="007D5D13" w:rsidP="00B12DBF">
            <w:pPr>
              <w:pStyle w:val="VCAAtablecondensed"/>
              <w:rPr>
                <w:b/>
                <w:bCs/>
                <w:lang w:val="en-AU"/>
              </w:rPr>
            </w:pPr>
            <w:r>
              <w:t>14</w:t>
            </w:r>
          </w:p>
        </w:tc>
        <w:tc>
          <w:tcPr>
            <w:tcW w:w="0" w:type="dxa"/>
          </w:tcPr>
          <w:p w14:paraId="4D723D62" w14:textId="5E96C843" w:rsidR="007D5D13" w:rsidRPr="003C0A2F" w:rsidRDefault="007D5D13" w:rsidP="00B12DBF">
            <w:pPr>
              <w:pStyle w:val="VCAAtablecondensed"/>
              <w:rPr>
                <w:lang w:val="en-AU"/>
              </w:rPr>
            </w:pPr>
            <w:r>
              <w:t>13</w:t>
            </w:r>
          </w:p>
        </w:tc>
        <w:tc>
          <w:tcPr>
            <w:tcW w:w="0" w:type="dxa"/>
            <w:shd w:val="clear" w:color="auto" w:fill="F2F2F2" w:themeFill="background1" w:themeFillShade="F2"/>
          </w:tcPr>
          <w:p w14:paraId="32A9C313" w14:textId="598D92FF" w:rsidR="007D5D13" w:rsidRPr="00104DDD" w:rsidRDefault="007D5D13" w:rsidP="00B12DBF">
            <w:pPr>
              <w:pStyle w:val="VCAAtablecondensed"/>
              <w:rPr>
                <w:rStyle w:val="VCAAbold"/>
              </w:rPr>
            </w:pPr>
            <w:r w:rsidRPr="00104DDD">
              <w:rPr>
                <w:rStyle w:val="VCAAbold"/>
              </w:rPr>
              <w:t>45</w:t>
            </w:r>
          </w:p>
        </w:tc>
        <w:tc>
          <w:tcPr>
            <w:tcW w:w="0" w:type="dxa"/>
          </w:tcPr>
          <w:p w14:paraId="35AD8E03" w14:textId="1DEDDE77" w:rsidR="007D5D13" w:rsidRPr="00727C94" w:rsidRDefault="00936A91" w:rsidP="00727C94">
            <w:pPr>
              <w:pStyle w:val="VCAAtablecondensed"/>
            </w:pPr>
            <w:r>
              <w:t>N</w:t>
            </w:r>
            <w:r w:rsidR="004B0662" w:rsidRPr="00727C94">
              <w:t xml:space="preserve">egative interest rates </w:t>
            </w:r>
            <w:proofErr w:type="spellStart"/>
            <w:proofErr w:type="gramStart"/>
            <w:r w:rsidR="004B0662" w:rsidRPr="00727C94">
              <w:t>incentivises</w:t>
            </w:r>
            <w:proofErr w:type="spellEnd"/>
            <w:proofErr w:type="gramEnd"/>
            <w:r w:rsidR="004B0662" w:rsidRPr="00727C94">
              <w:t xml:space="preserve"> borrowing and credit based consumption or investment.</w:t>
            </w:r>
            <w:r w:rsidR="00F87ED6">
              <w:t xml:space="preserve"> </w:t>
            </w:r>
            <w:r w:rsidR="004B0662" w:rsidRPr="00727C94">
              <w:t xml:space="preserve">A lower structural deficit </w:t>
            </w:r>
            <w:r>
              <w:t xml:space="preserve">(Option A) </w:t>
            </w:r>
            <w:r w:rsidR="004B0662" w:rsidRPr="00727C94">
              <w:t xml:space="preserve">is more likely to </w:t>
            </w:r>
            <w:r w:rsidR="00B93E78" w:rsidRPr="00727C94">
              <w:t>reduce AD and increase (structural) UE.</w:t>
            </w:r>
            <w:r w:rsidR="00F87ED6">
              <w:t xml:space="preserve"> </w:t>
            </w:r>
            <w:r w:rsidR="00B93E78" w:rsidRPr="00727C94">
              <w:t xml:space="preserve">A decrease in iron ore prices and slower growth in China </w:t>
            </w:r>
            <w:r>
              <w:t xml:space="preserve">(Options B and C) </w:t>
            </w:r>
            <w:r w:rsidR="00B93E78" w:rsidRPr="00727C94">
              <w:t xml:space="preserve">will tend to have a negative impact on both national income and AD, increasing pressure on unemployment. </w:t>
            </w:r>
          </w:p>
        </w:tc>
      </w:tr>
      <w:tr w:rsidR="007D5D13" w:rsidRPr="003C0A2F" w14:paraId="6E299F22" w14:textId="77777777" w:rsidTr="0005739E">
        <w:tc>
          <w:tcPr>
            <w:tcW w:w="0" w:type="dxa"/>
          </w:tcPr>
          <w:p w14:paraId="22368CD3" w14:textId="775212F7" w:rsidR="007D5D13" w:rsidRPr="00270206" w:rsidRDefault="007D5D13" w:rsidP="00B12DBF">
            <w:pPr>
              <w:pStyle w:val="VCAAtablecondensed"/>
              <w:rPr>
                <w:rStyle w:val="VCAAbold"/>
              </w:rPr>
            </w:pPr>
            <w:r w:rsidRPr="00270206">
              <w:rPr>
                <w:rStyle w:val="VCAAbold"/>
              </w:rPr>
              <w:t>9</w:t>
            </w:r>
          </w:p>
        </w:tc>
        <w:tc>
          <w:tcPr>
            <w:tcW w:w="0" w:type="dxa"/>
          </w:tcPr>
          <w:p w14:paraId="4364A619" w14:textId="22AE853E" w:rsidR="007D5D13" w:rsidRPr="003C0A2F" w:rsidRDefault="007D5D13" w:rsidP="00B12DBF">
            <w:pPr>
              <w:pStyle w:val="VCAAtablecondensed"/>
              <w:rPr>
                <w:lang w:val="en-AU"/>
              </w:rPr>
            </w:pPr>
            <w:r>
              <w:t>A</w:t>
            </w:r>
          </w:p>
        </w:tc>
        <w:tc>
          <w:tcPr>
            <w:tcW w:w="0" w:type="dxa"/>
            <w:shd w:val="clear" w:color="auto" w:fill="F2F2F2" w:themeFill="background1" w:themeFillShade="F2"/>
          </w:tcPr>
          <w:p w14:paraId="21C537DF" w14:textId="274D269E" w:rsidR="007D5D13" w:rsidRPr="00104DDD" w:rsidRDefault="007D5D13" w:rsidP="00B12DBF">
            <w:pPr>
              <w:pStyle w:val="VCAAtablecondensed"/>
              <w:rPr>
                <w:rStyle w:val="VCAAbold"/>
              </w:rPr>
            </w:pPr>
            <w:r w:rsidRPr="00104DDD">
              <w:rPr>
                <w:rStyle w:val="VCAAbold"/>
              </w:rPr>
              <w:t>78</w:t>
            </w:r>
          </w:p>
        </w:tc>
        <w:tc>
          <w:tcPr>
            <w:tcW w:w="0" w:type="dxa"/>
          </w:tcPr>
          <w:p w14:paraId="25FD28DA" w14:textId="55CF370A" w:rsidR="007D5D13" w:rsidRPr="003C0A2F" w:rsidRDefault="007D5D13" w:rsidP="00B12DBF">
            <w:pPr>
              <w:pStyle w:val="VCAAtablecondensed"/>
              <w:rPr>
                <w:b/>
                <w:bCs/>
                <w:lang w:val="en-AU"/>
              </w:rPr>
            </w:pPr>
            <w:r>
              <w:t>13</w:t>
            </w:r>
          </w:p>
        </w:tc>
        <w:tc>
          <w:tcPr>
            <w:tcW w:w="0" w:type="dxa"/>
          </w:tcPr>
          <w:p w14:paraId="7C14E791" w14:textId="097F6AF4" w:rsidR="007D5D13" w:rsidRPr="003C0A2F" w:rsidRDefault="007D5D13" w:rsidP="00B12DBF">
            <w:pPr>
              <w:pStyle w:val="VCAAtablecondensed"/>
              <w:rPr>
                <w:lang w:val="en-AU"/>
              </w:rPr>
            </w:pPr>
            <w:r>
              <w:t>5</w:t>
            </w:r>
          </w:p>
        </w:tc>
        <w:tc>
          <w:tcPr>
            <w:tcW w:w="0" w:type="dxa"/>
            <w:tcBorders>
              <w:bottom w:val="single" w:sz="4" w:space="0" w:color="000000" w:themeColor="text1"/>
            </w:tcBorders>
          </w:tcPr>
          <w:p w14:paraId="4904A49B" w14:textId="7836D0D4" w:rsidR="007D5D13" w:rsidRPr="003C0A2F" w:rsidRDefault="007D5D13" w:rsidP="00B12DBF">
            <w:pPr>
              <w:pStyle w:val="VCAAtablecondensed"/>
              <w:rPr>
                <w:lang w:val="en-AU"/>
              </w:rPr>
            </w:pPr>
            <w:r>
              <w:t>4</w:t>
            </w:r>
          </w:p>
        </w:tc>
        <w:tc>
          <w:tcPr>
            <w:tcW w:w="0" w:type="dxa"/>
          </w:tcPr>
          <w:p w14:paraId="522B9CC2" w14:textId="77777777" w:rsidR="007D5D13" w:rsidRPr="003C0A2F" w:rsidRDefault="007D5D13" w:rsidP="007D5D13">
            <w:pPr>
              <w:pStyle w:val="VCAAbody"/>
              <w:rPr>
                <w:lang w:val="en-AU"/>
              </w:rPr>
            </w:pPr>
          </w:p>
        </w:tc>
      </w:tr>
      <w:tr w:rsidR="007D5D13" w:rsidRPr="003C0A2F" w14:paraId="4019CFDA" w14:textId="77777777" w:rsidTr="0005739E">
        <w:tc>
          <w:tcPr>
            <w:tcW w:w="0" w:type="dxa"/>
          </w:tcPr>
          <w:p w14:paraId="4DCAC154" w14:textId="1C3A6A93" w:rsidR="007D5D13" w:rsidRPr="00270206" w:rsidRDefault="007D5D13" w:rsidP="00B12DBF">
            <w:pPr>
              <w:pStyle w:val="VCAAtablecondensed"/>
              <w:rPr>
                <w:rStyle w:val="VCAAbold"/>
              </w:rPr>
            </w:pPr>
            <w:r w:rsidRPr="00270206">
              <w:rPr>
                <w:rStyle w:val="VCAAbold"/>
              </w:rPr>
              <w:t>10</w:t>
            </w:r>
          </w:p>
        </w:tc>
        <w:tc>
          <w:tcPr>
            <w:tcW w:w="0" w:type="dxa"/>
          </w:tcPr>
          <w:p w14:paraId="782DEAFB" w14:textId="08175515" w:rsidR="007D5D13" w:rsidRPr="003C0A2F" w:rsidRDefault="007D5D13" w:rsidP="00B12DBF">
            <w:pPr>
              <w:pStyle w:val="VCAAtablecondensed"/>
              <w:rPr>
                <w:lang w:val="en-AU"/>
              </w:rPr>
            </w:pPr>
            <w:r>
              <w:t>A</w:t>
            </w:r>
          </w:p>
        </w:tc>
        <w:tc>
          <w:tcPr>
            <w:tcW w:w="0" w:type="dxa"/>
            <w:tcBorders>
              <w:bottom w:val="single" w:sz="4" w:space="0" w:color="000000" w:themeColor="text1"/>
            </w:tcBorders>
            <w:shd w:val="clear" w:color="auto" w:fill="F2F2F2" w:themeFill="background1" w:themeFillShade="F2"/>
          </w:tcPr>
          <w:p w14:paraId="76679598" w14:textId="69F64C13" w:rsidR="007D5D13" w:rsidRPr="00104DDD" w:rsidRDefault="007D5D13" w:rsidP="00B12DBF">
            <w:pPr>
              <w:pStyle w:val="VCAAtablecondensed"/>
              <w:rPr>
                <w:rStyle w:val="VCAAbold"/>
              </w:rPr>
            </w:pPr>
            <w:r w:rsidRPr="00104DDD">
              <w:rPr>
                <w:rStyle w:val="VCAAbold"/>
              </w:rPr>
              <w:t>70</w:t>
            </w:r>
          </w:p>
        </w:tc>
        <w:tc>
          <w:tcPr>
            <w:tcW w:w="0" w:type="dxa"/>
          </w:tcPr>
          <w:p w14:paraId="7EE2DF80" w14:textId="28D166DF" w:rsidR="007D5D13" w:rsidRPr="003C0A2F" w:rsidRDefault="007D5D13" w:rsidP="00B12DBF">
            <w:pPr>
              <w:pStyle w:val="VCAAtablecondensed"/>
              <w:rPr>
                <w:lang w:val="en-AU"/>
              </w:rPr>
            </w:pPr>
            <w:r>
              <w:t>10</w:t>
            </w:r>
          </w:p>
        </w:tc>
        <w:tc>
          <w:tcPr>
            <w:tcW w:w="0" w:type="dxa"/>
          </w:tcPr>
          <w:p w14:paraId="60A5384B" w14:textId="0464370E" w:rsidR="007D5D13" w:rsidRPr="003C0A2F" w:rsidRDefault="007D5D13" w:rsidP="00B12DBF">
            <w:pPr>
              <w:pStyle w:val="VCAAtablecondensed"/>
              <w:rPr>
                <w:lang w:val="en-AU"/>
              </w:rPr>
            </w:pPr>
            <w:r>
              <w:t>6</w:t>
            </w:r>
          </w:p>
        </w:tc>
        <w:tc>
          <w:tcPr>
            <w:tcW w:w="0" w:type="dxa"/>
          </w:tcPr>
          <w:p w14:paraId="3D6D8CC2" w14:textId="13A0D6DA" w:rsidR="007D5D13" w:rsidRPr="003C0A2F" w:rsidRDefault="007D5D13" w:rsidP="00B12DBF">
            <w:pPr>
              <w:pStyle w:val="VCAAtablecondensed"/>
              <w:rPr>
                <w:b/>
                <w:bCs/>
                <w:lang w:val="en-AU"/>
              </w:rPr>
            </w:pPr>
            <w:r>
              <w:t>14</w:t>
            </w:r>
          </w:p>
        </w:tc>
        <w:tc>
          <w:tcPr>
            <w:tcW w:w="0" w:type="dxa"/>
          </w:tcPr>
          <w:p w14:paraId="2EBDBD74" w14:textId="3C1BE151" w:rsidR="007D5D13" w:rsidRPr="003C0A2F" w:rsidRDefault="007D5D13" w:rsidP="007D5D13">
            <w:pPr>
              <w:pStyle w:val="VCAAbody"/>
              <w:rPr>
                <w:sz w:val="18"/>
                <w:szCs w:val="20"/>
                <w:lang w:val="en-AU"/>
              </w:rPr>
            </w:pPr>
          </w:p>
        </w:tc>
      </w:tr>
      <w:tr w:rsidR="007D5D13" w:rsidRPr="003C0A2F" w14:paraId="1AF4EEAF" w14:textId="77777777" w:rsidTr="0005739E">
        <w:tc>
          <w:tcPr>
            <w:tcW w:w="0" w:type="dxa"/>
          </w:tcPr>
          <w:p w14:paraId="3947A753" w14:textId="0227CBA4" w:rsidR="007D5D13" w:rsidRPr="00270206" w:rsidRDefault="007D5D13" w:rsidP="00B12DBF">
            <w:pPr>
              <w:pStyle w:val="VCAAtablecondensed"/>
              <w:rPr>
                <w:rStyle w:val="VCAAbold"/>
              </w:rPr>
            </w:pPr>
            <w:r w:rsidRPr="00270206">
              <w:rPr>
                <w:rStyle w:val="VCAAbold"/>
              </w:rPr>
              <w:t>11</w:t>
            </w:r>
          </w:p>
        </w:tc>
        <w:tc>
          <w:tcPr>
            <w:tcW w:w="0" w:type="dxa"/>
          </w:tcPr>
          <w:p w14:paraId="592538EB" w14:textId="4BBC1138" w:rsidR="007D5D13" w:rsidRPr="003C0A2F" w:rsidRDefault="007D5D13" w:rsidP="00B12DBF">
            <w:pPr>
              <w:pStyle w:val="VCAAtablecondensed"/>
              <w:rPr>
                <w:lang w:val="en-AU"/>
              </w:rPr>
            </w:pPr>
            <w:r>
              <w:t>B</w:t>
            </w:r>
          </w:p>
        </w:tc>
        <w:tc>
          <w:tcPr>
            <w:tcW w:w="0" w:type="dxa"/>
          </w:tcPr>
          <w:p w14:paraId="0CEAFFC9" w14:textId="1C5F169B" w:rsidR="007D5D13" w:rsidRPr="003C0A2F" w:rsidRDefault="007D5D13" w:rsidP="00B12DBF">
            <w:pPr>
              <w:pStyle w:val="VCAAtablecondensed"/>
              <w:rPr>
                <w:b/>
                <w:bCs/>
                <w:lang w:val="en-AU"/>
              </w:rPr>
            </w:pPr>
            <w:r>
              <w:t>8</w:t>
            </w:r>
          </w:p>
        </w:tc>
        <w:tc>
          <w:tcPr>
            <w:tcW w:w="0" w:type="dxa"/>
            <w:tcBorders>
              <w:bottom w:val="single" w:sz="4" w:space="0" w:color="000000" w:themeColor="text1"/>
            </w:tcBorders>
            <w:shd w:val="clear" w:color="auto" w:fill="F2F2F2" w:themeFill="background1" w:themeFillShade="F2"/>
          </w:tcPr>
          <w:p w14:paraId="2E637353" w14:textId="06F2EEA3" w:rsidR="007D5D13" w:rsidRPr="00104DDD" w:rsidRDefault="007D5D13" w:rsidP="00B12DBF">
            <w:pPr>
              <w:pStyle w:val="VCAAtablecondensed"/>
              <w:rPr>
                <w:rStyle w:val="VCAAbold"/>
              </w:rPr>
            </w:pPr>
            <w:r w:rsidRPr="00104DDD">
              <w:rPr>
                <w:rStyle w:val="VCAAbold"/>
              </w:rPr>
              <w:t>28</w:t>
            </w:r>
          </w:p>
        </w:tc>
        <w:tc>
          <w:tcPr>
            <w:tcW w:w="0" w:type="dxa"/>
          </w:tcPr>
          <w:p w14:paraId="384BFE8F" w14:textId="30B98AC7" w:rsidR="007D5D13" w:rsidRPr="003C0A2F" w:rsidRDefault="007D5D13" w:rsidP="00B12DBF">
            <w:pPr>
              <w:pStyle w:val="VCAAtablecondensed"/>
              <w:rPr>
                <w:lang w:val="en-AU"/>
              </w:rPr>
            </w:pPr>
            <w:r>
              <w:t>18</w:t>
            </w:r>
          </w:p>
        </w:tc>
        <w:tc>
          <w:tcPr>
            <w:tcW w:w="0" w:type="dxa"/>
          </w:tcPr>
          <w:p w14:paraId="567191C2" w14:textId="590DCA89" w:rsidR="007D5D13" w:rsidRPr="003C0A2F" w:rsidRDefault="007D5D13" w:rsidP="00B12DBF">
            <w:pPr>
              <w:pStyle w:val="VCAAtablecondensed"/>
              <w:rPr>
                <w:lang w:val="en-AU"/>
              </w:rPr>
            </w:pPr>
            <w:r>
              <w:t>45</w:t>
            </w:r>
          </w:p>
        </w:tc>
        <w:tc>
          <w:tcPr>
            <w:tcW w:w="0" w:type="dxa"/>
          </w:tcPr>
          <w:p w14:paraId="5DF1A933" w14:textId="497C2C9C" w:rsidR="007D5D13" w:rsidRPr="00727C94" w:rsidRDefault="00936A91" w:rsidP="00727C94">
            <w:pPr>
              <w:pStyle w:val="VCAAtablecondensed"/>
            </w:pPr>
            <w:r>
              <w:t>A</w:t>
            </w:r>
            <w:r w:rsidR="00B93E78" w:rsidRPr="00727C94">
              <w:t xml:space="preserve"> high rate of growth in Australia typically leads to an increase in import spending relative to export receipts, reducing the BOGS and decreasing the CA balance for reasons related to changes in economic growth (or the business/economic cycle).</w:t>
            </w:r>
            <w:r w:rsidR="00F87ED6">
              <w:t xml:space="preserve"> </w:t>
            </w:r>
            <w:r w:rsidR="00B93E78" w:rsidRPr="00727C94">
              <w:t xml:space="preserve">A high rate of growth in China </w:t>
            </w:r>
            <w:r>
              <w:t xml:space="preserve">(Option A) </w:t>
            </w:r>
            <w:r w:rsidR="00B93E78" w:rsidRPr="00727C94">
              <w:t>improves the CA balance.</w:t>
            </w:r>
            <w:r w:rsidR="00F87ED6">
              <w:t xml:space="preserve"> </w:t>
            </w:r>
            <w:r w:rsidR="00B93E78" w:rsidRPr="00727C94">
              <w:t>The remaining two options (C and D) are examples of structural factors that can worsen the CA balance.</w:t>
            </w:r>
          </w:p>
        </w:tc>
      </w:tr>
      <w:tr w:rsidR="007D5D13" w:rsidRPr="003C0A2F" w14:paraId="01FF8929" w14:textId="77777777" w:rsidTr="0005739E">
        <w:tc>
          <w:tcPr>
            <w:tcW w:w="0" w:type="dxa"/>
          </w:tcPr>
          <w:p w14:paraId="41756B4B" w14:textId="08ED657F" w:rsidR="007D5D13" w:rsidRPr="00270206" w:rsidRDefault="007D5D13" w:rsidP="00B12DBF">
            <w:pPr>
              <w:pStyle w:val="VCAAtablecondensed"/>
              <w:rPr>
                <w:rStyle w:val="VCAAbold"/>
              </w:rPr>
            </w:pPr>
            <w:r w:rsidRPr="00270206">
              <w:rPr>
                <w:rStyle w:val="VCAAbold"/>
              </w:rPr>
              <w:t>12</w:t>
            </w:r>
          </w:p>
        </w:tc>
        <w:tc>
          <w:tcPr>
            <w:tcW w:w="0" w:type="dxa"/>
          </w:tcPr>
          <w:p w14:paraId="60319C50" w14:textId="165B5C95" w:rsidR="007D5D13" w:rsidRPr="003C0A2F" w:rsidRDefault="007D5D13" w:rsidP="00B12DBF">
            <w:pPr>
              <w:pStyle w:val="VCAAtablecondensed"/>
              <w:rPr>
                <w:lang w:val="en-AU"/>
              </w:rPr>
            </w:pPr>
            <w:r>
              <w:t>C</w:t>
            </w:r>
          </w:p>
        </w:tc>
        <w:tc>
          <w:tcPr>
            <w:tcW w:w="0" w:type="dxa"/>
          </w:tcPr>
          <w:p w14:paraId="50A1ED2B" w14:textId="011FC63C" w:rsidR="007D5D13" w:rsidRPr="003C0A2F" w:rsidRDefault="007D5D13" w:rsidP="00B12DBF">
            <w:pPr>
              <w:pStyle w:val="VCAAtablecondensed"/>
              <w:rPr>
                <w:lang w:val="en-AU"/>
              </w:rPr>
            </w:pPr>
            <w:r>
              <w:t>28</w:t>
            </w:r>
          </w:p>
        </w:tc>
        <w:tc>
          <w:tcPr>
            <w:tcW w:w="0" w:type="dxa"/>
          </w:tcPr>
          <w:p w14:paraId="6F146B0D" w14:textId="3B04A4D1" w:rsidR="007D5D13" w:rsidRPr="003C0A2F" w:rsidRDefault="007D5D13" w:rsidP="00B12DBF">
            <w:pPr>
              <w:pStyle w:val="VCAAtablecondensed"/>
              <w:rPr>
                <w:b/>
                <w:bCs/>
                <w:lang w:val="en-AU"/>
              </w:rPr>
            </w:pPr>
            <w:r>
              <w:t>11</w:t>
            </w:r>
          </w:p>
        </w:tc>
        <w:tc>
          <w:tcPr>
            <w:tcW w:w="0" w:type="dxa"/>
            <w:tcBorders>
              <w:bottom w:val="single" w:sz="4" w:space="0" w:color="000000" w:themeColor="text1"/>
            </w:tcBorders>
            <w:shd w:val="clear" w:color="auto" w:fill="F2F2F2" w:themeFill="background1" w:themeFillShade="F2"/>
          </w:tcPr>
          <w:p w14:paraId="7D5BC928" w14:textId="3C33C888" w:rsidR="007D5D13" w:rsidRPr="00104DDD" w:rsidRDefault="007D5D13" w:rsidP="00B12DBF">
            <w:pPr>
              <w:pStyle w:val="VCAAtablecondensed"/>
              <w:rPr>
                <w:rStyle w:val="VCAAbold"/>
              </w:rPr>
            </w:pPr>
            <w:r w:rsidRPr="00104DDD">
              <w:rPr>
                <w:rStyle w:val="VCAAbold"/>
              </w:rPr>
              <w:t>51</w:t>
            </w:r>
          </w:p>
        </w:tc>
        <w:tc>
          <w:tcPr>
            <w:tcW w:w="0" w:type="dxa"/>
          </w:tcPr>
          <w:p w14:paraId="4540F20D" w14:textId="29A0F036" w:rsidR="007D5D13" w:rsidRPr="003C0A2F" w:rsidRDefault="007D5D13" w:rsidP="00B12DBF">
            <w:pPr>
              <w:pStyle w:val="VCAAtablecondensed"/>
              <w:rPr>
                <w:lang w:val="en-AU"/>
              </w:rPr>
            </w:pPr>
            <w:r>
              <w:t>11</w:t>
            </w:r>
          </w:p>
        </w:tc>
        <w:tc>
          <w:tcPr>
            <w:tcW w:w="0" w:type="dxa"/>
          </w:tcPr>
          <w:p w14:paraId="6792B390" w14:textId="77777777" w:rsidR="007D5D13" w:rsidRPr="003C0A2F" w:rsidRDefault="007D5D13" w:rsidP="007D5D13">
            <w:pPr>
              <w:pStyle w:val="VCAAbody"/>
              <w:rPr>
                <w:lang w:val="en-AU"/>
              </w:rPr>
            </w:pPr>
          </w:p>
        </w:tc>
      </w:tr>
      <w:tr w:rsidR="007D5D13" w:rsidRPr="003C0A2F" w14:paraId="67C7735A" w14:textId="77777777" w:rsidTr="0005739E">
        <w:tc>
          <w:tcPr>
            <w:tcW w:w="0" w:type="dxa"/>
          </w:tcPr>
          <w:p w14:paraId="433DA84F" w14:textId="49FB7062" w:rsidR="007D5D13" w:rsidRPr="00270206" w:rsidRDefault="007D5D13" w:rsidP="00B12DBF">
            <w:pPr>
              <w:pStyle w:val="VCAAtablecondensed"/>
              <w:rPr>
                <w:rStyle w:val="VCAAbold"/>
              </w:rPr>
            </w:pPr>
            <w:r w:rsidRPr="00270206">
              <w:rPr>
                <w:rStyle w:val="VCAAbold"/>
              </w:rPr>
              <w:t>13</w:t>
            </w:r>
          </w:p>
        </w:tc>
        <w:tc>
          <w:tcPr>
            <w:tcW w:w="0" w:type="dxa"/>
          </w:tcPr>
          <w:p w14:paraId="2E6C05D7" w14:textId="4E13388A" w:rsidR="007D5D13" w:rsidRPr="003C0A2F" w:rsidRDefault="007D5D13" w:rsidP="00B12DBF">
            <w:pPr>
              <w:pStyle w:val="VCAAtablecondensed"/>
              <w:rPr>
                <w:lang w:val="en-AU"/>
              </w:rPr>
            </w:pPr>
            <w:r>
              <w:t>D</w:t>
            </w:r>
          </w:p>
        </w:tc>
        <w:tc>
          <w:tcPr>
            <w:tcW w:w="0" w:type="dxa"/>
            <w:tcBorders>
              <w:bottom w:val="single" w:sz="4" w:space="0" w:color="000000" w:themeColor="text1"/>
            </w:tcBorders>
          </w:tcPr>
          <w:p w14:paraId="2F6EC44E" w14:textId="1E2C0330" w:rsidR="007D5D13" w:rsidRPr="003C0A2F" w:rsidRDefault="007D5D13" w:rsidP="00B12DBF">
            <w:pPr>
              <w:pStyle w:val="VCAAtablecondensed"/>
              <w:rPr>
                <w:lang w:val="en-AU"/>
              </w:rPr>
            </w:pPr>
            <w:r>
              <w:t>16</w:t>
            </w:r>
          </w:p>
        </w:tc>
        <w:tc>
          <w:tcPr>
            <w:tcW w:w="0" w:type="dxa"/>
          </w:tcPr>
          <w:p w14:paraId="476DBA81" w14:textId="19830B6D" w:rsidR="007D5D13" w:rsidRPr="003C0A2F" w:rsidRDefault="007D5D13" w:rsidP="00B12DBF">
            <w:pPr>
              <w:pStyle w:val="VCAAtablecondensed"/>
              <w:rPr>
                <w:lang w:val="en-AU"/>
              </w:rPr>
            </w:pPr>
            <w:r>
              <w:t>7</w:t>
            </w:r>
          </w:p>
        </w:tc>
        <w:tc>
          <w:tcPr>
            <w:tcW w:w="0" w:type="dxa"/>
          </w:tcPr>
          <w:p w14:paraId="5798BC5B" w14:textId="535A16E9" w:rsidR="007D5D13" w:rsidRPr="003C0A2F" w:rsidRDefault="007D5D13" w:rsidP="00B12DBF">
            <w:pPr>
              <w:pStyle w:val="VCAAtablecondensed"/>
              <w:rPr>
                <w:b/>
                <w:bCs/>
                <w:lang w:val="en-AU"/>
              </w:rPr>
            </w:pPr>
            <w:r>
              <w:t>15</w:t>
            </w:r>
          </w:p>
        </w:tc>
        <w:tc>
          <w:tcPr>
            <w:tcW w:w="0" w:type="dxa"/>
            <w:shd w:val="clear" w:color="auto" w:fill="F2F2F2" w:themeFill="background1" w:themeFillShade="F2"/>
          </w:tcPr>
          <w:p w14:paraId="197ED291" w14:textId="422DB8F8" w:rsidR="007D5D13" w:rsidRPr="00104DDD" w:rsidRDefault="007D5D13" w:rsidP="00B12DBF">
            <w:pPr>
              <w:pStyle w:val="VCAAtablecondensed"/>
              <w:rPr>
                <w:rStyle w:val="VCAAbold"/>
              </w:rPr>
            </w:pPr>
            <w:r w:rsidRPr="00104DDD">
              <w:rPr>
                <w:rStyle w:val="VCAAbold"/>
              </w:rPr>
              <w:t>62</w:t>
            </w:r>
          </w:p>
        </w:tc>
        <w:tc>
          <w:tcPr>
            <w:tcW w:w="0" w:type="dxa"/>
          </w:tcPr>
          <w:p w14:paraId="3160C08B" w14:textId="05A070B3" w:rsidR="007D5D13" w:rsidRPr="003C0A2F" w:rsidRDefault="007D5D13" w:rsidP="007D5D13">
            <w:pPr>
              <w:pStyle w:val="VCAAbody"/>
              <w:rPr>
                <w:lang w:val="en-AU"/>
              </w:rPr>
            </w:pPr>
          </w:p>
        </w:tc>
      </w:tr>
      <w:tr w:rsidR="007D5D13" w:rsidRPr="003C0A2F" w14:paraId="002AD287" w14:textId="77777777" w:rsidTr="0005739E">
        <w:tc>
          <w:tcPr>
            <w:tcW w:w="0" w:type="dxa"/>
          </w:tcPr>
          <w:p w14:paraId="69A1423F" w14:textId="526CF746" w:rsidR="007D5D13" w:rsidRPr="00270206" w:rsidRDefault="007D5D13" w:rsidP="00B12DBF">
            <w:pPr>
              <w:pStyle w:val="VCAAtablecondensed"/>
              <w:rPr>
                <w:rStyle w:val="VCAAbold"/>
              </w:rPr>
            </w:pPr>
            <w:r w:rsidRPr="00270206">
              <w:rPr>
                <w:rStyle w:val="VCAAbold"/>
              </w:rPr>
              <w:t>14</w:t>
            </w:r>
          </w:p>
        </w:tc>
        <w:tc>
          <w:tcPr>
            <w:tcW w:w="0" w:type="dxa"/>
          </w:tcPr>
          <w:p w14:paraId="17DC57FF" w14:textId="39571CE9" w:rsidR="007D5D13" w:rsidRPr="003C0A2F" w:rsidRDefault="007D5D13" w:rsidP="00B12DBF">
            <w:pPr>
              <w:pStyle w:val="VCAAtablecondensed"/>
              <w:rPr>
                <w:lang w:val="en-AU"/>
              </w:rPr>
            </w:pPr>
            <w:r>
              <w:t>C</w:t>
            </w:r>
          </w:p>
        </w:tc>
        <w:tc>
          <w:tcPr>
            <w:tcW w:w="0" w:type="dxa"/>
          </w:tcPr>
          <w:p w14:paraId="6A776312" w14:textId="6F1DD124" w:rsidR="007D5D13" w:rsidRPr="003C0A2F" w:rsidRDefault="007D5D13" w:rsidP="00B12DBF">
            <w:pPr>
              <w:pStyle w:val="VCAAtablecondensed"/>
              <w:rPr>
                <w:b/>
                <w:bCs/>
                <w:lang w:val="en-AU"/>
              </w:rPr>
            </w:pPr>
            <w:r>
              <w:t>9</w:t>
            </w:r>
          </w:p>
        </w:tc>
        <w:tc>
          <w:tcPr>
            <w:tcW w:w="0" w:type="dxa"/>
          </w:tcPr>
          <w:p w14:paraId="012090DF" w14:textId="65ED441E" w:rsidR="007D5D13" w:rsidRPr="003C0A2F" w:rsidRDefault="007D5D13" w:rsidP="00B12DBF">
            <w:pPr>
              <w:pStyle w:val="VCAAtablecondensed"/>
              <w:rPr>
                <w:lang w:val="en-AU"/>
              </w:rPr>
            </w:pPr>
            <w:r>
              <w:t>4</w:t>
            </w:r>
          </w:p>
        </w:tc>
        <w:tc>
          <w:tcPr>
            <w:tcW w:w="0" w:type="dxa"/>
            <w:tcBorders>
              <w:bottom w:val="single" w:sz="4" w:space="0" w:color="000000" w:themeColor="text1"/>
            </w:tcBorders>
            <w:shd w:val="clear" w:color="auto" w:fill="F2F2F2" w:themeFill="background1" w:themeFillShade="F2"/>
          </w:tcPr>
          <w:p w14:paraId="59625AA1" w14:textId="5A5B1E6B" w:rsidR="007D5D13" w:rsidRPr="00104DDD" w:rsidRDefault="007D5D13" w:rsidP="00B12DBF">
            <w:pPr>
              <w:pStyle w:val="VCAAtablecondensed"/>
              <w:rPr>
                <w:rStyle w:val="VCAAbold"/>
              </w:rPr>
            </w:pPr>
            <w:r w:rsidRPr="00104DDD">
              <w:rPr>
                <w:rStyle w:val="VCAAbold"/>
              </w:rPr>
              <w:t>83</w:t>
            </w:r>
          </w:p>
        </w:tc>
        <w:tc>
          <w:tcPr>
            <w:tcW w:w="0" w:type="dxa"/>
          </w:tcPr>
          <w:p w14:paraId="2D3BC55B" w14:textId="74AAE1CF" w:rsidR="007D5D13" w:rsidRPr="003C0A2F" w:rsidRDefault="007D5D13" w:rsidP="00B12DBF">
            <w:pPr>
              <w:pStyle w:val="VCAAtablecondensed"/>
              <w:rPr>
                <w:lang w:val="en-AU"/>
              </w:rPr>
            </w:pPr>
            <w:r>
              <w:t>4</w:t>
            </w:r>
          </w:p>
        </w:tc>
        <w:tc>
          <w:tcPr>
            <w:tcW w:w="0" w:type="dxa"/>
          </w:tcPr>
          <w:p w14:paraId="690F0474" w14:textId="0082E743" w:rsidR="007D5D13" w:rsidRPr="003C0A2F" w:rsidRDefault="007D5D13" w:rsidP="007D5D13">
            <w:pPr>
              <w:pStyle w:val="VCAAbody"/>
              <w:rPr>
                <w:lang w:val="en-AU"/>
              </w:rPr>
            </w:pPr>
          </w:p>
        </w:tc>
      </w:tr>
      <w:tr w:rsidR="007D5D13" w:rsidRPr="003C0A2F" w14:paraId="1494A2FF" w14:textId="77777777" w:rsidTr="0005739E">
        <w:tc>
          <w:tcPr>
            <w:tcW w:w="0" w:type="dxa"/>
          </w:tcPr>
          <w:p w14:paraId="05DB263D" w14:textId="5DFCE05F" w:rsidR="007D5D13" w:rsidRPr="00270206" w:rsidRDefault="007D5D13" w:rsidP="00B12DBF">
            <w:pPr>
              <w:pStyle w:val="VCAAtablecondensed"/>
              <w:rPr>
                <w:rStyle w:val="VCAAbold"/>
              </w:rPr>
            </w:pPr>
            <w:r w:rsidRPr="00270206">
              <w:rPr>
                <w:rStyle w:val="VCAAbold"/>
              </w:rPr>
              <w:t>15</w:t>
            </w:r>
          </w:p>
        </w:tc>
        <w:tc>
          <w:tcPr>
            <w:tcW w:w="0" w:type="dxa"/>
          </w:tcPr>
          <w:p w14:paraId="5C5C68A6" w14:textId="49389286" w:rsidR="007D5D13" w:rsidRPr="003C0A2F" w:rsidRDefault="007D5D13" w:rsidP="00B12DBF">
            <w:pPr>
              <w:pStyle w:val="VCAAtablecondensed"/>
              <w:rPr>
                <w:lang w:val="en-AU"/>
              </w:rPr>
            </w:pPr>
            <w:r>
              <w:t>B</w:t>
            </w:r>
          </w:p>
        </w:tc>
        <w:tc>
          <w:tcPr>
            <w:tcW w:w="0" w:type="dxa"/>
          </w:tcPr>
          <w:p w14:paraId="4356B78C" w14:textId="5AA5B477" w:rsidR="007D5D13" w:rsidRPr="003C0A2F" w:rsidRDefault="007D5D13" w:rsidP="00B12DBF">
            <w:pPr>
              <w:pStyle w:val="VCAAtablecondensed"/>
              <w:rPr>
                <w:lang w:val="en-AU"/>
              </w:rPr>
            </w:pPr>
            <w:r>
              <w:t>6</w:t>
            </w:r>
          </w:p>
        </w:tc>
        <w:tc>
          <w:tcPr>
            <w:tcW w:w="0" w:type="dxa"/>
            <w:shd w:val="clear" w:color="auto" w:fill="F2F2F2" w:themeFill="background1" w:themeFillShade="F2"/>
          </w:tcPr>
          <w:p w14:paraId="70CC3F59" w14:textId="22091339" w:rsidR="007D5D13" w:rsidRPr="00104DDD" w:rsidRDefault="007D5D13" w:rsidP="00B12DBF">
            <w:pPr>
              <w:pStyle w:val="VCAAtablecondensed"/>
              <w:rPr>
                <w:rStyle w:val="VCAAbold"/>
              </w:rPr>
            </w:pPr>
            <w:r w:rsidRPr="00104DDD">
              <w:rPr>
                <w:rStyle w:val="VCAAbold"/>
              </w:rPr>
              <w:t>71</w:t>
            </w:r>
          </w:p>
        </w:tc>
        <w:tc>
          <w:tcPr>
            <w:tcW w:w="0" w:type="dxa"/>
          </w:tcPr>
          <w:p w14:paraId="66A729F2" w14:textId="51332AF4" w:rsidR="007D5D13" w:rsidRPr="003C0A2F" w:rsidRDefault="007D5D13" w:rsidP="00B12DBF">
            <w:pPr>
              <w:pStyle w:val="VCAAtablecondensed"/>
              <w:rPr>
                <w:b/>
                <w:bCs/>
                <w:lang w:val="en-AU"/>
              </w:rPr>
            </w:pPr>
            <w:r>
              <w:t>8</w:t>
            </w:r>
          </w:p>
        </w:tc>
        <w:tc>
          <w:tcPr>
            <w:tcW w:w="0" w:type="dxa"/>
          </w:tcPr>
          <w:p w14:paraId="3601296B" w14:textId="3303A3CA" w:rsidR="007D5D13" w:rsidRPr="003C0A2F" w:rsidRDefault="007D5D13" w:rsidP="00B12DBF">
            <w:pPr>
              <w:pStyle w:val="VCAAtablecondensed"/>
              <w:rPr>
                <w:lang w:val="en-AU"/>
              </w:rPr>
            </w:pPr>
            <w:r>
              <w:t>15</w:t>
            </w:r>
          </w:p>
        </w:tc>
        <w:tc>
          <w:tcPr>
            <w:tcW w:w="0" w:type="dxa"/>
          </w:tcPr>
          <w:p w14:paraId="659EB50D" w14:textId="3CB1A67D" w:rsidR="007D5D13" w:rsidRPr="003C0A2F" w:rsidRDefault="007D5D13" w:rsidP="007D5D13">
            <w:pPr>
              <w:pStyle w:val="VCAAbody"/>
              <w:rPr>
                <w:lang w:val="en-AU"/>
              </w:rPr>
            </w:pPr>
          </w:p>
        </w:tc>
      </w:tr>
    </w:tbl>
    <w:p w14:paraId="65A8DD8B" w14:textId="77777777" w:rsidR="001E4D9F" w:rsidRDefault="001E4D9F" w:rsidP="009F0D7D">
      <w:pPr>
        <w:pStyle w:val="VCAAbody"/>
        <w:rPr>
          <w:lang w:val="en-AU"/>
        </w:rPr>
      </w:pPr>
    </w:p>
    <w:p w14:paraId="5890414A" w14:textId="77777777" w:rsidR="001E4D9F" w:rsidRPr="00727C94" w:rsidRDefault="001E4D9F" w:rsidP="00727C94">
      <w:pPr>
        <w:pStyle w:val="VCAAbody"/>
      </w:pPr>
      <w:r>
        <w:rPr>
          <w:lang w:val="en-AU"/>
        </w:rPr>
        <w:br w:type="page"/>
      </w:r>
    </w:p>
    <w:p w14:paraId="3DBEF148" w14:textId="1A48090F" w:rsidR="00F1252E" w:rsidRPr="003C0A2F" w:rsidRDefault="00F1252E" w:rsidP="00FC0C7D">
      <w:pPr>
        <w:pStyle w:val="VCAAHeading2"/>
        <w:rPr>
          <w:lang w:val="en-AU"/>
        </w:rPr>
      </w:pPr>
      <w:r w:rsidRPr="003C0A2F">
        <w:rPr>
          <w:lang w:val="en-AU"/>
        </w:rPr>
        <w:lastRenderedPageBreak/>
        <w:t xml:space="preserve">Section B </w:t>
      </w:r>
    </w:p>
    <w:p w14:paraId="451154C8" w14:textId="77777777" w:rsidR="00963008" w:rsidRPr="003C0A2F" w:rsidRDefault="00963008" w:rsidP="009914F6">
      <w:pPr>
        <w:pStyle w:val="VCAAHeading3"/>
      </w:pPr>
      <w:r w:rsidRPr="003C0A2F">
        <w:t>Question 1a.</w:t>
      </w:r>
    </w:p>
    <w:tbl>
      <w:tblPr>
        <w:tblStyle w:val="VCAATableClosed"/>
        <w:tblW w:w="1794" w:type="pct"/>
        <w:tblInd w:w="142" w:type="dxa"/>
        <w:tblLook w:val="04A0" w:firstRow="1" w:lastRow="0" w:firstColumn="1" w:lastColumn="0" w:noHBand="0" w:noVBand="1"/>
      </w:tblPr>
      <w:tblGrid>
        <w:gridCol w:w="693"/>
        <w:gridCol w:w="627"/>
        <w:gridCol w:w="627"/>
        <w:gridCol w:w="627"/>
        <w:gridCol w:w="962"/>
      </w:tblGrid>
      <w:tr w:rsidR="00963008" w:rsidRPr="003C0A2F" w14:paraId="1983DA79" w14:textId="77777777" w:rsidTr="0052782F">
        <w:trPr>
          <w:cnfStyle w:val="100000000000" w:firstRow="1" w:lastRow="0" w:firstColumn="0" w:lastColumn="0" w:oddVBand="0" w:evenVBand="0" w:oddHBand="0" w:evenHBand="0" w:firstRowFirstColumn="0" w:firstRowLastColumn="0" w:lastRowFirstColumn="0" w:lastRowLastColumn="0"/>
        </w:trPr>
        <w:tc>
          <w:tcPr>
            <w:tcW w:w="979" w:type="pct"/>
          </w:tcPr>
          <w:p w14:paraId="44EE6901" w14:textId="77777777" w:rsidR="00963008" w:rsidRPr="003C0A2F" w:rsidRDefault="00963008" w:rsidP="0008480A">
            <w:pPr>
              <w:pStyle w:val="VCAAtablecondensedheading"/>
              <w:rPr>
                <w:lang w:val="en-AU"/>
              </w:rPr>
            </w:pPr>
            <w:r w:rsidRPr="003C0A2F">
              <w:rPr>
                <w:lang w:val="en-AU"/>
              </w:rPr>
              <w:t>Marks</w:t>
            </w:r>
          </w:p>
        </w:tc>
        <w:tc>
          <w:tcPr>
            <w:tcW w:w="887" w:type="pct"/>
          </w:tcPr>
          <w:p w14:paraId="093F17DE" w14:textId="77777777" w:rsidR="00963008" w:rsidRPr="003C0A2F" w:rsidRDefault="00963008" w:rsidP="0008480A">
            <w:pPr>
              <w:pStyle w:val="VCAAtablecondensedheading"/>
              <w:rPr>
                <w:lang w:val="en-AU"/>
              </w:rPr>
            </w:pPr>
            <w:r w:rsidRPr="003C0A2F">
              <w:rPr>
                <w:lang w:val="en-AU"/>
              </w:rPr>
              <w:t>0</w:t>
            </w:r>
          </w:p>
        </w:tc>
        <w:tc>
          <w:tcPr>
            <w:tcW w:w="887" w:type="pct"/>
          </w:tcPr>
          <w:p w14:paraId="54836495" w14:textId="77777777" w:rsidR="00963008" w:rsidRPr="003C0A2F" w:rsidRDefault="00963008" w:rsidP="0008480A">
            <w:pPr>
              <w:pStyle w:val="VCAAtablecondensedheading"/>
              <w:rPr>
                <w:lang w:val="en-AU"/>
              </w:rPr>
            </w:pPr>
            <w:r w:rsidRPr="003C0A2F">
              <w:rPr>
                <w:lang w:val="en-AU"/>
              </w:rPr>
              <w:t>1</w:t>
            </w:r>
          </w:p>
        </w:tc>
        <w:tc>
          <w:tcPr>
            <w:tcW w:w="887" w:type="pct"/>
          </w:tcPr>
          <w:p w14:paraId="4FB6862A" w14:textId="77777777" w:rsidR="00963008" w:rsidRPr="003C0A2F" w:rsidRDefault="00963008" w:rsidP="0008480A">
            <w:pPr>
              <w:pStyle w:val="VCAAtablecondensedheading"/>
              <w:rPr>
                <w:lang w:val="en-AU"/>
              </w:rPr>
            </w:pPr>
            <w:r w:rsidRPr="003C0A2F">
              <w:rPr>
                <w:lang w:val="en-AU"/>
              </w:rPr>
              <w:t>2</w:t>
            </w:r>
          </w:p>
        </w:tc>
        <w:tc>
          <w:tcPr>
            <w:tcW w:w="1362" w:type="pct"/>
          </w:tcPr>
          <w:p w14:paraId="2845D186" w14:textId="77777777" w:rsidR="00963008" w:rsidRPr="003C0A2F" w:rsidRDefault="00963008" w:rsidP="0008480A">
            <w:pPr>
              <w:pStyle w:val="VCAAtablecondensedheading"/>
              <w:rPr>
                <w:lang w:val="en-AU"/>
              </w:rPr>
            </w:pPr>
            <w:r w:rsidRPr="003C0A2F">
              <w:rPr>
                <w:lang w:val="en-AU"/>
              </w:rPr>
              <w:t>Average</w:t>
            </w:r>
          </w:p>
        </w:tc>
      </w:tr>
      <w:tr w:rsidR="00FC7491" w:rsidRPr="003C0A2F" w14:paraId="1C525647" w14:textId="77777777" w:rsidTr="0052782F">
        <w:tc>
          <w:tcPr>
            <w:tcW w:w="979" w:type="pct"/>
          </w:tcPr>
          <w:p w14:paraId="726110CC" w14:textId="77777777" w:rsidR="00FC7491" w:rsidRPr="003C0A2F" w:rsidRDefault="00FC7491" w:rsidP="00FC7491">
            <w:pPr>
              <w:pStyle w:val="VCAAtablecondensed"/>
              <w:rPr>
                <w:lang w:val="en-AU"/>
              </w:rPr>
            </w:pPr>
            <w:r w:rsidRPr="003C0A2F">
              <w:rPr>
                <w:lang w:val="en-AU"/>
              </w:rPr>
              <w:t>%</w:t>
            </w:r>
          </w:p>
        </w:tc>
        <w:tc>
          <w:tcPr>
            <w:tcW w:w="887" w:type="pct"/>
          </w:tcPr>
          <w:p w14:paraId="10CE4ED5" w14:textId="3BC82B0C" w:rsidR="00FC7491" w:rsidRPr="003C0A2F" w:rsidRDefault="002E3A02" w:rsidP="00FC7491">
            <w:pPr>
              <w:pStyle w:val="VCAAtablecondensed"/>
              <w:rPr>
                <w:lang w:val="en-AU"/>
              </w:rPr>
            </w:pPr>
            <w:r>
              <w:t>16</w:t>
            </w:r>
          </w:p>
        </w:tc>
        <w:tc>
          <w:tcPr>
            <w:tcW w:w="887" w:type="pct"/>
          </w:tcPr>
          <w:p w14:paraId="55B30A6F" w14:textId="0928450D" w:rsidR="00FC7491" w:rsidRPr="003C0A2F" w:rsidRDefault="00FC7491" w:rsidP="00FC7491">
            <w:pPr>
              <w:pStyle w:val="VCAAtablecondensed"/>
              <w:rPr>
                <w:lang w:val="en-AU"/>
              </w:rPr>
            </w:pPr>
            <w:r w:rsidRPr="000D5C4F">
              <w:t>3</w:t>
            </w:r>
            <w:r w:rsidR="002E3A02">
              <w:t>5</w:t>
            </w:r>
          </w:p>
        </w:tc>
        <w:tc>
          <w:tcPr>
            <w:tcW w:w="887" w:type="pct"/>
          </w:tcPr>
          <w:p w14:paraId="50A421FC" w14:textId="68EDC775" w:rsidR="00FC7491" w:rsidRPr="003C0A2F" w:rsidRDefault="00FC7491" w:rsidP="00FC7491">
            <w:pPr>
              <w:pStyle w:val="VCAAtablecondensed"/>
              <w:rPr>
                <w:lang w:val="en-AU"/>
              </w:rPr>
            </w:pPr>
            <w:r w:rsidRPr="000D5C4F">
              <w:t>49</w:t>
            </w:r>
          </w:p>
        </w:tc>
        <w:tc>
          <w:tcPr>
            <w:tcW w:w="1362" w:type="pct"/>
          </w:tcPr>
          <w:p w14:paraId="43B89C56" w14:textId="220A462B" w:rsidR="00FC7491" w:rsidRPr="003C0A2F" w:rsidRDefault="00FC7491" w:rsidP="00FC7491">
            <w:pPr>
              <w:pStyle w:val="VCAAtablecondensed"/>
              <w:rPr>
                <w:lang w:val="en-AU"/>
              </w:rPr>
            </w:pPr>
            <w:r w:rsidRPr="000D5C4F">
              <w:t>1.</w:t>
            </w:r>
            <w:r w:rsidR="009F0D7D">
              <w:t>4</w:t>
            </w:r>
          </w:p>
        </w:tc>
      </w:tr>
    </w:tbl>
    <w:p w14:paraId="7070ED25" w14:textId="0FF7AAC5" w:rsidR="001E4D9F" w:rsidRPr="00104DDD" w:rsidRDefault="001E4D9F" w:rsidP="00104DDD">
      <w:pPr>
        <w:pStyle w:val="VCAAbody"/>
      </w:pPr>
      <w:r w:rsidRPr="00104DDD">
        <w:t xml:space="preserve">To achieve full marks, students </w:t>
      </w:r>
      <w:r w:rsidR="00562729">
        <w:t>were required</w:t>
      </w:r>
      <w:r w:rsidR="00562729" w:rsidRPr="00104DDD">
        <w:t xml:space="preserve"> </w:t>
      </w:r>
      <w:r w:rsidRPr="00104DDD">
        <w:t xml:space="preserve">to identify </w:t>
      </w:r>
      <w:r w:rsidR="00562729">
        <w:t>an appropriate</w:t>
      </w:r>
      <w:r w:rsidRPr="00104DDD">
        <w:t xml:space="preserve"> business cycle </w:t>
      </w:r>
      <w:r w:rsidR="004F6E8F">
        <w:t xml:space="preserve">stage </w:t>
      </w:r>
      <w:r w:rsidRPr="00104DDD">
        <w:t xml:space="preserve">and include </w:t>
      </w:r>
      <w:r w:rsidR="00C1362B" w:rsidRPr="00104DDD">
        <w:t xml:space="preserve">at least one </w:t>
      </w:r>
      <w:r w:rsidRPr="00104DDD">
        <w:t>piece of economic data</w:t>
      </w:r>
      <w:r w:rsidR="004F6E8F">
        <w:t>, post</w:t>
      </w:r>
      <w:r w:rsidR="00D019FF">
        <w:t>–</w:t>
      </w:r>
      <w:r w:rsidR="004F6E8F">
        <w:t>July 2023</w:t>
      </w:r>
      <w:r w:rsidR="00D019FF">
        <w:t>,</w:t>
      </w:r>
      <w:r w:rsidR="004F6E8F">
        <w:t xml:space="preserve"> </w:t>
      </w:r>
      <w:r w:rsidR="00562729">
        <w:t xml:space="preserve">as evidence that the Australian economy </w:t>
      </w:r>
      <w:r w:rsidR="004F6E8F">
        <w:t>rests</w:t>
      </w:r>
      <w:r w:rsidR="00562729">
        <w:t xml:space="preserve"> in that </w:t>
      </w:r>
      <w:proofErr w:type="gramStart"/>
      <w:r w:rsidR="00562729">
        <w:t>particular stage</w:t>
      </w:r>
      <w:proofErr w:type="gramEnd"/>
      <w:r w:rsidR="00C1362B" w:rsidRPr="00104DDD">
        <w:t>.</w:t>
      </w:r>
      <w:r w:rsidR="00F87ED6">
        <w:t xml:space="preserve"> </w:t>
      </w:r>
      <w:r w:rsidR="00CE2643">
        <w:t>I</w:t>
      </w:r>
      <w:r w:rsidR="00C1362B" w:rsidRPr="00104DDD">
        <w:t xml:space="preserve">t was possible to achieve 2 marks by referring to either a contractionary phase/downturn or an expansionary phase/recovery </w:t>
      </w:r>
      <w:proofErr w:type="gramStart"/>
      <w:r w:rsidR="0068373D">
        <w:t>as long as</w:t>
      </w:r>
      <w:proofErr w:type="gramEnd"/>
      <w:r w:rsidR="0068373D" w:rsidRPr="00104DDD">
        <w:t xml:space="preserve"> </w:t>
      </w:r>
      <w:r w:rsidR="00C1362B" w:rsidRPr="00104DDD">
        <w:t xml:space="preserve">the </w:t>
      </w:r>
      <w:r w:rsidR="00562729">
        <w:t xml:space="preserve">economic </w:t>
      </w:r>
      <w:r w:rsidR="00C1362B" w:rsidRPr="00104DDD">
        <w:t xml:space="preserve">indicator </w:t>
      </w:r>
      <w:r w:rsidR="00562729">
        <w:t>data referenced</w:t>
      </w:r>
      <w:r w:rsidR="00C1362B" w:rsidRPr="00104DDD">
        <w:t xml:space="preserve"> </w:t>
      </w:r>
      <w:r w:rsidR="00562729">
        <w:t>provided actual evidence of the economy being in the stage identified.</w:t>
      </w:r>
    </w:p>
    <w:p w14:paraId="1DBE3EC5" w14:textId="657DC6BF" w:rsidR="00C1362B" w:rsidRPr="00104DDD" w:rsidRDefault="00C1362B" w:rsidP="00104DDD">
      <w:pPr>
        <w:pStyle w:val="VCAAbody"/>
      </w:pPr>
      <w:r w:rsidRPr="00104DDD">
        <w:t xml:space="preserve">Many students confused </w:t>
      </w:r>
      <w:r w:rsidR="006227ED">
        <w:t>the</w:t>
      </w:r>
      <w:r w:rsidR="006227ED" w:rsidRPr="00104DDD">
        <w:t xml:space="preserve"> </w:t>
      </w:r>
      <w:r w:rsidRPr="00104DDD">
        <w:t xml:space="preserve">contractionary phase of the economic cycle with a contractionary monetary and/or budgetary policy stance, and therefore did not </w:t>
      </w:r>
      <w:r w:rsidR="006227ED">
        <w:t xml:space="preserve">directly </w:t>
      </w:r>
      <w:r w:rsidR="004F6E8F">
        <w:t>address</w:t>
      </w:r>
      <w:r w:rsidR="004F6E8F" w:rsidRPr="00104DDD">
        <w:t xml:space="preserve"> </w:t>
      </w:r>
      <w:r w:rsidRPr="00104DDD">
        <w:t xml:space="preserve">the question. Others made the mistake of identifying a stage of the business cycle (e.g. a contraction or a downturn) </w:t>
      </w:r>
      <w:r w:rsidR="006227ED">
        <w:t xml:space="preserve">followed </w:t>
      </w:r>
      <w:r w:rsidR="003776D3">
        <w:t>with</w:t>
      </w:r>
      <w:r w:rsidRPr="00104DDD">
        <w:t xml:space="preserve"> </w:t>
      </w:r>
      <w:r w:rsidR="003776D3">
        <w:t xml:space="preserve">a </w:t>
      </w:r>
      <w:r w:rsidRPr="00104DDD">
        <w:t xml:space="preserve">reference to an economic statistic/indicator (e.g. the most recent rate of economic growth) </w:t>
      </w:r>
      <w:r w:rsidR="00E15A50">
        <w:t xml:space="preserve">without </w:t>
      </w:r>
      <w:r w:rsidRPr="00104DDD">
        <w:t xml:space="preserve">making any attempt to </w:t>
      </w:r>
      <w:r w:rsidR="004F6E8F">
        <w:t xml:space="preserve">link </w:t>
      </w:r>
      <w:r w:rsidRPr="00104DDD">
        <w:t>the statistic/indicator to the stage of the business cycle.</w:t>
      </w:r>
    </w:p>
    <w:p w14:paraId="2424C96E" w14:textId="1E04B27E" w:rsidR="001402D9" w:rsidRPr="00104DDD" w:rsidRDefault="001402D9" w:rsidP="00104DDD">
      <w:pPr>
        <w:pStyle w:val="VCAAbody"/>
      </w:pPr>
      <w:r w:rsidRPr="00104DDD">
        <w:t xml:space="preserve">Some students </w:t>
      </w:r>
      <w:r w:rsidR="006227ED">
        <w:t xml:space="preserve">cited </w:t>
      </w:r>
      <w:r w:rsidRPr="00104DDD">
        <w:t>an economic indicator</w:t>
      </w:r>
      <w:r w:rsidR="003776D3">
        <w:t xml:space="preserve"> that contradict</w:t>
      </w:r>
      <w:r w:rsidR="00D42D04">
        <w:t>ed</w:t>
      </w:r>
      <w:r w:rsidRPr="00104DDD">
        <w:t xml:space="preserve"> their argument </w:t>
      </w:r>
      <w:r w:rsidR="004F6E8F">
        <w:t>regarding the</w:t>
      </w:r>
      <w:r w:rsidRPr="00104DDD">
        <w:t xml:space="preserve"> stage of the business cycle </w:t>
      </w:r>
      <w:r w:rsidR="004F6E8F">
        <w:t>of</w:t>
      </w:r>
      <w:r w:rsidR="004F6E8F" w:rsidRPr="00104DDD">
        <w:t xml:space="preserve"> </w:t>
      </w:r>
      <w:r w:rsidR="004F6E8F">
        <w:t xml:space="preserve">the </w:t>
      </w:r>
      <w:r w:rsidRPr="00104DDD">
        <w:t>economy.</w:t>
      </w:r>
      <w:r w:rsidR="00F87ED6">
        <w:t xml:space="preserve"> </w:t>
      </w:r>
      <w:r w:rsidRPr="00104DDD">
        <w:t xml:space="preserve">For example, </w:t>
      </w:r>
      <w:r w:rsidR="003776D3">
        <w:t>some students argued</w:t>
      </w:r>
      <w:r w:rsidR="00E15A50">
        <w:t xml:space="preserve"> </w:t>
      </w:r>
      <w:r w:rsidR="002737EF" w:rsidRPr="00104DDD">
        <w:t>that the economy was in a contractionary phase and then referr</w:t>
      </w:r>
      <w:r w:rsidR="00D42D04">
        <w:t>ed</w:t>
      </w:r>
      <w:r w:rsidR="002737EF" w:rsidRPr="00104DDD">
        <w:t xml:space="preserve"> to the high rate of inflation as justification</w:t>
      </w:r>
      <w:r w:rsidR="006227ED">
        <w:t xml:space="preserve"> for this</w:t>
      </w:r>
      <w:r w:rsidR="002737EF" w:rsidRPr="00104DDD">
        <w:t xml:space="preserve">, instead of arguing that, </w:t>
      </w:r>
      <w:r w:rsidRPr="00104DDD">
        <w:t xml:space="preserve">although inflation </w:t>
      </w:r>
      <w:r w:rsidR="00D546D4" w:rsidRPr="00104DDD">
        <w:t>is relatively</w:t>
      </w:r>
      <w:r w:rsidRPr="00104DDD">
        <w:t xml:space="preserve"> high</w:t>
      </w:r>
      <w:r w:rsidR="002737EF" w:rsidRPr="00104DDD">
        <w:t>,</w:t>
      </w:r>
      <w:r w:rsidRPr="00104DDD">
        <w:t xml:space="preserve"> it has slowed in recent months as the rate of economic growth has begun to </w:t>
      </w:r>
      <w:r w:rsidR="002737EF" w:rsidRPr="00104DDD">
        <w:t>fall</w:t>
      </w:r>
      <w:r w:rsidRPr="00104DDD">
        <w:t>.</w:t>
      </w:r>
    </w:p>
    <w:p w14:paraId="0CD766F8" w14:textId="77777777" w:rsidR="00C1362B" w:rsidRPr="00104DDD" w:rsidRDefault="00C1362B" w:rsidP="00104DDD">
      <w:pPr>
        <w:pStyle w:val="VCAAbody"/>
      </w:pPr>
      <w:r w:rsidRPr="00104DDD">
        <w:t xml:space="preserve">The following is an example of a high-scoring response. </w:t>
      </w:r>
    </w:p>
    <w:p w14:paraId="15C6D91A" w14:textId="2FB301C7" w:rsidR="009D1801" w:rsidRPr="003C0A2F" w:rsidRDefault="009D1801" w:rsidP="00E1317D">
      <w:pPr>
        <w:pStyle w:val="VCAAstudentresponse"/>
      </w:pPr>
      <w:r w:rsidRPr="009D1801">
        <w:t xml:space="preserve">Since July 2023, the Australian economy has evidently been in the contractionary/economic downturn phase of the business cycle, with continuing falling rates of economic growth, with 2.1% GDP growth rate year ended for June 2023, and forecasted at 1.8% for the second half of the year, with this below trend growth the economy is in a downturn phase. This contraction phase is also evident in the falling consumer and business confidence indexes, which reduces the level of consumption, investment, aggregate demand and thus output/GDP. </w:t>
      </w:r>
    </w:p>
    <w:p w14:paraId="47F558F5" w14:textId="77777777" w:rsidR="00963008" w:rsidRPr="003C0A2F" w:rsidRDefault="00963008" w:rsidP="009914F6">
      <w:pPr>
        <w:pStyle w:val="VCAAHeading3"/>
      </w:pPr>
      <w:r w:rsidRPr="003C0A2F">
        <w:t>Question 1</w:t>
      </w:r>
      <w:r>
        <w:t>b</w:t>
      </w:r>
      <w:r w:rsidRPr="003C0A2F">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963008" w:rsidRPr="003C0A2F" w14:paraId="44BA7C52"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2A627CDB" w14:textId="77777777" w:rsidR="00963008" w:rsidRPr="003C0A2F" w:rsidRDefault="00963008" w:rsidP="00A67B2A">
            <w:pPr>
              <w:pStyle w:val="VCAAtablecondensedheading"/>
              <w:rPr>
                <w:lang w:val="en-AU"/>
              </w:rPr>
            </w:pPr>
            <w:r w:rsidRPr="003C0A2F">
              <w:rPr>
                <w:lang w:val="en-AU"/>
              </w:rPr>
              <w:t>Marks</w:t>
            </w:r>
          </w:p>
        </w:tc>
        <w:tc>
          <w:tcPr>
            <w:tcW w:w="576" w:type="dxa"/>
          </w:tcPr>
          <w:p w14:paraId="1F5CACD6" w14:textId="77777777" w:rsidR="00963008" w:rsidRPr="003C0A2F" w:rsidRDefault="00963008" w:rsidP="00A67B2A">
            <w:pPr>
              <w:pStyle w:val="VCAAtablecondensedheading"/>
              <w:rPr>
                <w:lang w:val="en-AU"/>
              </w:rPr>
            </w:pPr>
            <w:r w:rsidRPr="003C0A2F">
              <w:rPr>
                <w:lang w:val="en-AU"/>
              </w:rPr>
              <w:t>0</w:t>
            </w:r>
          </w:p>
        </w:tc>
        <w:tc>
          <w:tcPr>
            <w:tcW w:w="576" w:type="dxa"/>
          </w:tcPr>
          <w:p w14:paraId="415F47F6" w14:textId="77777777" w:rsidR="00963008" w:rsidRPr="003C0A2F" w:rsidRDefault="00963008" w:rsidP="00A67B2A">
            <w:pPr>
              <w:pStyle w:val="VCAAtablecondensedheading"/>
              <w:rPr>
                <w:lang w:val="en-AU"/>
              </w:rPr>
            </w:pPr>
            <w:r w:rsidRPr="003C0A2F">
              <w:rPr>
                <w:lang w:val="en-AU"/>
              </w:rPr>
              <w:t>1</w:t>
            </w:r>
          </w:p>
        </w:tc>
        <w:tc>
          <w:tcPr>
            <w:tcW w:w="576" w:type="dxa"/>
          </w:tcPr>
          <w:p w14:paraId="7F58875F" w14:textId="77777777" w:rsidR="00963008" w:rsidRPr="003C0A2F" w:rsidRDefault="00963008" w:rsidP="00A67B2A">
            <w:pPr>
              <w:pStyle w:val="VCAAtablecondensedheading"/>
              <w:rPr>
                <w:lang w:val="en-AU"/>
              </w:rPr>
            </w:pPr>
            <w:r w:rsidRPr="003C0A2F">
              <w:rPr>
                <w:lang w:val="en-AU"/>
              </w:rPr>
              <w:t>2</w:t>
            </w:r>
          </w:p>
        </w:tc>
        <w:tc>
          <w:tcPr>
            <w:tcW w:w="576" w:type="dxa"/>
          </w:tcPr>
          <w:p w14:paraId="024E5402" w14:textId="77777777" w:rsidR="00963008" w:rsidRPr="003C0A2F" w:rsidRDefault="00963008" w:rsidP="00A67B2A">
            <w:pPr>
              <w:pStyle w:val="VCAAtablecondensedheading"/>
              <w:rPr>
                <w:lang w:val="en-AU"/>
              </w:rPr>
            </w:pPr>
            <w:r w:rsidRPr="003C0A2F">
              <w:rPr>
                <w:lang w:val="en-AU"/>
              </w:rPr>
              <w:t>3</w:t>
            </w:r>
          </w:p>
        </w:tc>
        <w:tc>
          <w:tcPr>
            <w:tcW w:w="576" w:type="dxa"/>
          </w:tcPr>
          <w:p w14:paraId="11F97405" w14:textId="77777777" w:rsidR="00963008" w:rsidRPr="003C0A2F" w:rsidRDefault="00963008" w:rsidP="00A67B2A">
            <w:pPr>
              <w:pStyle w:val="VCAAtablecondensedheading"/>
              <w:rPr>
                <w:lang w:val="en-AU"/>
              </w:rPr>
            </w:pPr>
            <w:r w:rsidRPr="003C0A2F">
              <w:rPr>
                <w:lang w:val="en-AU"/>
              </w:rPr>
              <w:t>4</w:t>
            </w:r>
          </w:p>
        </w:tc>
        <w:tc>
          <w:tcPr>
            <w:tcW w:w="1008" w:type="dxa"/>
          </w:tcPr>
          <w:p w14:paraId="29E4AC80" w14:textId="77777777" w:rsidR="00963008" w:rsidRPr="003C0A2F" w:rsidRDefault="00963008" w:rsidP="00A67B2A">
            <w:pPr>
              <w:pStyle w:val="VCAAtablecondensedheading"/>
              <w:rPr>
                <w:lang w:val="en-AU"/>
              </w:rPr>
            </w:pPr>
            <w:r w:rsidRPr="003C0A2F">
              <w:rPr>
                <w:lang w:val="en-AU"/>
              </w:rPr>
              <w:t>Average</w:t>
            </w:r>
          </w:p>
        </w:tc>
      </w:tr>
      <w:tr w:rsidR="00FC7491" w:rsidRPr="003C0A2F" w14:paraId="636C5AC5" w14:textId="77777777" w:rsidTr="0052782F">
        <w:tc>
          <w:tcPr>
            <w:tcW w:w="720" w:type="dxa"/>
          </w:tcPr>
          <w:p w14:paraId="41403D1E" w14:textId="77777777" w:rsidR="00FC7491" w:rsidRPr="003C0A2F" w:rsidRDefault="00FC7491" w:rsidP="00FC7491">
            <w:pPr>
              <w:pStyle w:val="VCAAtablecondensed"/>
              <w:rPr>
                <w:lang w:val="en-AU"/>
              </w:rPr>
            </w:pPr>
            <w:r w:rsidRPr="003C0A2F">
              <w:rPr>
                <w:lang w:val="en-AU"/>
              </w:rPr>
              <w:t>%</w:t>
            </w:r>
          </w:p>
        </w:tc>
        <w:tc>
          <w:tcPr>
            <w:tcW w:w="576" w:type="dxa"/>
          </w:tcPr>
          <w:p w14:paraId="58756DE1" w14:textId="35C285E7" w:rsidR="00FC7491" w:rsidRPr="003C0A2F" w:rsidRDefault="00FC7491" w:rsidP="00FC7491">
            <w:pPr>
              <w:pStyle w:val="VCAAtablecondensed"/>
              <w:rPr>
                <w:lang w:val="en-AU"/>
              </w:rPr>
            </w:pPr>
            <w:r w:rsidRPr="00FF3E40">
              <w:t>12</w:t>
            </w:r>
          </w:p>
        </w:tc>
        <w:tc>
          <w:tcPr>
            <w:tcW w:w="576" w:type="dxa"/>
          </w:tcPr>
          <w:p w14:paraId="2C05439B" w14:textId="0297CDA2" w:rsidR="00FC7491" w:rsidRPr="003C0A2F" w:rsidRDefault="00FC7491" w:rsidP="00FC7491">
            <w:pPr>
              <w:pStyle w:val="VCAAtablecondensed"/>
              <w:rPr>
                <w:lang w:val="en-AU"/>
              </w:rPr>
            </w:pPr>
            <w:r w:rsidRPr="00FF3E40">
              <w:t>1</w:t>
            </w:r>
            <w:r w:rsidR="002E3A02">
              <w:t>6</w:t>
            </w:r>
          </w:p>
        </w:tc>
        <w:tc>
          <w:tcPr>
            <w:tcW w:w="576" w:type="dxa"/>
          </w:tcPr>
          <w:p w14:paraId="60FF563E" w14:textId="14B863BF" w:rsidR="00FC7491" w:rsidRPr="003C0A2F" w:rsidRDefault="00FC7491" w:rsidP="00FC7491">
            <w:pPr>
              <w:pStyle w:val="VCAAtablecondensed"/>
              <w:rPr>
                <w:lang w:val="en-AU"/>
              </w:rPr>
            </w:pPr>
            <w:r w:rsidRPr="00FF3E40">
              <w:t>2</w:t>
            </w:r>
            <w:r w:rsidR="002E3A02">
              <w:t>2</w:t>
            </w:r>
          </w:p>
        </w:tc>
        <w:tc>
          <w:tcPr>
            <w:tcW w:w="576" w:type="dxa"/>
          </w:tcPr>
          <w:p w14:paraId="3E9C668F" w14:textId="00D74A18" w:rsidR="00FC7491" w:rsidRPr="003C0A2F" w:rsidRDefault="00FC7491" w:rsidP="00FC7491">
            <w:pPr>
              <w:pStyle w:val="VCAAtablecondensed"/>
              <w:rPr>
                <w:lang w:val="en-AU"/>
              </w:rPr>
            </w:pPr>
            <w:r w:rsidRPr="00FF3E40">
              <w:t>24</w:t>
            </w:r>
          </w:p>
        </w:tc>
        <w:tc>
          <w:tcPr>
            <w:tcW w:w="576" w:type="dxa"/>
          </w:tcPr>
          <w:p w14:paraId="11175438" w14:textId="5E422B92" w:rsidR="00FC7491" w:rsidRPr="003C0A2F" w:rsidRDefault="00FC7491" w:rsidP="00FC7491">
            <w:pPr>
              <w:pStyle w:val="VCAAtablecondensed"/>
              <w:rPr>
                <w:lang w:val="en-AU"/>
              </w:rPr>
            </w:pPr>
            <w:r w:rsidRPr="00FF3E40">
              <w:t>26</w:t>
            </w:r>
          </w:p>
        </w:tc>
        <w:tc>
          <w:tcPr>
            <w:tcW w:w="1008" w:type="dxa"/>
          </w:tcPr>
          <w:p w14:paraId="47069AC5" w14:textId="22FAE6C3" w:rsidR="00FC7491" w:rsidRPr="003C0A2F" w:rsidRDefault="00FC7491" w:rsidP="00FC7491">
            <w:pPr>
              <w:pStyle w:val="VCAAtablecondensed"/>
              <w:rPr>
                <w:lang w:val="en-AU"/>
              </w:rPr>
            </w:pPr>
            <w:bookmarkStart w:id="3" w:name="_Hlk3250884411"/>
            <w:bookmarkEnd w:id="3"/>
            <w:r w:rsidRPr="00FF3E40">
              <w:t>2.4</w:t>
            </w:r>
          </w:p>
        </w:tc>
      </w:tr>
    </w:tbl>
    <w:p w14:paraId="149AD6E3" w14:textId="584806D4" w:rsidR="002D0FC5" w:rsidRPr="00104DDD" w:rsidRDefault="002D0FC5" w:rsidP="00104DDD">
      <w:pPr>
        <w:pStyle w:val="VCAAbody"/>
      </w:pPr>
      <w:r w:rsidRPr="00104DDD">
        <w:t xml:space="preserve">To achieve full marks, students </w:t>
      </w:r>
      <w:r w:rsidR="004F6E8F">
        <w:t xml:space="preserve">were required </w:t>
      </w:r>
      <w:r w:rsidRPr="00104DDD">
        <w:t xml:space="preserve">to identify </w:t>
      </w:r>
      <w:r w:rsidR="004F6E8F">
        <w:t>one</w:t>
      </w:r>
      <w:r w:rsidR="004F6E8F" w:rsidRPr="00104DDD">
        <w:t xml:space="preserve"> </w:t>
      </w:r>
      <w:r w:rsidR="003776D3">
        <w:t>AD</w:t>
      </w:r>
      <w:r w:rsidRPr="00104DDD">
        <w:t xml:space="preserve"> factor and </w:t>
      </w:r>
      <w:r w:rsidR="004F6E8F">
        <w:t>one</w:t>
      </w:r>
      <w:r w:rsidR="004F6E8F" w:rsidRPr="00104DDD">
        <w:t xml:space="preserve"> </w:t>
      </w:r>
      <w:r w:rsidR="003776D3">
        <w:t>AS</w:t>
      </w:r>
      <w:r w:rsidRPr="00104DDD">
        <w:t xml:space="preserve"> factor</w:t>
      </w:r>
      <w:r w:rsidR="006227ED">
        <w:t>,</w:t>
      </w:r>
      <w:r w:rsidRPr="00104DDD">
        <w:t xml:space="preserve"> </w:t>
      </w:r>
      <w:r w:rsidR="004F6E8F">
        <w:t>then</w:t>
      </w:r>
      <w:r w:rsidR="004F6E8F" w:rsidRPr="00104DDD">
        <w:t xml:space="preserve"> </w:t>
      </w:r>
      <w:r w:rsidR="004F6E8F">
        <w:t>show the effect of each on economic growth and the business cycle since 2023 in Australia.</w:t>
      </w:r>
      <w:r w:rsidR="00F87ED6">
        <w:t xml:space="preserve"> </w:t>
      </w:r>
      <w:r w:rsidR="006227ED">
        <w:t>T</w:t>
      </w:r>
      <w:r w:rsidR="004F6E8F">
        <w:t xml:space="preserve">he </w:t>
      </w:r>
      <w:r w:rsidR="003776D3">
        <w:t>AD</w:t>
      </w:r>
      <w:r w:rsidR="004F6E8F">
        <w:t xml:space="preserve"> and </w:t>
      </w:r>
      <w:r w:rsidR="003776D3">
        <w:t>AS</w:t>
      </w:r>
      <w:r w:rsidRPr="00104DDD">
        <w:t xml:space="preserve"> factors </w:t>
      </w:r>
      <w:r w:rsidR="004F6E8F">
        <w:t>selected</w:t>
      </w:r>
      <w:r w:rsidR="004F6E8F" w:rsidRPr="00104DDD">
        <w:t xml:space="preserve"> </w:t>
      </w:r>
      <w:r w:rsidR="006227ED">
        <w:t>were required</w:t>
      </w:r>
      <w:r w:rsidR="006227ED" w:rsidRPr="00104DDD">
        <w:t xml:space="preserve"> </w:t>
      </w:r>
      <w:r w:rsidRPr="00104DDD">
        <w:t xml:space="preserve">to be relevant </w:t>
      </w:r>
      <w:r w:rsidR="004F6E8F">
        <w:t>to</w:t>
      </w:r>
      <w:r w:rsidR="004F6E8F" w:rsidRPr="00104DDD">
        <w:t xml:space="preserve"> </w:t>
      </w:r>
      <w:r w:rsidRPr="00104DDD">
        <w:t xml:space="preserve">the </w:t>
      </w:r>
      <w:r w:rsidR="004F6E8F">
        <w:t xml:space="preserve">actual </w:t>
      </w:r>
      <w:r w:rsidRPr="00104DDD">
        <w:t>2023 setting</w:t>
      </w:r>
      <w:r w:rsidR="004F6E8F">
        <w:t>. Consequently,</w:t>
      </w:r>
      <w:r w:rsidRPr="00104DDD">
        <w:t xml:space="preserve"> full marks could not be awarded for responses that were purely hypothetical.</w:t>
      </w:r>
      <w:r w:rsidR="00F87ED6">
        <w:t xml:space="preserve"> </w:t>
      </w:r>
    </w:p>
    <w:p w14:paraId="7818B6AA" w14:textId="35405820" w:rsidR="002D0FC5" w:rsidRPr="00104DDD" w:rsidRDefault="006227ED" w:rsidP="00104DDD">
      <w:pPr>
        <w:pStyle w:val="VCAAbody"/>
      </w:pPr>
      <w:r>
        <w:t>Many</w:t>
      </w:r>
      <w:r w:rsidR="002D0FC5" w:rsidRPr="00104DDD">
        <w:t xml:space="preserve"> students referred to costs of production (COP) as a</w:t>
      </w:r>
      <w:r w:rsidR="00D42D04">
        <w:t>n</w:t>
      </w:r>
      <w:r w:rsidR="002D0FC5" w:rsidRPr="00104DDD">
        <w:t xml:space="preserve"> </w:t>
      </w:r>
      <w:r w:rsidR="003776D3">
        <w:t>AS</w:t>
      </w:r>
      <w:r>
        <w:t xml:space="preserve"> </w:t>
      </w:r>
      <w:r w:rsidR="002D0FC5" w:rsidRPr="00104DDD">
        <w:t>factor</w:t>
      </w:r>
      <w:r>
        <w:t>,</w:t>
      </w:r>
      <w:r w:rsidR="00D42D04">
        <w:t xml:space="preserve"> </w:t>
      </w:r>
      <w:r w:rsidR="002D0FC5" w:rsidRPr="00104DDD">
        <w:t xml:space="preserve">simply </w:t>
      </w:r>
      <w:r>
        <w:t>stating</w:t>
      </w:r>
      <w:r w:rsidRPr="00104DDD">
        <w:t xml:space="preserve"> </w:t>
      </w:r>
      <w:r w:rsidR="002D0FC5" w:rsidRPr="00104DDD">
        <w:t>that high inflation contributed to an increase in the COP.</w:t>
      </w:r>
      <w:r w:rsidR="00F87ED6">
        <w:t xml:space="preserve"> </w:t>
      </w:r>
      <w:r>
        <w:t>It should be noted</w:t>
      </w:r>
      <w:r w:rsidR="002D0FC5" w:rsidRPr="00104DDD">
        <w:t xml:space="preserve"> that higher COP leads to higher (cost) inflation, but higher inflation does not necessarily lead to higher COP.</w:t>
      </w:r>
      <w:r w:rsidR="00F87ED6">
        <w:t xml:space="preserve"> </w:t>
      </w:r>
      <w:r>
        <w:t>The</w:t>
      </w:r>
      <w:r w:rsidR="002D0FC5" w:rsidRPr="00104DDD">
        <w:t xml:space="preserve"> focus </w:t>
      </w:r>
      <w:r>
        <w:t xml:space="preserve">was required to be on </w:t>
      </w:r>
      <w:r w:rsidR="00DC512B">
        <w:t>an</w:t>
      </w:r>
      <w:r w:rsidR="002D0FC5" w:rsidRPr="00104DDD">
        <w:t xml:space="preserve"> AS factor that contribute</w:t>
      </w:r>
      <w:r w:rsidR="00DC512B">
        <w:t>s</w:t>
      </w:r>
      <w:r w:rsidR="002D0FC5" w:rsidRPr="00104DDD">
        <w:t xml:space="preserve"> to the rise in COP </w:t>
      </w:r>
      <w:r w:rsidR="00142E19" w:rsidRPr="00104DDD">
        <w:t>(e.g. the war in Ukraine and the effects on energy prices).</w:t>
      </w:r>
      <w:r w:rsidR="00F87ED6">
        <w:t xml:space="preserve"> </w:t>
      </w:r>
      <w:r w:rsidR="00142E19" w:rsidRPr="00104DDD">
        <w:t>Alternatively, students could have referred</w:t>
      </w:r>
      <w:r w:rsidR="002D0FC5" w:rsidRPr="00104DDD">
        <w:t xml:space="preserve"> to higher COP and </w:t>
      </w:r>
      <w:r w:rsidR="00DC512B">
        <w:t xml:space="preserve">shown </w:t>
      </w:r>
      <w:r w:rsidR="002D0FC5" w:rsidRPr="00104DDD">
        <w:t>how this contributed to both a decline in economic activity/growth and a downturn in the cycle.</w:t>
      </w:r>
    </w:p>
    <w:p w14:paraId="5B6A01F9" w14:textId="6FC966C3" w:rsidR="002D0FC5" w:rsidRPr="00104DDD" w:rsidRDefault="002D0FC5" w:rsidP="00104DDD">
      <w:pPr>
        <w:pStyle w:val="VCAAbody"/>
      </w:pPr>
      <w:r w:rsidRPr="00104DDD">
        <w:t>Many students attempted to answer th</w:t>
      </w:r>
      <w:r w:rsidR="00DC512B">
        <w:t>is</w:t>
      </w:r>
      <w:r w:rsidRPr="00104DDD">
        <w:t xml:space="preserve"> question in a purely theoretical way, without any attempt to tailor their response to the </w:t>
      </w:r>
      <w:r w:rsidR="00DC512B">
        <w:t>economic conditions</w:t>
      </w:r>
      <w:r w:rsidRPr="00104DDD">
        <w:t xml:space="preserve"> during 2023. For example, some students </w:t>
      </w:r>
      <w:r w:rsidR="00DC512B">
        <w:t>referenced</w:t>
      </w:r>
      <w:r w:rsidRPr="00104DDD">
        <w:t xml:space="preserve"> </w:t>
      </w:r>
      <w:r w:rsidR="00DC512B">
        <w:t xml:space="preserve">the </w:t>
      </w:r>
      <w:r w:rsidRPr="00104DDD">
        <w:t xml:space="preserve">high </w:t>
      </w:r>
      <w:r w:rsidRPr="00104DDD">
        <w:lastRenderedPageBreak/>
        <w:t xml:space="preserve">value of the exchange rate </w:t>
      </w:r>
      <w:r w:rsidR="00DC512B">
        <w:t>as causing</w:t>
      </w:r>
      <w:r w:rsidRPr="00104DDD">
        <w:t xml:space="preserve"> further contraction </w:t>
      </w:r>
      <w:r w:rsidR="00DC512B">
        <w:t>in</w:t>
      </w:r>
      <w:r w:rsidR="00DC512B" w:rsidRPr="00104DDD">
        <w:t xml:space="preserve"> </w:t>
      </w:r>
      <w:r w:rsidRPr="00104DDD">
        <w:t xml:space="preserve">the business cycle when </w:t>
      </w:r>
      <w:r w:rsidR="00DC512B">
        <w:t xml:space="preserve">in fact </w:t>
      </w:r>
      <w:r w:rsidRPr="00104DDD">
        <w:t>the value of the exchange rate fell over 2023 (also alluded to in the chart for Question 2a</w:t>
      </w:r>
      <w:r w:rsidR="00CE2643">
        <w:t>.</w:t>
      </w:r>
      <w:r w:rsidRPr="00104DDD">
        <w:t>).</w:t>
      </w:r>
      <w:r w:rsidR="00F87ED6">
        <w:t xml:space="preserve"> </w:t>
      </w:r>
      <w:r w:rsidRPr="00104DDD">
        <w:t xml:space="preserve">Other students incorrectly </w:t>
      </w:r>
      <w:r w:rsidR="00DC512B">
        <w:t>referenced</w:t>
      </w:r>
      <w:r w:rsidRPr="00104DDD">
        <w:t xml:space="preserve"> lower interest rates and high levels </w:t>
      </w:r>
      <w:r w:rsidR="00CE2643">
        <w:t xml:space="preserve">of </w:t>
      </w:r>
      <w:r w:rsidRPr="00104DDD">
        <w:t xml:space="preserve">consumer confidence </w:t>
      </w:r>
      <w:r w:rsidR="00DC512B">
        <w:t xml:space="preserve">as </w:t>
      </w:r>
      <w:r w:rsidRPr="00104DDD">
        <w:t xml:space="preserve">contributing to an expansion in the business cycle, when the reverse was </w:t>
      </w:r>
      <w:r w:rsidR="00DC512B">
        <w:t>in fact true</w:t>
      </w:r>
      <w:r w:rsidRPr="00104DDD">
        <w:t xml:space="preserve"> – i.e.</w:t>
      </w:r>
      <w:r w:rsidR="00F87ED6">
        <w:t xml:space="preserve"> </w:t>
      </w:r>
      <w:r w:rsidRPr="00104DDD">
        <w:t xml:space="preserve">interest rates </w:t>
      </w:r>
      <w:r w:rsidR="007453E2" w:rsidRPr="00104DDD">
        <w:t>rose,</w:t>
      </w:r>
      <w:r w:rsidRPr="00104DDD">
        <w:t xml:space="preserve"> and consumer confidence was very low during 2023.</w:t>
      </w:r>
    </w:p>
    <w:p w14:paraId="1D50AF44" w14:textId="77777777" w:rsidR="002D0FC5" w:rsidRPr="00104DDD" w:rsidRDefault="002D0FC5" w:rsidP="00104DDD">
      <w:pPr>
        <w:pStyle w:val="VCAAbody"/>
      </w:pPr>
      <w:r w:rsidRPr="00104DDD">
        <w:t xml:space="preserve">The following is an example of a high-scoring response. </w:t>
      </w:r>
    </w:p>
    <w:p w14:paraId="30E9A7C3" w14:textId="77777777" w:rsidR="009D1801" w:rsidRPr="00727C94" w:rsidRDefault="009D1801" w:rsidP="00727C94">
      <w:pPr>
        <w:pStyle w:val="VCAAstudentresponse"/>
      </w:pPr>
      <w:r w:rsidRPr="00727C94">
        <w:t>AD Factor: Consumer Confidence</w:t>
      </w:r>
    </w:p>
    <w:p w14:paraId="3CF3DF2C" w14:textId="4571918D" w:rsidR="009D1801" w:rsidRPr="00727C94" w:rsidRDefault="009D1801" w:rsidP="00727C94">
      <w:pPr>
        <w:pStyle w:val="VCAAstudentresponse"/>
      </w:pPr>
      <w:r w:rsidRPr="00727C94">
        <w:t xml:space="preserve">Consumer confidence refers to the level of optimism that households have regarding their future financial situation, employment prospects and the future state of the economy. In 2023, consumer confidence has remained at very low levels, which meant that consumers had a greater propensity to save rather than spend, which worked to reduce household consumption levels, lowering consumption, AD and thus leading to firms to respond to rising stock levels with decreased production volumes, reducing GDP and contributing to the downturn phase that the economy experienced in 2023. </w:t>
      </w:r>
    </w:p>
    <w:p w14:paraId="1C1F9454" w14:textId="77777777" w:rsidR="009D1801" w:rsidRPr="00727C94" w:rsidRDefault="009D1801" w:rsidP="00727C94">
      <w:pPr>
        <w:pStyle w:val="VCAAstudentresponse"/>
      </w:pPr>
      <w:r w:rsidRPr="00727C94">
        <w:t>AS Factor: Productivity</w:t>
      </w:r>
    </w:p>
    <w:p w14:paraId="659E61EA" w14:textId="11934D6D" w:rsidR="009D1801" w:rsidRPr="003C0A2F" w:rsidRDefault="009D1801" w:rsidP="00E1317D">
      <w:pPr>
        <w:pStyle w:val="VCAAstudentresponse"/>
      </w:pPr>
      <w:r w:rsidRPr="009D1801">
        <w:t>Explanation: Productivity refers to the level of output produced from a given quantity of inputs. Over 2023, labour productivity levels on average remained very low, whereby there were minimal increases in the output produced per hour of labour worked. This led to increased costs per unit of output for firms, reducing their ability and/or willingness to supply (AS reduced). Thus, as firms were less willing to make products available to the market, the level of output/GDP growth was reduced, contributing to the downturn phase that the economy entered in 2023. This is evident in the fall in GDP growth from 2.4% in March 2023 to 2.1% by June 2023.</w:t>
      </w:r>
    </w:p>
    <w:p w14:paraId="1D6B6741" w14:textId="59D36A46" w:rsidR="00963008" w:rsidRPr="003C0A2F" w:rsidRDefault="00963008" w:rsidP="009914F6">
      <w:pPr>
        <w:pStyle w:val="VCAAHeading3"/>
      </w:pPr>
      <w:r w:rsidRPr="003C0A2F">
        <w:t>Question 1c.</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963008" w:rsidRPr="003C0A2F" w14:paraId="4D92713A"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3C64F963" w14:textId="77777777" w:rsidR="00963008" w:rsidRPr="003C0A2F" w:rsidRDefault="00963008" w:rsidP="00AE7682">
            <w:pPr>
              <w:pStyle w:val="VCAAtablecondensedheading"/>
              <w:rPr>
                <w:lang w:val="en-AU"/>
              </w:rPr>
            </w:pPr>
            <w:r w:rsidRPr="003C0A2F">
              <w:rPr>
                <w:lang w:val="en-AU"/>
              </w:rPr>
              <w:t>Marks</w:t>
            </w:r>
          </w:p>
        </w:tc>
        <w:tc>
          <w:tcPr>
            <w:tcW w:w="576" w:type="dxa"/>
          </w:tcPr>
          <w:p w14:paraId="08C01D77" w14:textId="77777777" w:rsidR="00963008" w:rsidRPr="003C0A2F" w:rsidRDefault="00963008" w:rsidP="00AE7682">
            <w:pPr>
              <w:pStyle w:val="VCAAtablecondensedheading"/>
              <w:rPr>
                <w:lang w:val="en-AU"/>
              </w:rPr>
            </w:pPr>
            <w:r w:rsidRPr="003C0A2F">
              <w:rPr>
                <w:lang w:val="en-AU"/>
              </w:rPr>
              <w:t>0</w:t>
            </w:r>
          </w:p>
        </w:tc>
        <w:tc>
          <w:tcPr>
            <w:tcW w:w="576" w:type="dxa"/>
          </w:tcPr>
          <w:p w14:paraId="4D37112E" w14:textId="77777777" w:rsidR="00963008" w:rsidRPr="003C0A2F" w:rsidRDefault="00963008" w:rsidP="00AE7682">
            <w:pPr>
              <w:pStyle w:val="VCAAtablecondensedheading"/>
              <w:rPr>
                <w:lang w:val="en-AU"/>
              </w:rPr>
            </w:pPr>
            <w:r w:rsidRPr="003C0A2F">
              <w:rPr>
                <w:lang w:val="en-AU"/>
              </w:rPr>
              <w:t>1</w:t>
            </w:r>
          </w:p>
        </w:tc>
        <w:tc>
          <w:tcPr>
            <w:tcW w:w="576" w:type="dxa"/>
          </w:tcPr>
          <w:p w14:paraId="549AFF55" w14:textId="77777777" w:rsidR="00963008" w:rsidRPr="003C0A2F" w:rsidRDefault="00963008" w:rsidP="00AE7682">
            <w:pPr>
              <w:pStyle w:val="VCAAtablecondensedheading"/>
              <w:rPr>
                <w:lang w:val="en-AU"/>
              </w:rPr>
            </w:pPr>
            <w:r w:rsidRPr="003C0A2F">
              <w:rPr>
                <w:lang w:val="en-AU"/>
              </w:rPr>
              <w:t>2</w:t>
            </w:r>
          </w:p>
        </w:tc>
        <w:tc>
          <w:tcPr>
            <w:tcW w:w="576" w:type="dxa"/>
          </w:tcPr>
          <w:p w14:paraId="59422FC0" w14:textId="77777777" w:rsidR="00963008" w:rsidRPr="003C0A2F" w:rsidRDefault="00963008" w:rsidP="00AE7682">
            <w:pPr>
              <w:pStyle w:val="VCAAtablecondensedheading"/>
              <w:rPr>
                <w:lang w:val="en-AU"/>
              </w:rPr>
            </w:pPr>
            <w:r w:rsidRPr="003C0A2F">
              <w:rPr>
                <w:lang w:val="en-AU"/>
              </w:rPr>
              <w:t>3</w:t>
            </w:r>
          </w:p>
        </w:tc>
        <w:tc>
          <w:tcPr>
            <w:tcW w:w="576" w:type="dxa"/>
          </w:tcPr>
          <w:p w14:paraId="5B2ECAB7" w14:textId="77777777" w:rsidR="00963008" w:rsidRPr="003C0A2F" w:rsidRDefault="00963008" w:rsidP="00AE7682">
            <w:pPr>
              <w:pStyle w:val="VCAAtablecondensedheading"/>
              <w:rPr>
                <w:lang w:val="en-AU"/>
              </w:rPr>
            </w:pPr>
            <w:r w:rsidRPr="003C0A2F">
              <w:rPr>
                <w:lang w:val="en-AU"/>
              </w:rPr>
              <w:t>4</w:t>
            </w:r>
          </w:p>
        </w:tc>
        <w:tc>
          <w:tcPr>
            <w:tcW w:w="1008" w:type="dxa"/>
          </w:tcPr>
          <w:p w14:paraId="2D23B2E3" w14:textId="77777777" w:rsidR="00963008" w:rsidRPr="003C0A2F" w:rsidRDefault="00963008" w:rsidP="00AE7682">
            <w:pPr>
              <w:pStyle w:val="VCAAtablecondensedheading"/>
              <w:rPr>
                <w:lang w:val="en-AU"/>
              </w:rPr>
            </w:pPr>
            <w:r w:rsidRPr="003C0A2F">
              <w:rPr>
                <w:lang w:val="en-AU"/>
              </w:rPr>
              <w:t>Average</w:t>
            </w:r>
          </w:p>
        </w:tc>
      </w:tr>
      <w:tr w:rsidR="00FC7491" w:rsidRPr="003C0A2F" w14:paraId="3C1AA788" w14:textId="77777777" w:rsidTr="0052782F">
        <w:tc>
          <w:tcPr>
            <w:tcW w:w="720" w:type="dxa"/>
          </w:tcPr>
          <w:p w14:paraId="060E91D8" w14:textId="77777777" w:rsidR="00FC7491" w:rsidRPr="003C0A2F" w:rsidRDefault="00FC7491" w:rsidP="00FC7491">
            <w:pPr>
              <w:pStyle w:val="VCAAtablecondensed"/>
              <w:rPr>
                <w:lang w:val="en-AU"/>
              </w:rPr>
            </w:pPr>
            <w:r w:rsidRPr="003C0A2F">
              <w:rPr>
                <w:lang w:val="en-AU"/>
              </w:rPr>
              <w:t>%</w:t>
            </w:r>
          </w:p>
        </w:tc>
        <w:tc>
          <w:tcPr>
            <w:tcW w:w="576" w:type="dxa"/>
          </w:tcPr>
          <w:p w14:paraId="77FDC1CA" w14:textId="4449FAE0" w:rsidR="00FC7491" w:rsidRPr="003C0A2F" w:rsidRDefault="002E3A02" w:rsidP="00FC7491">
            <w:pPr>
              <w:pStyle w:val="VCAAtablecondensed"/>
              <w:rPr>
                <w:lang w:val="en-AU"/>
              </w:rPr>
            </w:pPr>
            <w:r>
              <w:t>7</w:t>
            </w:r>
          </w:p>
        </w:tc>
        <w:tc>
          <w:tcPr>
            <w:tcW w:w="576" w:type="dxa"/>
          </w:tcPr>
          <w:p w14:paraId="5D0056AC" w14:textId="652A3A97" w:rsidR="00FC7491" w:rsidRPr="003C0A2F" w:rsidRDefault="00FC7491" w:rsidP="00FC7491">
            <w:pPr>
              <w:pStyle w:val="VCAAtablecondensed"/>
              <w:rPr>
                <w:lang w:val="en-AU"/>
              </w:rPr>
            </w:pPr>
            <w:r w:rsidRPr="00274A10">
              <w:t>1</w:t>
            </w:r>
            <w:r w:rsidR="002E3A02">
              <w:t>7</w:t>
            </w:r>
          </w:p>
        </w:tc>
        <w:tc>
          <w:tcPr>
            <w:tcW w:w="576" w:type="dxa"/>
          </w:tcPr>
          <w:p w14:paraId="7109DAB9" w14:textId="20169D2E" w:rsidR="00FC7491" w:rsidRPr="003C0A2F" w:rsidRDefault="00FC7491" w:rsidP="00FC7491">
            <w:pPr>
              <w:pStyle w:val="VCAAtablecondensed"/>
              <w:rPr>
                <w:lang w:val="en-AU"/>
              </w:rPr>
            </w:pPr>
            <w:r w:rsidRPr="00274A10">
              <w:t>2</w:t>
            </w:r>
            <w:r w:rsidR="002E3A02">
              <w:t>6</w:t>
            </w:r>
          </w:p>
        </w:tc>
        <w:tc>
          <w:tcPr>
            <w:tcW w:w="576" w:type="dxa"/>
          </w:tcPr>
          <w:p w14:paraId="2218EE09" w14:textId="1E98BDE3" w:rsidR="00FC7491" w:rsidRPr="003C0A2F" w:rsidRDefault="00FC7491" w:rsidP="00FC7491">
            <w:pPr>
              <w:pStyle w:val="VCAAtablecondensed"/>
              <w:rPr>
                <w:lang w:val="en-AU"/>
              </w:rPr>
            </w:pPr>
            <w:r w:rsidRPr="00274A10">
              <w:t>24</w:t>
            </w:r>
          </w:p>
        </w:tc>
        <w:tc>
          <w:tcPr>
            <w:tcW w:w="576" w:type="dxa"/>
          </w:tcPr>
          <w:p w14:paraId="31708871" w14:textId="64B96E93" w:rsidR="00FC7491" w:rsidRPr="003C0A2F" w:rsidRDefault="00FC7491" w:rsidP="00FC7491">
            <w:pPr>
              <w:pStyle w:val="VCAAtablecondensed"/>
              <w:rPr>
                <w:lang w:val="en-AU"/>
              </w:rPr>
            </w:pPr>
            <w:r w:rsidRPr="00274A10">
              <w:t>26</w:t>
            </w:r>
          </w:p>
        </w:tc>
        <w:tc>
          <w:tcPr>
            <w:tcW w:w="1008" w:type="dxa"/>
          </w:tcPr>
          <w:p w14:paraId="452F213B" w14:textId="43C05916" w:rsidR="00FC7491" w:rsidRPr="003C0A2F" w:rsidRDefault="00FC7491" w:rsidP="00FC7491">
            <w:pPr>
              <w:pStyle w:val="VCAAtablecondensed"/>
              <w:rPr>
                <w:lang w:val="en-AU"/>
              </w:rPr>
            </w:pPr>
            <w:r w:rsidRPr="00274A10">
              <w:t>2.5</w:t>
            </w:r>
          </w:p>
        </w:tc>
      </w:tr>
    </w:tbl>
    <w:p w14:paraId="4F498049" w14:textId="13D20BF5" w:rsidR="00142E19" w:rsidRPr="00104DDD" w:rsidRDefault="000F2A15" w:rsidP="00104DDD">
      <w:pPr>
        <w:pStyle w:val="VCAAbody"/>
      </w:pPr>
      <w:r w:rsidRPr="00104DDD">
        <w:t xml:space="preserve">To achieve full marks, students </w:t>
      </w:r>
      <w:r w:rsidR="00DC512B">
        <w:t>were required</w:t>
      </w:r>
      <w:r w:rsidR="00DC512B" w:rsidRPr="00104DDD">
        <w:t xml:space="preserve"> </w:t>
      </w:r>
      <w:r w:rsidRPr="00104DDD">
        <w:t xml:space="preserve">to demonstrate an </w:t>
      </w:r>
      <w:r w:rsidR="00DC512B">
        <w:t xml:space="preserve">implicit </w:t>
      </w:r>
      <w:r w:rsidRPr="00104DDD">
        <w:t>understanding of the goal of strong and sustainable economic growth</w:t>
      </w:r>
      <w:r w:rsidR="00745DE6" w:rsidRPr="00104DDD">
        <w:t xml:space="preserve"> (SSEG)</w:t>
      </w:r>
      <w:r w:rsidR="00D42D04">
        <w:t>;</w:t>
      </w:r>
      <w:r w:rsidR="00745DE6" w:rsidRPr="00104DDD">
        <w:t xml:space="preserve"> </w:t>
      </w:r>
      <w:r w:rsidRPr="00104DDD">
        <w:t xml:space="preserve">a stand-alone definition was not </w:t>
      </w:r>
      <w:r w:rsidR="00DC512B">
        <w:t xml:space="preserve">specifically </w:t>
      </w:r>
      <w:r w:rsidRPr="00104DDD">
        <w:t xml:space="preserve">required. </w:t>
      </w:r>
      <w:r w:rsidR="00711B11">
        <w:t>F</w:t>
      </w:r>
      <w:r w:rsidR="00DC512B">
        <w:t>ollowing that</w:t>
      </w:r>
      <w:r w:rsidR="009F0D7D">
        <w:t>,</w:t>
      </w:r>
      <w:r w:rsidRPr="00104DDD">
        <w:t xml:space="preserve"> two consequences</w:t>
      </w:r>
      <w:r w:rsidR="00745DE6" w:rsidRPr="00104DDD">
        <w:t xml:space="preserve"> of not achieving the goal </w:t>
      </w:r>
      <w:r w:rsidR="00DC512B">
        <w:t>required identification, followed by elaboration about the nature</w:t>
      </w:r>
      <w:r w:rsidR="00745DE6" w:rsidRPr="00104DDD">
        <w:t xml:space="preserve"> of each consequence in terms of </w:t>
      </w:r>
      <w:r w:rsidR="00DC512B">
        <w:t>either</w:t>
      </w:r>
      <w:r w:rsidR="00E9305E">
        <w:t xml:space="preserve"> the </w:t>
      </w:r>
      <w:r w:rsidR="00745DE6" w:rsidRPr="00104DDD">
        <w:t xml:space="preserve">positive </w:t>
      </w:r>
      <w:r w:rsidR="00E9305E">
        <w:t>and/</w:t>
      </w:r>
      <w:r w:rsidR="00745DE6" w:rsidRPr="00104DDD">
        <w:t>or negative impact</w:t>
      </w:r>
      <w:r w:rsidR="00E9305E">
        <w:t>s</w:t>
      </w:r>
      <w:r w:rsidR="00DC512B">
        <w:t xml:space="preserve"> of each</w:t>
      </w:r>
      <w:r w:rsidR="00745DE6" w:rsidRPr="00104DDD">
        <w:t>.</w:t>
      </w:r>
      <w:r w:rsidR="00F87ED6">
        <w:t xml:space="preserve"> </w:t>
      </w:r>
      <w:r w:rsidR="00413C21" w:rsidRPr="00104DDD">
        <w:t xml:space="preserve">Students were expected to focus on consequences as outlined </w:t>
      </w:r>
      <w:r w:rsidR="00E9305E">
        <w:t>with</w:t>
      </w:r>
      <w:r w:rsidR="00413C21" w:rsidRPr="00104DDD">
        <w:t xml:space="preserve">in </w:t>
      </w:r>
      <w:r w:rsidR="00D42D04">
        <w:t xml:space="preserve">the </w:t>
      </w:r>
      <w:r w:rsidR="00413C21" w:rsidRPr="00104DDD">
        <w:t xml:space="preserve">key knowledge </w:t>
      </w:r>
      <w:r w:rsidR="00D42D04">
        <w:t xml:space="preserve">areas </w:t>
      </w:r>
      <w:r w:rsidR="00413C21" w:rsidRPr="00104DDD">
        <w:t xml:space="preserve">in the </w:t>
      </w:r>
      <w:r w:rsidR="00BA7603">
        <w:t>s</w:t>
      </w:r>
      <w:r w:rsidR="00413C21" w:rsidRPr="00104DDD">
        <w:t xml:space="preserve">tudy </w:t>
      </w:r>
      <w:r w:rsidR="00BA7603">
        <w:t>d</w:t>
      </w:r>
      <w:r w:rsidR="00413C21" w:rsidRPr="00104DDD">
        <w:t xml:space="preserve">esign </w:t>
      </w:r>
      <w:r w:rsidR="00CE2643">
        <w:t>–</w:t>
      </w:r>
      <w:r w:rsidR="00413C21" w:rsidRPr="00104DDD">
        <w:t xml:space="preserve"> consequences of not achieving the goal of strong and sustainable economic growth and its effect on living standards, including environmental degradation, external pressures, high inflation if growth is too high, and high unemployment if growth is too low. </w:t>
      </w:r>
      <w:r w:rsidR="00E9305E">
        <w:t>Other</w:t>
      </w:r>
      <w:r w:rsidR="00413C21" w:rsidRPr="00104DDD">
        <w:t xml:space="preserve"> consequences</w:t>
      </w:r>
      <w:r w:rsidR="00E9305E">
        <w:t xml:space="preserve"> not listed in the study design</w:t>
      </w:r>
      <w:r w:rsidR="00413C21" w:rsidRPr="00104DDD">
        <w:t>, such as the impact on income inequality, poverty, crime, government policies etc</w:t>
      </w:r>
      <w:r w:rsidR="00711B11">
        <w:t>.</w:t>
      </w:r>
      <w:r w:rsidR="00E9305E">
        <w:t xml:space="preserve"> were accepted provided a logical explanation was </w:t>
      </w:r>
      <w:r w:rsidR="00773EA4">
        <w:t>given</w:t>
      </w:r>
      <w:r w:rsidR="00413C21" w:rsidRPr="00104DDD">
        <w:t xml:space="preserve">. </w:t>
      </w:r>
      <w:r w:rsidR="00E9305E">
        <w:t xml:space="preserve">A </w:t>
      </w:r>
      <w:r w:rsidR="00413C21" w:rsidRPr="00104DDD">
        <w:t>focus on the consequences of growth being too low and/or too high</w:t>
      </w:r>
      <w:r w:rsidR="00E9305E">
        <w:t xml:space="preserve"> was </w:t>
      </w:r>
      <w:r w:rsidR="00E15A50">
        <w:t>acceptable</w:t>
      </w:r>
      <w:r w:rsidR="00413C21" w:rsidRPr="00104DDD">
        <w:t>.</w:t>
      </w:r>
    </w:p>
    <w:p w14:paraId="4B1B7A5F" w14:textId="10CAB48D" w:rsidR="00413C21" w:rsidRPr="00104DDD" w:rsidRDefault="00E9305E" w:rsidP="00104DDD">
      <w:pPr>
        <w:pStyle w:val="VCAAbody"/>
      </w:pPr>
      <w:r>
        <w:t>In</w:t>
      </w:r>
      <w:r w:rsidRPr="00104DDD">
        <w:t xml:space="preserve"> </w:t>
      </w:r>
      <w:r w:rsidR="00413C21" w:rsidRPr="00104DDD">
        <w:t xml:space="preserve">attempting to explain the consequences of excessive growth, </w:t>
      </w:r>
      <w:proofErr w:type="gramStart"/>
      <w:r w:rsidR="00413C21" w:rsidRPr="00104DDD">
        <w:t>a number of</w:t>
      </w:r>
      <w:proofErr w:type="gramEnd"/>
      <w:r w:rsidR="00413C21" w:rsidRPr="00104DDD">
        <w:t xml:space="preserve"> students simply focused on excessive </w:t>
      </w:r>
      <w:r w:rsidR="00C00134" w:rsidRPr="00104DDD">
        <w:t xml:space="preserve">inflation </w:t>
      </w:r>
      <w:r w:rsidR="00413C21" w:rsidRPr="00104DDD">
        <w:t>(above the 2</w:t>
      </w:r>
      <w:r w:rsidR="0076261C">
        <w:t>–</w:t>
      </w:r>
      <w:r w:rsidR="00413C21" w:rsidRPr="00104DDD">
        <w:t xml:space="preserve">3% target range) and </w:t>
      </w:r>
      <w:r w:rsidR="00C00134" w:rsidRPr="00104DDD">
        <w:t>its associated consequences</w:t>
      </w:r>
      <w:r w:rsidR="00413C21" w:rsidRPr="00104DDD">
        <w:t xml:space="preserve"> (e.g. erosion of purchasing power).</w:t>
      </w:r>
      <w:r w:rsidR="00CE2643">
        <w:t xml:space="preserve"> </w:t>
      </w:r>
      <w:r w:rsidR="00413C21" w:rsidRPr="00104DDD">
        <w:t>Instead, they first needed to establish the link between a</w:t>
      </w:r>
      <w:r w:rsidR="00A65D05" w:rsidRPr="00104DDD">
        <w:t xml:space="preserve">n excessive rate of economic growth and the (excessive) </w:t>
      </w:r>
      <w:r w:rsidR="00413C21" w:rsidRPr="00104DDD">
        <w:t>rate of inflation.</w:t>
      </w:r>
      <w:r w:rsidR="00F87ED6">
        <w:t xml:space="preserve"> </w:t>
      </w:r>
    </w:p>
    <w:p w14:paraId="1F133097" w14:textId="172873FC" w:rsidR="00745DE6" w:rsidRPr="00104DDD" w:rsidRDefault="00413C21" w:rsidP="00104DDD">
      <w:pPr>
        <w:pStyle w:val="VCAAbody"/>
      </w:pPr>
      <w:proofErr w:type="gramStart"/>
      <w:r w:rsidRPr="00104DDD">
        <w:t>A number of</w:t>
      </w:r>
      <w:proofErr w:type="gramEnd"/>
      <w:r w:rsidRPr="00104DDD">
        <w:t xml:space="preserve"> students erred by </w:t>
      </w:r>
      <w:r w:rsidR="00E9305E">
        <w:t>asserting</w:t>
      </w:r>
      <w:r w:rsidRPr="00104DDD">
        <w:t xml:space="preserve"> that a growth rate that is too low will lead </w:t>
      </w:r>
      <w:r w:rsidR="0076261C">
        <w:t xml:space="preserve">to </w:t>
      </w:r>
      <w:r w:rsidRPr="00104DDD">
        <w:t xml:space="preserve">a decrease </w:t>
      </w:r>
      <w:r w:rsidR="0076261C">
        <w:t xml:space="preserve">in </w:t>
      </w:r>
      <w:r w:rsidRPr="00104DDD">
        <w:t>international competitiveness</w:t>
      </w:r>
      <w:r w:rsidR="007632F4" w:rsidRPr="00104DDD">
        <w:t xml:space="preserve">. </w:t>
      </w:r>
      <w:r w:rsidRPr="00104DDD">
        <w:t>This is an example of students getting the direction of causality incorrect and not appreciating that economic growth rates that are too low</w:t>
      </w:r>
      <w:r w:rsidR="007632F4" w:rsidRPr="00104DDD">
        <w:t xml:space="preserve"> (e.g. </w:t>
      </w:r>
      <w:proofErr w:type="gramStart"/>
      <w:r w:rsidR="007632F4" w:rsidRPr="00104DDD">
        <w:t>as a result of</w:t>
      </w:r>
      <w:proofErr w:type="gramEnd"/>
      <w:r w:rsidR="007632F4" w:rsidRPr="00104DDD">
        <w:t xml:space="preserve"> lower</w:t>
      </w:r>
      <w:r w:rsidR="00A65D05" w:rsidRPr="00104DDD">
        <w:t xml:space="preserve"> competitiveness and</w:t>
      </w:r>
      <w:r w:rsidR="007632F4" w:rsidRPr="00104DDD">
        <w:t xml:space="preserve"> net export demand)</w:t>
      </w:r>
      <w:r w:rsidRPr="00104DDD">
        <w:t xml:space="preserve"> will most likely be associated with (or lead to) a lower rate of inflation</w:t>
      </w:r>
      <w:r w:rsidR="007632F4" w:rsidRPr="00104DDD">
        <w:t xml:space="preserve">, which actually contributes to </w:t>
      </w:r>
      <w:r w:rsidRPr="00104DDD">
        <w:t>an increase in international competitiveness.</w:t>
      </w:r>
    </w:p>
    <w:p w14:paraId="2C364380" w14:textId="056756FF" w:rsidR="00413C21" w:rsidRPr="00104DDD" w:rsidRDefault="00413C21" w:rsidP="00104DDD">
      <w:pPr>
        <w:pStyle w:val="VCAAbody"/>
      </w:pPr>
      <w:r w:rsidRPr="00104DDD">
        <w:lastRenderedPageBreak/>
        <w:t xml:space="preserve">The following is </w:t>
      </w:r>
      <w:r w:rsidR="00EB4EEC" w:rsidRPr="00104DDD">
        <w:t>a</w:t>
      </w:r>
      <w:r w:rsidRPr="00104DDD">
        <w:t xml:space="preserve"> </w:t>
      </w:r>
      <w:r w:rsidR="00F80AAA">
        <w:t>possible</w:t>
      </w:r>
      <w:r w:rsidRPr="00104DDD">
        <w:t xml:space="preserve"> response. </w:t>
      </w:r>
    </w:p>
    <w:p w14:paraId="7FBD4C0A" w14:textId="76D14C84" w:rsidR="002D0FC5" w:rsidRPr="00727C94" w:rsidRDefault="009D1801" w:rsidP="00727C94">
      <w:pPr>
        <w:pStyle w:val="VCAAstudentresponse"/>
      </w:pPr>
      <w:r w:rsidRPr="00727C94">
        <w:t>The goal of strong and sustainable economic growth is to achieve the highest growth rate possible, consistent with strong employment growth, before running into excessive environmental, external and inflationary pressures. It is achieved at a real GDP growth rate of 3-3.5% p.a. If growth is below the target and not strong enough, there would be reduced derived demand for labour, as with lower levels of output there’s reduced need by firms to use labour resources to facilitate their production, thus leading to high levels of cyclical unemployment, which leads to greater social unrest, homelessness and crime rates, reducing non-material living standards. If growth is too high, such that is had become unsustainable, the excessive growth would thus lead to (if the economy was operating at/close to full capacity) capacity constraints and shortages. As aggregate supply begins to fall to keep pace with the growth in AD, these shortages in product and factor markets would place upward pressure on prices, thus exacerbating inflationary pressures, which erodes the purchasing power of workers with fixed wages, reducing their access to goods/services, worsening material living standards.</w:t>
      </w:r>
      <w:r w:rsidR="00F87ED6">
        <w:t xml:space="preserve"> </w:t>
      </w:r>
    </w:p>
    <w:p w14:paraId="40FCF4B9" w14:textId="5EBC0B19" w:rsidR="00963008" w:rsidRPr="003C0A2F" w:rsidRDefault="00963008" w:rsidP="009914F6">
      <w:pPr>
        <w:pStyle w:val="VCAAHeading3"/>
      </w:pPr>
      <w:r w:rsidRPr="003C0A2F">
        <w:t>Question 1</w:t>
      </w:r>
      <w:r>
        <w:t>d</w:t>
      </w:r>
      <w:r w:rsidRPr="003C0A2F">
        <w:t>.</w:t>
      </w:r>
    </w:p>
    <w:tbl>
      <w:tblPr>
        <w:tblStyle w:val="VCAATableClosed"/>
        <w:tblW w:w="1794" w:type="pct"/>
        <w:tblInd w:w="142" w:type="dxa"/>
        <w:tblLook w:val="04A0" w:firstRow="1" w:lastRow="0" w:firstColumn="1" w:lastColumn="0" w:noHBand="0" w:noVBand="1"/>
      </w:tblPr>
      <w:tblGrid>
        <w:gridCol w:w="736"/>
        <w:gridCol w:w="590"/>
        <w:gridCol w:w="590"/>
        <w:gridCol w:w="590"/>
        <w:gridCol w:w="1030"/>
      </w:tblGrid>
      <w:tr w:rsidR="00963008" w:rsidRPr="003C0A2F" w14:paraId="2C8E8673" w14:textId="77777777" w:rsidTr="0052782F">
        <w:trPr>
          <w:cnfStyle w:val="100000000000" w:firstRow="1" w:lastRow="0" w:firstColumn="0" w:lastColumn="0" w:oddVBand="0" w:evenVBand="0" w:oddHBand="0" w:evenHBand="0" w:firstRowFirstColumn="0" w:firstRowLastColumn="0" w:lastRowFirstColumn="0" w:lastRowLastColumn="0"/>
        </w:trPr>
        <w:tc>
          <w:tcPr>
            <w:tcW w:w="1041" w:type="pct"/>
          </w:tcPr>
          <w:p w14:paraId="43453F97" w14:textId="77777777" w:rsidR="00963008" w:rsidRPr="003C0A2F" w:rsidRDefault="00963008" w:rsidP="00AE7682">
            <w:pPr>
              <w:pStyle w:val="VCAAtablecondensedheading"/>
              <w:rPr>
                <w:lang w:val="en-AU"/>
              </w:rPr>
            </w:pPr>
            <w:r w:rsidRPr="003C0A2F">
              <w:rPr>
                <w:lang w:val="en-AU"/>
              </w:rPr>
              <w:t>Marks</w:t>
            </w:r>
          </w:p>
        </w:tc>
        <w:tc>
          <w:tcPr>
            <w:tcW w:w="834" w:type="pct"/>
          </w:tcPr>
          <w:p w14:paraId="52A54A4A" w14:textId="77777777" w:rsidR="00963008" w:rsidRPr="003C0A2F" w:rsidRDefault="00963008" w:rsidP="00AE7682">
            <w:pPr>
              <w:pStyle w:val="VCAAtablecondensedheading"/>
              <w:rPr>
                <w:lang w:val="en-AU"/>
              </w:rPr>
            </w:pPr>
            <w:r w:rsidRPr="003C0A2F">
              <w:rPr>
                <w:lang w:val="en-AU"/>
              </w:rPr>
              <w:t>0</w:t>
            </w:r>
          </w:p>
        </w:tc>
        <w:tc>
          <w:tcPr>
            <w:tcW w:w="834" w:type="pct"/>
          </w:tcPr>
          <w:p w14:paraId="2A1FC8D5" w14:textId="77777777" w:rsidR="00963008" w:rsidRPr="003C0A2F" w:rsidRDefault="00963008" w:rsidP="00AE7682">
            <w:pPr>
              <w:pStyle w:val="VCAAtablecondensedheading"/>
              <w:rPr>
                <w:lang w:val="en-AU"/>
              </w:rPr>
            </w:pPr>
            <w:r w:rsidRPr="003C0A2F">
              <w:rPr>
                <w:lang w:val="en-AU"/>
              </w:rPr>
              <w:t>1</w:t>
            </w:r>
          </w:p>
        </w:tc>
        <w:tc>
          <w:tcPr>
            <w:tcW w:w="834" w:type="pct"/>
          </w:tcPr>
          <w:p w14:paraId="206865F4" w14:textId="77777777" w:rsidR="00963008" w:rsidRPr="003C0A2F" w:rsidRDefault="00963008" w:rsidP="00AE7682">
            <w:pPr>
              <w:pStyle w:val="VCAAtablecondensedheading"/>
              <w:rPr>
                <w:lang w:val="en-AU"/>
              </w:rPr>
            </w:pPr>
            <w:r w:rsidRPr="003C0A2F">
              <w:rPr>
                <w:lang w:val="en-AU"/>
              </w:rPr>
              <w:t>2</w:t>
            </w:r>
          </w:p>
        </w:tc>
        <w:tc>
          <w:tcPr>
            <w:tcW w:w="1456" w:type="pct"/>
          </w:tcPr>
          <w:p w14:paraId="601BFB8F" w14:textId="77777777" w:rsidR="00963008" w:rsidRPr="003C0A2F" w:rsidRDefault="00963008" w:rsidP="00AE7682">
            <w:pPr>
              <w:pStyle w:val="VCAAtablecondensedheading"/>
              <w:rPr>
                <w:lang w:val="en-AU"/>
              </w:rPr>
            </w:pPr>
            <w:r w:rsidRPr="003C0A2F">
              <w:rPr>
                <w:lang w:val="en-AU"/>
              </w:rPr>
              <w:t>Average</w:t>
            </w:r>
          </w:p>
        </w:tc>
      </w:tr>
      <w:tr w:rsidR="00FC7491" w:rsidRPr="003C0A2F" w14:paraId="77BC42A8" w14:textId="77777777" w:rsidTr="0052782F">
        <w:tc>
          <w:tcPr>
            <w:tcW w:w="1041" w:type="pct"/>
          </w:tcPr>
          <w:p w14:paraId="72C8BA06" w14:textId="77777777" w:rsidR="00FC7491" w:rsidRPr="003C0A2F" w:rsidRDefault="00FC7491" w:rsidP="00FC7491">
            <w:pPr>
              <w:pStyle w:val="VCAAtablecondensed"/>
              <w:rPr>
                <w:lang w:val="en-AU"/>
              </w:rPr>
            </w:pPr>
            <w:r w:rsidRPr="003C0A2F">
              <w:rPr>
                <w:lang w:val="en-AU"/>
              </w:rPr>
              <w:t>%</w:t>
            </w:r>
          </w:p>
        </w:tc>
        <w:tc>
          <w:tcPr>
            <w:tcW w:w="834" w:type="pct"/>
          </w:tcPr>
          <w:p w14:paraId="199566A0" w14:textId="1A437A94" w:rsidR="00FC7491" w:rsidRPr="003C0A2F" w:rsidRDefault="00FC7491" w:rsidP="00FC7491">
            <w:pPr>
              <w:pStyle w:val="VCAAtablecondensed"/>
              <w:rPr>
                <w:lang w:val="en-AU"/>
              </w:rPr>
            </w:pPr>
            <w:r w:rsidRPr="00A3339A">
              <w:t>33</w:t>
            </w:r>
          </w:p>
        </w:tc>
        <w:tc>
          <w:tcPr>
            <w:tcW w:w="834" w:type="pct"/>
          </w:tcPr>
          <w:p w14:paraId="138ED814" w14:textId="29C22D79" w:rsidR="00FC7491" w:rsidRPr="003C0A2F" w:rsidRDefault="00FC7491" w:rsidP="00FC7491">
            <w:pPr>
              <w:pStyle w:val="VCAAtablecondensed"/>
              <w:rPr>
                <w:lang w:val="en-AU"/>
              </w:rPr>
            </w:pPr>
            <w:r w:rsidRPr="00A3339A">
              <w:t>24</w:t>
            </w:r>
          </w:p>
        </w:tc>
        <w:tc>
          <w:tcPr>
            <w:tcW w:w="834" w:type="pct"/>
          </w:tcPr>
          <w:p w14:paraId="6A042379" w14:textId="19574D28" w:rsidR="00FC7491" w:rsidRPr="003C0A2F" w:rsidRDefault="00FC7491" w:rsidP="00FC7491">
            <w:pPr>
              <w:pStyle w:val="VCAAtablecondensed"/>
              <w:rPr>
                <w:lang w:val="en-AU"/>
              </w:rPr>
            </w:pPr>
            <w:r w:rsidRPr="00A3339A">
              <w:t>42</w:t>
            </w:r>
          </w:p>
        </w:tc>
        <w:tc>
          <w:tcPr>
            <w:tcW w:w="1456" w:type="pct"/>
          </w:tcPr>
          <w:p w14:paraId="3BD1B93E" w14:textId="404C9EB0" w:rsidR="00FC7491" w:rsidRPr="003C0A2F" w:rsidRDefault="00FC7491" w:rsidP="00FC7491">
            <w:pPr>
              <w:pStyle w:val="VCAAtablecondensed"/>
              <w:rPr>
                <w:lang w:val="en-AU"/>
              </w:rPr>
            </w:pPr>
            <w:r w:rsidRPr="00A3339A">
              <w:t>1.1</w:t>
            </w:r>
          </w:p>
        </w:tc>
      </w:tr>
    </w:tbl>
    <w:p w14:paraId="07EF2FEB" w14:textId="684F939E" w:rsidR="00C46867" w:rsidRPr="00104DDD" w:rsidRDefault="007632F4" w:rsidP="00104DDD">
      <w:pPr>
        <w:pStyle w:val="VCAAbody"/>
      </w:pPr>
      <w:r w:rsidRPr="00104DDD">
        <w:t xml:space="preserve">To achieve full marks, students </w:t>
      </w:r>
      <w:r w:rsidR="007C0833">
        <w:t>were</w:t>
      </w:r>
      <w:r w:rsidR="007C0833" w:rsidRPr="00104DDD">
        <w:t xml:space="preserve"> </w:t>
      </w:r>
      <w:r w:rsidR="00945833">
        <w:t xml:space="preserve">required </w:t>
      </w:r>
      <w:r w:rsidRPr="00104DDD">
        <w:t xml:space="preserve">to demonstrate understanding of </w:t>
      </w:r>
      <w:r w:rsidR="007C0833">
        <w:t xml:space="preserve">both </w:t>
      </w:r>
      <w:r w:rsidRPr="00104DDD">
        <w:t xml:space="preserve">the headline and underlying rates of </w:t>
      </w:r>
      <w:proofErr w:type="gramStart"/>
      <w:r w:rsidRPr="00104DDD">
        <w:t>inflation</w:t>
      </w:r>
      <w:r w:rsidR="00A65D05" w:rsidRPr="00104DDD">
        <w:t>,</w:t>
      </w:r>
      <w:r w:rsidRPr="00104DDD">
        <w:t xml:space="preserve"> </w:t>
      </w:r>
      <w:r w:rsidR="007C0833">
        <w:t>and</w:t>
      </w:r>
      <w:proofErr w:type="gramEnd"/>
      <w:r w:rsidRPr="00104DDD">
        <w:t xml:space="preserve"> elaborate </w:t>
      </w:r>
      <w:r w:rsidR="007C0833">
        <w:t xml:space="preserve">one </w:t>
      </w:r>
      <w:r w:rsidRPr="00104DDD">
        <w:t xml:space="preserve">reason </w:t>
      </w:r>
      <w:r w:rsidR="00945833">
        <w:t xml:space="preserve">why </w:t>
      </w:r>
      <w:r w:rsidRPr="00104DDD">
        <w:t>two measures of inflation</w:t>
      </w:r>
      <w:r w:rsidR="007C0833">
        <w:t xml:space="preserve"> may differ</w:t>
      </w:r>
      <w:r w:rsidRPr="00104DDD">
        <w:t>.</w:t>
      </w:r>
      <w:r w:rsidR="00F87ED6">
        <w:t xml:space="preserve"> </w:t>
      </w:r>
      <w:r w:rsidR="00C46867" w:rsidRPr="00104DDD">
        <w:t xml:space="preserve">It was expected that students would refer to </w:t>
      </w:r>
      <w:r w:rsidR="007C0833">
        <w:t xml:space="preserve">either </w:t>
      </w:r>
      <w:r w:rsidR="00C46867" w:rsidRPr="00104DDD">
        <w:t xml:space="preserve">the role of volatile prices (such as petrol and fruit and vegetables) </w:t>
      </w:r>
      <w:r w:rsidR="007C0833">
        <w:t xml:space="preserve">in </w:t>
      </w:r>
      <w:r w:rsidR="00C46867" w:rsidRPr="00104DDD">
        <w:t xml:space="preserve">accounting for differences, or the </w:t>
      </w:r>
      <w:r w:rsidR="00A071A3">
        <w:t>RBA’s</w:t>
      </w:r>
      <w:r w:rsidR="007C0833" w:rsidRPr="00104DDD">
        <w:t xml:space="preserve"> </w:t>
      </w:r>
      <w:r w:rsidR="00C46867" w:rsidRPr="00104DDD">
        <w:t>practice of extracting the top 15% and bottom 15% of price changes when calculating its underlying (trimmed mean) measure.</w:t>
      </w:r>
      <w:r w:rsidR="00F87ED6">
        <w:t xml:space="preserve"> </w:t>
      </w:r>
    </w:p>
    <w:p w14:paraId="553F9B7D" w14:textId="3C042E16" w:rsidR="007632F4" w:rsidRPr="00104DDD" w:rsidRDefault="00C46867" w:rsidP="00104DDD">
      <w:pPr>
        <w:pStyle w:val="VCAAbody"/>
      </w:pPr>
      <w:r w:rsidRPr="00104DDD">
        <w:t xml:space="preserve">While there were many excellent responses, </w:t>
      </w:r>
      <w:r w:rsidR="007C0833">
        <w:t xml:space="preserve">many </w:t>
      </w:r>
      <w:r w:rsidRPr="00104DDD">
        <w:t xml:space="preserve">students confused the </w:t>
      </w:r>
      <w:r w:rsidR="00A65D05" w:rsidRPr="00104DDD">
        <w:t>‘</w:t>
      </w:r>
      <w:r w:rsidRPr="00104DDD">
        <w:t>difference between headline and underlying inflation</w:t>
      </w:r>
      <w:r w:rsidR="00A65D05" w:rsidRPr="00104DDD">
        <w:t>’</w:t>
      </w:r>
      <w:r w:rsidRPr="00104DDD">
        <w:t xml:space="preserve"> with </w:t>
      </w:r>
      <w:r w:rsidR="00A65D05" w:rsidRPr="00104DDD">
        <w:t xml:space="preserve">the ‘difference between </w:t>
      </w:r>
      <w:r w:rsidRPr="00104DDD">
        <w:t>headline and underlying budget balance</w:t>
      </w:r>
      <w:r w:rsidR="00A65D05" w:rsidRPr="00104DDD">
        <w:t>’</w:t>
      </w:r>
      <w:r w:rsidRPr="00104DDD">
        <w:t xml:space="preserve">. </w:t>
      </w:r>
      <w:r w:rsidR="007C0833">
        <w:t>Others</w:t>
      </w:r>
      <w:r w:rsidRPr="00104DDD">
        <w:t xml:space="preserve"> were </w:t>
      </w:r>
      <w:r w:rsidR="007C0833">
        <w:t>unclear as to w</w:t>
      </w:r>
      <w:r w:rsidRPr="00104DDD">
        <w:t>hat is removed from the C</w:t>
      </w:r>
      <w:r w:rsidR="00945833">
        <w:t xml:space="preserve">onsumer </w:t>
      </w:r>
      <w:r w:rsidRPr="00104DDD">
        <w:t>P</w:t>
      </w:r>
      <w:r w:rsidR="00945833">
        <w:t xml:space="preserve">rice </w:t>
      </w:r>
      <w:r w:rsidRPr="00104DDD">
        <w:t>I</w:t>
      </w:r>
      <w:r w:rsidR="00945833">
        <w:t>ndex (CPI)</w:t>
      </w:r>
      <w:r w:rsidRPr="00104DDD">
        <w:t xml:space="preserve"> to arrive at the underlying rate.</w:t>
      </w:r>
      <w:r w:rsidR="00F87ED6">
        <w:t xml:space="preserve"> </w:t>
      </w:r>
      <w:r w:rsidRPr="00104DDD">
        <w:t>For example, there were references to prices of seasonal goods being removed</w:t>
      </w:r>
      <w:r w:rsidR="00A65D05" w:rsidRPr="00104DDD">
        <w:t>, or ‘outliers’ being removed,</w:t>
      </w:r>
      <w:r w:rsidRPr="00104DDD">
        <w:t xml:space="preserve"> and/or </w:t>
      </w:r>
      <w:r w:rsidR="00A65D05" w:rsidRPr="00104DDD">
        <w:t xml:space="preserve">references to the removal of </w:t>
      </w:r>
      <w:r w:rsidRPr="00104DDD">
        <w:t xml:space="preserve">price changes stemming from the supply side </w:t>
      </w:r>
      <w:r w:rsidR="00A65D05" w:rsidRPr="00104DDD">
        <w:t>rather than the demand side.</w:t>
      </w:r>
    </w:p>
    <w:p w14:paraId="53194ECB" w14:textId="77777777" w:rsidR="00C46867" w:rsidRPr="00104DDD" w:rsidRDefault="00C46867" w:rsidP="00104DDD">
      <w:pPr>
        <w:pStyle w:val="VCAAbody"/>
      </w:pPr>
      <w:r w:rsidRPr="00104DDD">
        <w:t xml:space="preserve">The following is an example of a high-scoring response. </w:t>
      </w:r>
    </w:p>
    <w:p w14:paraId="3058EA58" w14:textId="6F28CD9B" w:rsidR="007632F4" w:rsidRPr="00727C94" w:rsidRDefault="009D1801" w:rsidP="00727C94">
      <w:pPr>
        <w:pStyle w:val="VCAAstudentresponse"/>
      </w:pPr>
      <w:r w:rsidRPr="00727C94">
        <w:t>The headline rate of inflation includes the price movements of all goods and services included in the CPI, whereby if there were one off increases in the prices of energy such as fuel in the economy, this would, ceteris paribus, cause the headline inflation rate to increase. However, the underlying inflation rate ultimately excludes volatile/temporary price changes, including the one off energy prices increases. Thus, the underlying rate of inflation would remove the price increase from its calculation, and thus the underlying rate, ceteris paribus</w:t>
      </w:r>
      <w:r w:rsidR="00264A76">
        <w:t>,</w:t>
      </w:r>
      <w:r w:rsidRPr="00727C94">
        <w:t xml:space="preserve"> would not change, leading to the headline rate of inflation being higher than the underlying rate. </w:t>
      </w:r>
    </w:p>
    <w:p w14:paraId="16FEEE03" w14:textId="1F1CC052" w:rsidR="00963008" w:rsidRPr="003C0A2F" w:rsidRDefault="00963008" w:rsidP="009914F6">
      <w:pPr>
        <w:pStyle w:val="VCAAHeading3"/>
      </w:pPr>
      <w:r w:rsidRPr="003C0A2F">
        <w:t xml:space="preserve">Question </w:t>
      </w:r>
      <w:r>
        <w:t>2a</w:t>
      </w:r>
      <w:r w:rsidR="009F0D7D">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963008" w:rsidRPr="003C0A2F" w14:paraId="50978606"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4CFDB511" w14:textId="77777777" w:rsidR="00963008" w:rsidRPr="003C0A2F" w:rsidRDefault="00963008" w:rsidP="00AE7682">
            <w:pPr>
              <w:pStyle w:val="VCAAtablecondensedheading"/>
              <w:rPr>
                <w:lang w:val="en-AU"/>
              </w:rPr>
            </w:pPr>
            <w:r w:rsidRPr="003C0A2F">
              <w:rPr>
                <w:lang w:val="en-AU"/>
              </w:rPr>
              <w:t>Marks</w:t>
            </w:r>
          </w:p>
        </w:tc>
        <w:tc>
          <w:tcPr>
            <w:tcW w:w="576" w:type="dxa"/>
          </w:tcPr>
          <w:p w14:paraId="3C182E0F" w14:textId="77777777" w:rsidR="00963008" w:rsidRPr="003C0A2F" w:rsidRDefault="00963008" w:rsidP="00AE7682">
            <w:pPr>
              <w:pStyle w:val="VCAAtablecondensedheading"/>
              <w:rPr>
                <w:lang w:val="en-AU"/>
              </w:rPr>
            </w:pPr>
            <w:r w:rsidRPr="003C0A2F">
              <w:rPr>
                <w:lang w:val="en-AU"/>
              </w:rPr>
              <w:t>0</w:t>
            </w:r>
          </w:p>
        </w:tc>
        <w:tc>
          <w:tcPr>
            <w:tcW w:w="576" w:type="dxa"/>
          </w:tcPr>
          <w:p w14:paraId="06ABC9F9" w14:textId="77777777" w:rsidR="00963008" w:rsidRPr="003C0A2F" w:rsidRDefault="00963008" w:rsidP="00AE7682">
            <w:pPr>
              <w:pStyle w:val="VCAAtablecondensedheading"/>
              <w:rPr>
                <w:lang w:val="en-AU"/>
              </w:rPr>
            </w:pPr>
            <w:r w:rsidRPr="003C0A2F">
              <w:rPr>
                <w:lang w:val="en-AU"/>
              </w:rPr>
              <w:t>1</w:t>
            </w:r>
          </w:p>
        </w:tc>
        <w:tc>
          <w:tcPr>
            <w:tcW w:w="576" w:type="dxa"/>
          </w:tcPr>
          <w:p w14:paraId="077004BE" w14:textId="77777777" w:rsidR="00963008" w:rsidRPr="003C0A2F" w:rsidRDefault="00963008" w:rsidP="00AE7682">
            <w:pPr>
              <w:pStyle w:val="VCAAtablecondensedheading"/>
              <w:rPr>
                <w:lang w:val="en-AU"/>
              </w:rPr>
            </w:pPr>
            <w:r w:rsidRPr="003C0A2F">
              <w:rPr>
                <w:lang w:val="en-AU"/>
              </w:rPr>
              <w:t>2</w:t>
            </w:r>
          </w:p>
        </w:tc>
        <w:tc>
          <w:tcPr>
            <w:tcW w:w="576" w:type="dxa"/>
          </w:tcPr>
          <w:p w14:paraId="6F7291BC" w14:textId="77777777" w:rsidR="00963008" w:rsidRPr="003C0A2F" w:rsidRDefault="00963008" w:rsidP="00AE7682">
            <w:pPr>
              <w:pStyle w:val="VCAAtablecondensedheading"/>
              <w:rPr>
                <w:lang w:val="en-AU"/>
              </w:rPr>
            </w:pPr>
            <w:r w:rsidRPr="003C0A2F">
              <w:rPr>
                <w:lang w:val="en-AU"/>
              </w:rPr>
              <w:t>3</w:t>
            </w:r>
          </w:p>
        </w:tc>
        <w:tc>
          <w:tcPr>
            <w:tcW w:w="576" w:type="dxa"/>
          </w:tcPr>
          <w:p w14:paraId="194DD9A7" w14:textId="77777777" w:rsidR="00963008" w:rsidRPr="003C0A2F" w:rsidRDefault="00963008" w:rsidP="00AE7682">
            <w:pPr>
              <w:pStyle w:val="VCAAtablecondensedheading"/>
              <w:rPr>
                <w:lang w:val="en-AU"/>
              </w:rPr>
            </w:pPr>
            <w:r w:rsidRPr="003C0A2F">
              <w:rPr>
                <w:lang w:val="en-AU"/>
              </w:rPr>
              <w:t>4</w:t>
            </w:r>
          </w:p>
        </w:tc>
        <w:tc>
          <w:tcPr>
            <w:tcW w:w="1008" w:type="dxa"/>
          </w:tcPr>
          <w:p w14:paraId="5AA394FD" w14:textId="77777777" w:rsidR="00963008" w:rsidRPr="003C0A2F" w:rsidRDefault="00963008" w:rsidP="00AE7682">
            <w:pPr>
              <w:pStyle w:val="VCAAtablecondensedheading"/>
              <w:rPr>
                <w:lang w:val="en-AU"/>
              </w:rPr>
            </w:pPr>
            <w:r w:rsidRPr="003C0A2F">
              <w:rPr>
                <w:lang w:val="en-AU"/>
              </w:rPr>
              <w:t>Average</w:t>
            </w:r>
          </w:p>
        </w:tc>
      </w:tr>
      <w:tr w:rsidR="00FC7491" w:rsidRPr="003C0A2F" w14:paraId="39487ED3" w14:textId="77777777" w:rsidTr="0052782F">
        <w:tc>
          <w:tcPr>
            <w:tcW w:w="720" w:type="dxa"/>
          </w:tcPr>
          <w:p w14:paraId="5FFD8565" w14:textId="77777777" w:rsidR="00FC7491" w:rsidRPr="003C0A2F" w:rsidRDefault="00FC7491" w:rsidP="00FC7491">
            <w:pPr>
              <w:pStyle w:val="VCAAtablecondensed"/>
              <w:rPr>
                <w:lang w:val="en-AU"/>
              </w:rPr>
            </w:pPr>
            <w:r w:rsidRPr="003C0A2F">
              <w:rPr>
                <w:lang w:val="en-AU"/>
              </w:rPr>
              <w:t>%</w:t>
            </w:r>
          </w:p>
        </w:tc>
        <w:tc>
          <w:tcPr>
            <w:tcW w:w="576" w:type="dxa"/>
          </w:tcPr>
          <w:p w14:paraId="1BF35F24" w14:textId="0B649D69" w:rsidR="00FC7491" w:rsidRPr="003C0A2F" w:rsidRDefault="00DC2149" w:rsidP="00FC7491">
            <w:pPr>
              <w:pStyle w:val="VCAAtablecondensed"/>
              <w:rPr>
                <w:lang w:val="en-AU"/>
              </w:rPr>
            </w:pPr>
            <w:r>
              <w:t>9</w:t>
            </w:r>
          </w:p>
        </w:tc>
        <w:tc>
          <w:tcPr>
            <w:tcW w:w="576" w:type="dxa"/>
          </w:tcPr>
          <w:p w14:paraId="6295ADAF" w14:textId="2DF7806A" w:rsidR="00FC7491" w:rsidRPr="003C0A2F" w:rsidRDefault="00DC2149" w:rsidP="00FC7491">
            <w:pPr>
              <w:pStyle w:val="VCAAtablecondensed"/>
              <w:rPr>
                <w:lang w:val="en-AU"/>
              </w:rPr>
            </w:pPr>
            <w:r>
              <w:t>20</w:t>
            </w:r>
          </w:p>
        </w:tc>
        <w:tc>
          <w:tcPr>
            <w:tcW w:w="576" w:type="dxa"/>
          </w:tcPr>
          <w:p w14:paraId="233508F7" w14:textId="0B062FFD" w:rsidR="00FC7491" w:rsidRPr="003C0A2F" w:rsidRDefault="00FC7491" w:rsidP="00FC7491">
            <w:pPr>
              <w:pStyle w:val="VCAAtablecondensed"/>
              <w:rPr>
                <w:lang w:val="en-AU"/>
              </w:rPr>
            </w:pPr>
            <w:r w:rsidRPr="00A15F0C">
              <w:t>27</w:t>
            </w:r>
          </w:p>
        </w:tc>
        <w:tc>
          <w:tcPr>
            <w:tcW w:w="576" w:type="dxa"/>
          </w:tcPr>
          <w:p w14:paraId="44A59EE8" w14:textId="076BA959" w:rsidR="00FC7491" w:rsidRPr="003C0A2F" w:rsidRDefault="00FC7491" w:rsidP="00FC7491">
            <w:pPr>
              <w:pStyle w:val="VCAAtablecondensed"/>
              <w:rPr>
                <w:lang w:val="en-AU"/>
              </w:rPr>
            </w:pPr>
            <w:r w:rsidRPr="00A15F0C">
              <w:t>23</w:t>
            </w:r>
          </w:p>
        </w:tc>
        <w:tc>
          <w:tcPr>
            <w:tcW w:w="576" w:type="dxa"/>
          </w:tcPr>
          <w:p w14:paraId="20CE0672" w14:textId="484C63CB" w:rsidR="00FC7491" w:rsidRPr="003C0A2F" w:rsidRDefault="00FC7491" w:rsidP="00FC7491">
            <w:pPr>
              <w:pStyle w:val="VCAAtablecondensed"/>
              <w:rPr>
                <w:lang w:val="en-AU"/>
              </w:rPr>
            </w:pPr>
            <w:r w:rsidRPr="00A15F0C">
              <w:t>2</w:t>
            </w:r>
            <w:r w:rsidR="00DC2149">
              <w:t>2</w:t>
            </w:r>
          </w:p>
        </w:tc>
        <w:tc>
          <w:tcPr>
            <w:tcW w:w="1008" w:type="dxa"/>
          </w:tcPr>
          <w:p w14:paraId="1ADA06ED" w14:textId="06437332" w:rsidR="00FC7491" w:rsidRPr="003C0A2F" w:rsidRDefault="00FC7491" w:rsidP="00FC7491">
            <w:pPr>
              <w:pStyle w:val="VCAAtablecondensed"/>
              <w:rPr>
                <w:lang w:val="en-AU"/>
              </w:rPr>
            </w:pPr>
            <w:r w:rsidRPr="00A15F0C">
              <w:t>2.3</w:t>
            </w:r>
          </w:p>
        </w:tc>
      </w:tr>
    </w:tbl>
    <w:p w14:paraId="5BAAAA3C" w14:textId="23BA163D" w:rsidR="00A65D05" w:rsidRPr="00104DDD" w:rsidRDefault="00B6015F" w:rsidP="00104DDD">
      <w:pPr>
        <w:pStyle w:val="VCAAbody"/>
      </w:pPr>
      <w:r w:rsidRPr="00104DDD">
        <w:t xml:space="preserve">To achieve full marks, </w:t>
      </w:r>
      <w:r w:rsidR="00A65D05" w:rsidRPr="00104DDD">
        <w:t xml:space="preserve">an understanding of </w:t>
      </w:r>
      <w:r w:rsidR="007C0833">
        <w:t xml:space="preserve">what </w:t>
      </w:r>
      <w:r w:rsidR="00A65D05" w:rsidRPr="00104DDD">
        <w:t xml:space="preserve">tariffs </w:t>
      </w:r>
      <w:r w:rsidR="007C0833">
        <w:t xml:space="preserve">are </w:t>
      </w:r>
      <w:r w:rsidR="00A65D05" w:rsidRPr="00104DDD">
        <w:t xml:space="preserve">and </w:t>
      </w:r>
      <w:r w:rsidRPr="00104DDD">
        <w:t>identif</w:t>
      </w:r>
      <w:r w:rsidR="00773EA4">
        <w:t>ying</w:t>
      </w:r>
      <w:r w:rsidRPr="00104DDD">
        <w:t xml:space="preserve"> that tariffs have been falling</w:t>
      </w:r>
      <w:r w:rsidR="007C0833">
        <w:t xml:space="preserve"> w</w:t>
      </w:r>
      <w:r w:rsidR="00773EA4">
        <w:t>ere</w:t>
      </w:r>
      <w:r w:rsidR="007C0833">
        <w:t xml:space="preserve"> </w:t>
      </w:r>
      <w:proofErr w:type="gramStart"/>
      <w:r w:rsidR="007C0833">
        <w:t>required</w:t>
      </w:r>
      <w:r w:rsidR="00A65D05" w:rsidRPr="00104DDD">
        <w:t>,</w:t>
      </w:r>
      <w:r w:rsidRPr="00104DDD">
        <w:t xml:space="preserve"> </w:t>
      </w:r>
      <w:r w:rsidR="007C0833">
        <w:t>before</w:t>
      </w:r>
      <w:proofErr w:type="gramEnd"/>
      <w:r w:rsidR="007C0833">
        <w:t xml:space="preserve"> an explanation of</w:t>
      </w:r>
      <w:r w:rsidR="00A071A3">
        <w:t xml:space="preserve"> </w:t>
      </w:r>
      <w:r w:rsidRPr="00104DDD">
        <w:t xml:space="preserve">the implications </w:t>
      </w:r>
      <w:r w:rsidR="007C0833">
        <w:t>of the changes in tariffs in Australia on motor vehicles since 1990 on</w:t>
      </w:r>
      <w:r w:rsidR="007C0833" w:rsidRPr="00104DDD">
        <w:t xml:space="preserve"> </w:t>
      </w:r>
      <w:r w:rsidRPr="00104DDD">
        <w:t>resource allocation and living standards.</w:t>
      </w:r>
      <w:r w:rsidR="00F87ED6">
        <w:t xml:space="preserve"> </w:t>
      </w:r>
      <w:r w:rsidRPr="00104DDD">
        <w:t xml:space="preserve">The best </w:t>
      </w:r>
      <w:r w:rsidR="00264A76">
        <w:t>responses</w:t>
      </w:r>
      <w:r w:rsidRPr="00104DDD">
        <w:t xml:space="preserve"> </w:t>
      </w:r>
      <w:r w:rsidR="00FD47EA">
        <w:t>demonstrated an understanding</w:t>
      </w:r>
      <w:r w:rsidRPr="00104DDD">
        <w:t xml:space="preserve"> that falling tariffs </w:t>
      </w:r>
      <w:r w:rsidR="00FD47EA">
        <w:t xml:space="preserve">had been </w:t>
      </w:r>
      <w:r w:rsidR="00057069" w:rsidRPr="00104DDD">
        <w:t xml:space="preserve">a feature of trade </w:t>
      </w:r>
      <w:proofErr w:type="spellStart"/>
      <w:r w:rsidR="00057069" w:rsidRPr="00104DDD">
        <w:t>liberalisation</w:t>
      </w:r>
      <w:proofErr w:type="spellEnd"/>
      <w:r w:rsidR="00A65D05" w:rsidRPr="00104DDD">
        <w:t xml:space="preserve"> (tapping into key knowledge from Unit 4 AOS 2), </w:t>
      </w:r>
      <w:r w:rsidR="00FD47EA">
        <w:lastRenderedPageBreak/>
        <w:t>making</w:t>
      </w:r>
      <w:r w:rsidR="00A65D05" w:rsidRPr="00104DDD">
        <w:t xml:space="preserve"> it easier to </w:t>
      </w:r>
      <w:r w:rsidR="00057069" w:rsidRPr="00104DDD">
        <w:t xml:space="preserve">explain how </w:t>
      </w:r>
      <w:r w:rsidR="00A65D05" w:rsidRPr="00104DDD">
        <w:t xml:space="preserve">lower </w:t>
      </w:r>
      <w:r w:rsidR="00057069" w:rsidRPr="00104DDD">
        <w:t>tariffs</w:t>
      </w:r>
      <w:r w:rsidR="00A65D05" w:rsidRPr="00104DDD">
        <w:t xml:space="preserve"> </w:t>
      </w:r>
      <w:r w:rsidR="00FD47EA">
        <w:t>have resulted</w:t>
      </w:r>
      <w:r w:rsidR="00FD47EA" w:rsidRPr="00104DDD">
        <w:t xml:space="preserve"> </w:t>
      </w:r>
      <w:r w:rsidR="00A65D05" w:rsidRPr="00104DDD">
        <w:t>in a reallocation of r</w:t>
      </w:r>
      <w:r w:rsidR="00057069" w:rsidRPr="00104DDD">
        <w:t xml:space="preserve">esources and </w:t>
      </w:r>
      <w:r w:rsidR="00FD47EA">
        <w:t xml:space="preserve">how this has </w:t>
      </w:r>
      <w:r w:rsidR="00057069" w:rsidRPr="00104DDD">
        <w:t>influence</w:t>
      </w:r>
      <w:r w:rsidR="00FD47EA">
        <w:t>d</w:t>
      </w:r>
      <w:r w:rsidR="00057069" w:rsidRPr="00104DDD">
        <w:t xml:space="preserve"> living standards in </w:t>
      </w:r>
      <w:r w:rsidR="00FD47EA">
        <w:t xml:space="preserve">both </w:t>
      </w:r>
      <w:r w:rsidR="00057069" w:rsidRPr="00104DDD">
        <w:t xml:space="preserve">the short </w:t>
      </w:r>
      <w:r w:rsidR="00264A76">
        <w:t xml:space="preserve">and long </w:t>
      </w:r>
      <w:r w:rsidR="00FD47EA">
        <w:t>term</w:t>
      </w:r>
      <w:r w:rsidR="00057069" w:rsidRPr="00104DDD">
        <w:t xml:space="preserve">. </w:t>
      </w:r>
    </w:p>
    <w:p w14:paraId="1B89EB5F" w14:textId="7A4BDC1B" w:rsidR="007632F4" w:rsidRPr="00104DDD" w:rsidRDefault="00FD47EA" w:rsidP="00104DDD">
      <w:pPr>
        <w:pStyle w:val="VCAAbody"/>
      </w:pPr>
      <w:r>
        <w:t>In</w:t>
      </w:r>
      <w:r w:rsidRPr="00104DDD">
        <w:t xml:space="preserve"> </w:t>
      </w:r>
      <w:r w:rsidR="00057069" w:rsidRPr="00104DDD">
        <w:t xml:space="preserve">focusing on efficiency, students </w:t>
      </w:r>
      <w:r>
        <w:t>could</w:t>
      </w:r>
      <w:r w:rsidR="00057069" w:rsidRPr="00104DDD">
        <w:t xml:space="preserve"> </w:t>
      </w:r>
      <w:r w:rsidR="00A65D05" w:rsidRPr="00104DDD">
        <w:t xml:space="preserve">explain </w:t>
      </w:r>
      <w:r w:rsidR="00057069" w:rsidRPr="00104DDD">
        <w:t>the way resources were reallocated from one area to another</w:t>
      </w:r>
      <w:r w:rsidR="00A65D05" w:rsidRPr="00104DDD">
        <w:t xml:space="preserve"> once tariffs are steadily removed over time</w:t>
      </w:r>
      <w:r w:rsidR="00057069" w:rsidRPr="00104DDD">
        <w:t xml:space="preserve">, and/or focus on the impact </w:t>
      </w:r>
      <w:r w:rsidR="00A65D05" w:rsidRPr="00104DDD">
        <w:t xml:space="preserve">that </w:t>
      </w:r>
      <w:r w:rsidR="00057069" w:rsidRPr="00104DDD">
        <w:t xml:space="preserve">tariff reductions </w:t>
      </w:r>
      <w:r w:rsidR="00A65D05" w:rsidRPr="00104DDD">
        <w:t>have</w:t>
      </w:r>
      <w:r w:rsidR="00057069" w:rsidRPr="00104DDD">
        <w:t xml:space="preserve"> on </w:t>
      </w:r>
      <w:r w:rsidR="00A65D05" w:rsidRPr="00104DDD">
        <w:t>‘</w:t>
      </w:r>
      <w:r w:rsidR="00057069" w:rsidRPr="00104DDD">
        <w:t xml:space="preserve">efficiency in the allocation of </w:t>
      </w:r>
      <w:proofErr w:type="gramStart"/>
      <w:r w:rsidR="00057069" w:rsidRPr="00104DDD">
        <w:t>resources</w:t>
      </w:r>
      <w:r w:rsidR="00A65D05" w:rsidRPr="00104DDD">
        <w:t>’</w:t>
      </w:r>
      <w:proofErr w:type="gramEnd"/>
      <w:r w:rsidR="00A65D05" w:rsidRPr="00104DDD">
        <w:t>.</w:t>
      </w:r>
      <w:r w:rsidR="00F87ED6">
        <w:t xml:space="preserve"> </w:t>
      </w:r>
      <w:r w:rsidR="00A65D05" w:rsidRPr="00104DDD">
        <w:t xml:space="preserve">For example, students </w:t>
      </w:r>
      <w:r>
        <w:t>could have potentially earned</w:t>
      </w:r>
      <w:r w:rsidR="00A65D05" w:rsidRPr="00104DDD">
        <w:t xml:space="preserve"> full marks </w:t>
      </w:r>
      <w:r>
        <w:t>through an explanation of</w:t>
      </w:r>
      <w:r w:rsidR="00A65D05" w:rsidRPr="00104DDD">
        <w:t xml:space="preserve"> how tariff reductions </w:t>
      </w:r>
      <w:r w:rsidR="001D6FF6" w:rsidRPr="00104DDD">
        <w:t xml:space="preserve">result in </w:t>
      </w:r>
      <w:r>
        <w:t>more efficient</w:t>
      </w:r>
      <w:r w:rsidRPr="00104DDD">
        <w:t xml:space="preserve"> </w:t>
      </w:r>
      <w:r w:rsidR="001D6FF6" w:rsidRPr="00104DDD">
        <w:t xml:space="preserve">allocation of the nation’s </w:t>
      </w:r>
      <w:r w:rsidR="00057069" w:rsidRPr="00104DDD">
        <w:t>resources in a technical and/or allocative sense</w:t>
      </w:r>
      <w:r w:rsidR="001D6FF6" w:rsidRPr="00104DDD">
        <w:t>, with resources flowing to those areas where Australia has a competitive/comparative advantage (such as tourism, education and mining).</w:t>
      </w:r>
      <w:r w:rsidR="00057069" w:rsidRPr="00104DDD">
        <w:t xml:space="preserve"> </w:t>
      </w:r>
    </w:p>
    <w:p w14:paraId="5C0ACF72" w14:textId="34F3EBBE" w:rsidR="00057069" w:rsidRPr="00104DDD" w:rsidRDefault="00057069" w:rsidP="00104DDD">
      <w:pPr>
        <w:pStyle w:val="VCAAbody"/>
      </w:pPr>
      <w:r w:rsidRPr="00104DDD">
        <w:t xml:space="preserve">While there were many excellent responses, with students examining the </w:t>
      </w:r>
      <w:r w:rsidR="000B0E83" w:rsidRPr="00104DDD">
        <w:t>short- and long-term</w:t>
      </w:r>
      <w:r w:rsidRPr="00104DDD">
        <w:t xml:space="preserve"> effects on resource allocation and living standards, many students simply focused on the fall in the price of motor vehicles and link</w:t>
      </w:r>
      <w:r w:rsidR="00773EA4">
        <w:t>ed</w:t>
      </w:r>
      <w:r w:rsidRPr="00104DDD">
        <w:t xml:space="preserve"> this </w:t>
      </w:r>
      <w:r w:rsidR="001D6FF6" w:rsidRPr="00104DDD">
        <w:t xml:space="preserve">directly </w:t>
      </w:r>
      <w:r w:rsidRPr="00104DDD">
        <w:t>to growth in living standards (e.g. due to cheaper vehicles).</w:t>
      </w:r>
      <w:r w:rsidR="00F87ED6">
        <w:t xml:space="preserve"> </w:t>
      </w:r>
      <w:r w:rsidR="00945833">
        <w:t>T</w:t>
      </w:r>
      <w:r w:rsidR="00FD47EA">
        <w:t>hese students</w:t>
      </w:r>
      <w:r w:rsidR="00FD47EA" w:rsidRPr="00104DDD">
        <w:t xml:space="preserve"> </w:t>
      </w:r>
      <w:r w:rsidR="00FD47EA">
        <w:t>did not</w:t>
      </w:r>
      <w:r w:rsidRPr="00104DDD">
        <w:t xml:space="preserve"> explain how living standards may have improved </w:t>
      </w:r>
      <w:proofErr w:type="gramStart"/>
      <w:r w:rsidRPr="00104DDD">
        <w:t>as a consequence of</w:t>
      </w:r>
      <w:proofErr w:type="gramEnd"/>
      <w:r w:rsidRPr="00104DDD">
        <w:t xml:space="preserve"> a more efficient and internationally competitive economy, where resources are reallocated to those areas where Australia has a comparative advantage.</w:t>
      </w:r>
    </w:p>
    <w:p w14:paraId="68EA5656" w14:textId="0CA799BD" w:rsidR="00057069" w:rsidRPr="00104DDD" w:rsidRDefault="00057069" w:rsidP="00104DDD">
      <w:pPr>
        <w:pStyle w:val="VCAAbody"/>
      </w:pPr>
      <w:r w:rsidRPr="00104DDD">
        <w:t>Some students approach</w:t>
      </w:r>
      <w:r w:rsidR="00264A76">
        <w:t>ed</w:t>
      </w:r>
      <w:r w:rsidRPr="00104DDD">
        <w:t xml:space="preserve"> the question from a purely theoretical point of view</w:t>
      </w:r>
      <w:r w:rsidR="00FD47EA">
        <w:t xml:space="preserve"> and</w:t>
      </w:r>
      <w:r w:rsidRPr="00104DDD">
        <w:t xml:space="preserve"> explained how trade </w:t>
      </w:r>
      <w:proofErr w:type="spellStart"/>
      <w:r w:rsidRPr="00104DDD">
        <w:t>liberalisation</w:t>
      </w:r>
      <w:proofErr w:type="spellEnd"/>
      <w:r w:rsidRPr="00104DDD">
        <w:t>, and/or tariff reductions, leads to a reallocation of the nation’s resources, the achievement of allocative efficiency and an improvement in living standards in the long run.</w:t>
      </w:r>
      <w:r w:rsidR="00F87ED6">
        <w:t xml:space="preserve"> </w:t>
      </w:r>
      <w:r w:rsidR="000B0E83">
        <w:t>However</w:t>
      </w:r>
      <w:r w:rsidR="00773EA4">
        <w:t>,</w:t>
      </w:r>
      <w:r w:rsidR="000B0E83">
        <w:t xml:space="preserve"> they </w:t>
      </w:r>
      <w:r w:rsidR="00FD47EA">
        <w:t>did not</w:t>
      </w:r>
      <w:r w:rsidRPr="00104DDD">
        <w:t xml:space="preserve"> attempt to tailor the response </w:t>
      </w:r>
      <w:r w:rsidR="00FD47EA">
        <w:t>and address the specific question being asked</w:t>
      </w:r>
      <w:r w:rsidR="00990708">
        <w:t>, w</w:t>
      </w:r>
      <w:r w:rsidR="00FD47EA">
        <w:t xml:space="preserve">hich </w:t>
      </w:r>
      <w:r w:rsidRPr="00104DDD">
        <w:t>clearly referred to the (passenger) motor vehicle industry and the declining tariffs since 1990.</w:t>
      </w:r>
    </w:p>
    <w:p w14:paraId="65D12346" w14:textId="5AE29EC1" w:rsidR="00D546D4" w:rsidRPr="00104DDD" w:rsidRDefault="002737EF" w:rsidP="00104DDD">
      <w:pPr>
        <w:pStyle w:val="VCAAbody"/>
      </w:pPr>
      <w:r w:rsidRPr="00104DDD">
        <w:t>With respect to the impact on living standards, high</w:t>
      </w:r>
      <w:r w:rsidR="00264A76">
        <w:t>-</w:t>
      </w:r>
      <w:r w:rsidRPr="00104DDD">
        <w:t xml:space="preserve">scoring responses </w:t>
      </w:r>
      <w:r w:rsidR="00FD47EA">
        <w:t>usually</w:t>
      </w:r>
      <w:r w:rsidR="00FD47EA" w:rsidRPr="00104DDD">
        <w:t xml:space="preserve"> </w:t>
      </w:r>
      <w:r w:rsidR="00D546D4" w:rsidRPr="00104DDD">
        <w:t xml:space="preserve">focused on the transitional adjustment costs </w:t>
      </w:r>
      <w:r w:rsidRPr="00104DDD">
        <w:t>associated with</w:t>
      </w:r>
      <w:r w:rsidR="00D546D4" w:rsidRPr="00104DDD">
        <w:t xml:space="preserve"> trade </w:t>
      </w:r>
      <w:proofErr w:type="spellStart"/>
      <w:r w:rsidR="00D546D4" w:rsidRPr="00104DDD">
        <w:t>liberalisation</w:t>
      </w:r>
      <w:proofErr w:type="spellEnd"/>
      <w:r w:rsidR="00264A76">
        <w:t>,</w:t>
      </w:r>
      <w:r w:rsidR="00D546D4" w:rsidRPr="00104DDD">
        <w:t xml:space="preserve"> such as increased structural unemployment in the short-term to medium-term, and </w:t>
      </w:r>
      <w:r w:rsidRPr="00104DDD">
        <w:t>its link</w:t>
      </w:r>
      <w:r w:rsidR="00D546D4" w:rsidRPr="00104DDD">
        <w:t xml:space="preserve"> to lower material and non-material living standards. For example, </w:t>
      </w:r>
      <w:r w:rsidR="009F0D7D">
        <w:t>arguing</w:t>
      </w:r>
      <w:r w:rsidR="00D546D4" w:rsidRPr="00104DDD">
        <w:t xml:space="preserve"> that an increase in structural unemployment results in more people moving from relatively high factor incomes (wages/s</w:t>
      </w:r>
      <w:r w:rsidRPr="00104DDD">
        <w:t>a</w:t>
      </w:r>
      <w:r w:rsidR="00D546D4" w:rsidRPr="00104DDD">
        <w:t>laries) to lower transfer in</w:t>
      </w:r>
      <w:r w:rsidR="0031759E">
        <w:t>c</w:t>
      </w:r>
      <w:r w:rsidR="00D546D4" w:rsidRPr="00104DDD">
        <w:t>omes (Centrelink benefi</w:t>
      </w:r>
      <w:r w:rsidRPr="00104DDD">
        <w:t>t</w:t>
      </w:r>
      <w:r w:rsidR="00D546D4" w:rsidRPr="00104DDD">
        <w:t>s/</w:t>
      </w:r>
      <w:proofErr w:type="spellStart"/>
      <w:r w:rsidR="00D546D4" w:rsidRPr="00104DDD">
        <w:t>JobSeeker</w:t>
      </w:r>
      <w:proofErr w:type="spellEnd"/>
      <w:r w:rsidR="00D546D4" w:rsidRPr="00104DDD">
        <w:t xml:space="preserve"> payments)</w:t>
      </w:r>
      <w:r w:rsidR="00264A76">
        <w:t>,</w:t>
      </w:r>
      <w:r w:rsidR="00D546D4" w:rsidRPr="00104DDD">
        <w:t xml:space="preserve"> resulting in reduced access to goods and services</w:t>
      </w:r>
      <w:r w:rsidR="009D1801" w:rsidRPr="00104DDD">
        <w:t xml:space="preserve"> as well as the mental health issues related to unemployment (e.g.</w:t>
      </w:r>
      <w:r w:rsidR="00F87ED6">
        <w:t xml:space="preserve"> </w:t>
      </w:r>
      <w:r w:rsidR="00D546D4" w:rsidRPr="00104DDD">
        <w:t>depression and stress</w:t>
      </w:r>
      <w:r w:rsidR="009D1801" w:rsidRPr="00104DDD">
        <w:t>).</w:t>
      </w:r>
    </w:p>
    <w:p w14:paraId="2EF24209" w14:textId="77777777" w:rsidR="00057069" w:rsidRPr="00104DDD" w:rsidRDefault="00057069" w:rsidP="00104DDD">
      <w:pPr>
        <w:pStyle w:val="VCAAbody"/>
      </w:pPr>
      <w:r w:rsidRPr="00104DDD">
        <w:t xml:space="preserve">The following is an example of a high-scoring response. </w:t>
      </w:r>
    </w:p>
    <w:p w14:paraId="55649130" w14:textId="5BBB8937" w:rsidR="009D1801" w:rsidRDefault="009D1801" w:rsidP="00D93BFA">
      <w:pPr>
        <w:pStyle w:val="VCAAstudentresponse"/>
      </w:pPr>
      <w:r w:rsidRPr="009D1801">
        <w:t xml:space="preserve">The reduction in tariffs evident, with the fall from 40% in 1990, to 5% by 2023, is part of trade liberalisation, as the reduction in tariffs (taxes on imports) ultimately reduces barriers to free trade between countries, in this case for passenger motor vehicles. Indeed, this reduction in tariffs would have exposed the local passenger motor vehicle producers to greater overseas competition. However, the local inefficient firms would have been forced to downsize or </w:t>
      </w:r>
      <w:proofErr w:type="gramStart"/>
      <w:r w:rsidRPr="009D1801">
        <w:t>close down</w:t>
      </w:r>
      <w:proofErr w:type="gramEnd"/>
      <w:r w:rsidRPr="009D1801">
        <w:t xml:space="preserve">, as they lose market share to the more efficient overseas motor vehicle producers who could offer lower prices. This led to the local firms making more workers redundant. Nevertheless, these unemployed resources would then have been re-deployed to areas where Australia has a comparative cost advantage, whereby efficient (domestic) firms were then able to prosper, such as those in agriculture or mining. This re-allocation of resources from the inefficient local motor vehicle industry to the more efficient sectors of the economy would maximise allocative efficiency, as more efficient firms who were responding to the needs of consumers could produce more, maximising the satisfaction of the needs/wants of society. With the greater number of resources allocated to efficient industries allowing goods/services to be maximised in their production, thereby satisfying the most needs/wants, maximising living standards. Additionally, the reduced tariffs enabling cheaper imported passenger motor vehicles to cater the country increased consumers ‘purchasing power’, improving material living standards. Ultimately, by promoting specialisation, Australia’s expanded most efficient firms </w:t>
      </w:r>
      <w:proofErr w:type="gramStart"/>
      <w:r w:rsidRPr="009D1801">
        <w:t>are able to</w:t>
      </w:r>
      <w:proofErr w:type="gramEnd"/>
      <w:r w:rsidRPr="009D1801">
        <w:t xml:space="preserve"> increase their operations and thus would generate even greater output, which requires more labour resources, reducing in unemployment and thus reducing social unrest, homelessness, crime rates, and improving non-material living standards. </w:t>
      </w:r>
    </w:p>
    <w:p w14:paraId="08548149" w14:textId="77777777" w:rsidR="00FC7491" w:rsidRPr="00727C94" w:rsidRDefault="00FC7491" w:rsidP="00727C94">
      <w:pPr>
        <w:pStyle w:val="VCAAbody"/>
      </w:pPr>
      <w:r>
        <w:br w:type="page"/>
      </w:r>
    </w:p>
    <w:p w14:paraId="4B03C49F" w14:textId="1B18251D" w:rsidR="00963008" w:rsidRPr="003C0A2F" w:rsidRDefault="00963008" w:rsidP="009914F6">
      <w:pPr>
        <w:pStyle w:val="VCAAHeading3"/>
      </w:pPr>
      <w:r w:rsidRPr="003C0A2F">
        <w:lastRenderedPageBreak/>
        <w:t xml:space="preserve">Question </w:t>
      </w:r>
      <w:r>
        <w:t>2b</w:t>
      </w:r>
      <w:r w:rsidRPr="003C0A2F">
        <w:t>.</w:t>
      </w:r>
    </w:p>
    <w:tbl>
      <w:tblPr>
        <w:tblStyle w:val="VCAATableClosed"/>
        <w:tblW w:w="1794" w:type="pct"/>
        <w:tblInd w:w="142" w:type="dxa"/>
        <w:tblLook w:val="04A0" w:firstRow="1" w:lastRow="0" w:firstColumn="1" w:lastColumn="0" w:noHBand="0" w:noVBand="1"/>
      </w:tblPr>
      <w:tblGrid>
        <w:gridCol w:w="736"/>
        <w:gridCol w:w="590"/>
        <w:gridCol w:w="590"/>
        <w:gridCol w:w="590"/>
        <w:gridCol w:w="1030"/>
      </w:tblGrid>
      <w:tr w:rsidR="00963008" w:rsidRPr="003C0A2F" w14:paraId="0132405B" w14:textId="77777777" w:rsidTr="0052782F">
        <w:trPr>
          <w:cnfStyle w:val="100000000000" w:firstRow="1" w:lastRow="0" w:firstColumn="0" w:lastColumn="0" w:oddVBand="0" w:evenVBand="0" w:oddHBand="0" w:evenHBand="0" w:firstRowFirstColumn="0" w:firstRowLastColumn="0" w:lastRowFirstColumn="0" w:lastRowLastColumn="0"/>
        </w:trPr>
        <w:tc>
          <w:tcPr>
            <w:tcW w:w="1041" w:type="pct"/>
          </w:tcPr>
          <w:p w14:paraId="6A9AD35D" w14:textId="77777777" w:rsidR="00963008" w:rsidRPr="003C0A2F" w:rsidRDefault="00963008" w:rsidP="00AE7682">
            <w:pPr>
              <w:pStyle w:val="VCAAtablecondensedheading"/>
              <w:rPr>
                <w:lang w:val="en-AU"/>
              </w:rPr>
            </w:pPr>
            <w:r w:rsidRPr="003C0A2F">
              <w:rPr>
                <w:lang w:val="en-AU"/>
              </w:rPr>
              <w:t>Marks</w:t>
            </w:r>
          </w:p>
        </w:tc>
        <w:tc>
          <w:tcPr>
            <w:tcW w:w="834" w:type="pct"/>
          </w:tcPr>
          <w:p w14:paraId="50AB7B30" w14:textId="77777777" w:rsidR="00963008" w:rsidRPr="003C0A2F" w:rsidRDefault="00963008" w:rsidP="00AE7682">
            <w:pPr>
              <w:pStyle w:val="VCAAtablecondensedheading"/>
              <w:rPr>
                <w:lang w:val="en-AU"/>
              </w:rPr>
            </w:pPr>
            <w:r w:rsidRPr="003C0A2F">
              <w:rPr>
                <w:lang w:val="en-AU"/>
              </w:rPr>
              <w:t>0</w:t>
            </w:r>
          </w:p>
        </w:tc>
        <w:tc>
          <w:tcPr>
            <w:tcW w:w="834" w:type="pct"/>
          </w:tcPr>
          <w:p w14:paraId="5DA1C98F" w14:textId="77777777" w:rsidR="00963008" w:rsidRPr="003C0A2F" w:rsidRDefault="00963008" w:rsidP="00AE7682">
            <w:pPr>
              <w:pStyle w:val="VCAAtablecondensedheading"/>
              <w:rPr>
                <w:lang w:val="en-AU"/>
              </w:rPr>
            </w:pPr>
            <w:r w:rsidRPr="003C0A2F">
              <w:rPr>
                <w:lang w:val="en-AU"/>
              </w:rPr>
              <w:t>1</w:t>
            </w:r>
          </w:p>
        </w:tc>
        <w:tc>
          <w:tcPr>
            <w:tcW w:w="834" w:type="pct"/>
          </w:tcPr>
          <w:p w14:paraId="22BE6D16" w14:textId="77777777" w:rsidR="00963008" w:rsidRPr="003C0A2F" w:rsidRDefault="00963008" w:rsidP="00AE7682">
            <w:pPr>
              <w:pStyle w:val="VCAAtablecondensedheading"/>
              <w:rPr>
                <w:lang w:val="en-AU"/>
              </w:rPr>
            </w:pPr>
            <w:r w:rsidRPr="003C0A2F">
              <w:rPr>
                <w:lang w:val="en-AU"/>
              </w:rPr>
              <w:t>2</w:t>
            </w:r>
          </w:p>
        </w:tc>
        <w:tc>
          <w:tcPr>
            <w:tcW w:w="1456" w:type="pct"/>
          </w:tcPr>
          <w:p w14:paraId="7E6B9B50" w14:textId="77777777" w:rsidR="00963008" w:rsidRPr="003C0A2F" w:rsidRDefault="00963008" w:rsidP="00AE7682">
            <w:pPr>
              <w:pStyle w:val="VCAAtablecondensedheading"/>
              <w:rPr>
                <w:lang w:val="en-AU"/>
              </w:rPr>
            </w:pPr>
            <w:r w:rsidRPr="003C0A2F">
              <w:rPr>
                <w:lang w:val="en-AU"/>
              </w:rPr>
              <w:t>Average</w:t>
            </w:r>
          </w:p>
        </w:tc>
      </w:tr>
      <w:tr w:rsidR="00FC7491" w:rsidRPr="003C0A2F" w14:paraId="010CA18F" w14:textId="77777777" w:rsidTr="0052782F">
        <w:tc>
          <w:tcPr>
            <w:tcW w:w="1041" w:type="pct"/>
          </w:tcPr>
          <w:p w14:paraId="7FDB92EF" w14:textId="77777777" w:rsidR="00FC7491" w:rsidRPr="003C0A2F" w:rsidRDefault="00FC7491" w:rsidP="00FC7491">
            <w:pPr>
              <w:pStyle w:val="VCAAtablecondensed"/>
              <w:rPr>
                <w:lang w:val="en-AU"/>
              </w:rPr>
            </w:pPr>
            <w:r w:rsidRPr="003C0A2F">
              <w:rPr>
                <w:lang w:val="en-AU"/>
              </w:rPr>
              <w:t>%</w:t>
            </w:r>
          </w:p>
        </w:tc>
        <w:tc>
          <w:tcPr>
            <w:tcW w:w="834" w:type="pct"/>
          </w:tcPr>
          <w:p w14:paraId="25A0DDA7" w14:textId="154AB2CF" w:rsidR="00FC7491" w:rsidRPr="003C0A2F" w:rsidRDefault="00DC2149" w:rsidP="00FC7491">
            <w:pPr>
              <w:pStyle w:val="VCAAtablecondensed"/>
              <w:rPr>
                <w:lang w:val="en-AU"/>
              </w:rPr>
            </w:pPr>
            <w:r>
              <w:t>30</w:t>
            </w:r>
          </w:p>
        </w:tc>
        <w:tc>
          <w:tcPr>
            <w:tcW w:w="834" w:type="pct"/>
          </w:tcPr>
          <w:p w14:paraId="2764143B" w14:textId="6DBA775A" w:rsidR="00FC7491" w:rsidRPr="003C0A2F" w:rsidRDefault="00FC7491" w:rsidP="00FC7491">
            <w:pPr>
              <w:pStyle w:val="VCAAtablecondensed"/>
              <w:rPr>
                <w:lang w:val="en-AU"/>
              </w:rPr>
            </w:pPr>
            <w:r w:rsidRPr="00761CD0">
              <w:t>29</w:t>
            </w:r>
          </w:p>
        </w:tc>
        <w:tc>
          <w:tcPr>
            <w:tcW w:w="834" w:type="pct"/>
          </w:tcPr>
          <w:p w14:paraId="4568D6A0" w14:textId="2581B4D4" w:rsidR="00FC7491" w:rsidRPr="003C0A2F" w:rsidRDefault="00FC7491" w:rsidP="00FC7491">
            <w:pPr>
              <w:pStyle w:val="VCAAtablecondensed"/>
              <w:rPr>
                <w:lang w:val="en-AU"/>
              </w:rPr>
            </w:pPr>
            <w:r w:rsidRPr="00761CD0">
              <w:t>41</w:t>
            </w:r>
          </w:p>
        </w:tc>
        <w:tc>
          <w:tcPr>
            <w:tcW w:w="1456" w:type="pct"/>
          </w:tcPr>
          <w:p w14:paraId="61FEA4FE" w14:textId="6FDF2784" w:rsidR="00FC7491" w:rsidRPr="003C0A2F" w:rsidRDefault="00FC7491" w:rsidP="00FC7491">
            <w:pPr>
              <w:pStyle w:val="VCAAtablecondensed"/>
              <w:rPr>
                <w:lang w:val="en-AU"/>
              </w:rPr>
            </w:pPr>
            <w:r w:rsidRPr="00761CD0">
              <w:t>1.1</w:t>
            </w:r>
          </w:p>
        </w:tc>
      </w:tr>
    </w:tbl>
    <w:p w14:paraId="74D11537" w14:textId="5B4C2385" w:rsidR="00866632" w:rsidRPr="00104DDD" w:rsidRDefault="001D6FF6" w:rsidP="00104DDD">
      <w:pPr>
        <w:pStyle w:val="VCAAbody"/>
      </w:pPr>
      <w:r w:rsidRPr="00104DDD">
        <w:t xml:space="preserve">To achieve full marks, students </w:t>
      </w:r>
      <w:r w:rsidR="00FD47EA">
        <w:t>were required</w:t>
      </w:r>
      <w:r w:rsidR="00FD47EA" w:rsidRPr="00104DDD">
        <w:t xml:space="preserve"> </w:t>
      </w:r>
      <w:r w:rsidRPr="00104DDD">
        <w:t xml:space="preserve">to outline a relevant factor </w:t>
      </w:r>
      <w:r w:rsidR="00FD47EA">
        <w:t xml:space="preserve">accounting for the downward trend in the </w:t>
      </w:r>
      <w:r w:rsidR="00750207">
        <w:t>Australian dollar (AUD)</w:t>
      </w:r>
      <w:r w:rsidR="00FD47EA">
        <w:t xml:space="preserve"> </w:t>
      </w:r>
      <w:r w:rsidRPr="00104DDD">
        <w:t xml:space="preserve">and then link </w:t>
      </w:r>
      <w:r w:rsidR="00FD47EA">
        <w:t xml:space="preserve">this </w:t>
      </w:r>
      <w:r w:rsidRPr="00104DDD">
        <w:t>factor to the movement in the exchange rate.</w:t>
      </w:r>
      <w:r w:rsidR="00F87ED6">
        <w:t xml:space="preserve"> </w:t>
      </w:r>
      <w:r w:rsidR="00FD47EA">
        <w:t xml:space="preserve">A clear statement linking the </w:t>
      </w:r>
      <w:r w:rsidR="00866632" w:rsidRPr="00104DDD">
        <w:t xml:space="preserve">factor </w:t>
      </w:r>
      <w:r w:rsidR="00FD47EA">
        <w:t xml:space="preserve">to its effect on </w:t>
      </w:r>
      <w:r w:rsidR="00866632" w:rsidRPr="00104DDD">
        <w:t>demand and/or supply of the AUD in the foreign exchange (FOREX) market, and the resultant depreciation in the AUD</w:t>
      </w:r>
      <w:r w:rsidR="00990708">
        <w:t>,</w:t>
      </w:r>
      <w:r w:rsidR="00464F1E">
        <w:t xml:space="preserve"> was required</w:t>
      </w:r>
      <w:r w:rsidR="00866632" w:rsidRPr="00104DDD">
        <w:t>.</w:t>
      </w:r>
    </w:p>
    <w:p w14:paraId="201C17DE" w14:textId="42F1449B" w:rsidR="001D6FF6" w:rsidRPr="00104DDD" w:rsidRDefault="001D6FF6" w:rsidP="00104DDD">
      <w:pPr>
        <w:pStyle w:val="VCAAbody"/>
      </w:pPr>
      <w:r w:rsidRPr="00104DDD">
        <w:t xml:space="preserve">It was expected that students would refer to the factors </w:t>
      </w:r>
      <w:r w:rsidR="00464F1E">
        <w:t>that could have potentially</w:t>
      </w:r>
      <w:r w:rsidRPr="00104DDD">
        <w:t xml:space="preserve"> contributed to the decline in the exchange rate since 2022</w:t>
      </w:r>
      <w:r w:rsidR="00464F1E">
        <w:t>. Most</w:t>
      </w:r>
      <w:r w:rsidR="00FA0040" w:rsidRPr="00104DDD">
        <w:t xml:space="preserve"> students accurately outlined one of </w:t>
      </w:r>
      <w:r w:rsidR="00464F1E">
        <w:t>the following</w:t>
      </w:r>
      <w:r w:rsidR="00464F1E" w:rsidRPr="00104DDD">
        <w:t xml:space="preserve"> </w:t>
      </w:r>
      <w:r w:rsidR="00FA0040" w:rsidRPr="00104DDD">
        <w:t>factors:</w:t>
      </w:r>
    </w:p>
    <w:p w14:paraId="1F83E862" w14:textId="75EE4A9E" w:rsidR="001D6FF6" w:rsidRPr="00727C94" w:rsidRDefault="00AE6F2B" w:rsidP="00D75026">
      <w:pPr>
        <w:pStyle w:val="VCAAbullet"/>
      </w:pPr>
      <w:r>
        <w:t>r</w:t>
      </w:r>
      <w:r w:rsidR="001D6FF6" w:rsidRPr="00727C94">
        <w:t>elatively lower interest rates in Australia (e.g. the slower rate of increase in the cash rate compared to the U</w:t>
      </w:r>
      <w:r w:rsidR="00750207">
        <w:t xml:space="preserve">nited </w:t>
      </w:r>
      <w:r w:rsidR="001D6FF6" w:rsidRPr="00727C94">
        <w:t>S</w:t>
      </w:r>
      <w:r w:rsidR="00750207">
        <w:t>tates</w:t>
      </w:r>
      <w:r w:rsidR="001D6FF6" w:rsidRPr="00727C94">
        <w:t xml:space="preserve"> fed</w:t>
      </w:r>
      <w:r w:rsidR="00750207">
        <w:t>eral</w:t>
      </w:r>
      <w:r w:rsidR="001D6FF6" w:rsidRPr="00727C94">
        <w:t xml:space="preserve"> funds rate)</w:t>
      </w:r>
    </w:p>
    <w:p w14:paraId="2276BB90" w14:textId="0F41E84B" w:rsidR="001D6FF6" w:rsidRPr="00727C94" w:rsidRDefault="00AE6F2B" w:rsidP="00D75026">
      <w:pPr>
        <w:pStyle w:val="VCAAbullet"/>
      </w:pPr>
      <w:r>
        <w:t>t</w:t>
      </w:r>
      <w:r w:rsidR="001D6FF6" w:rsidRPr="00727C94">
        <w:t>he decline in commodity prices/terms of trade over 2023</w:t>
      </w:r>
    </w:p>
    <w:p w14:paraId="4DBDA386" w14:textId="60AA7FAC" w:rsidR="001D6FF6" w:rsidRPr="00727C94" w:rsidRDefault="00AE6F2B" w:rsidP="00D75026">
      <w:pPr>
        <w:pStyle w:val="VCAAbullet"/>
      </w:pPr>
      <w:r>
        <w:t>s</w:t>
      </w:r>
      <w:r w:rsidR="001D6FF6" w:rsidRPr="00727C94">
        <w:t xml:space="preserve">peculation that the value of the AUD would decline relative to the </w:t>
      </w:r>
      <w:r w:rsidR="00750207">
        <w:t>United States Dollar (</w:t>
      </w:r>
      <w:r w:rsidR="001D6FF6" w:rsidRPr="00727C94">
        <w:t>USD</w:t>
      </w:r>
      <w:r w:rsidR="00750207">
        <w:t>)</w:t>
      </w:r>
      <w:r w:rsidR="001D6FF6" w:rsidRPr="00727C94">
        <w:t xml:space="preserve"> (e.g. global insecurity and the drive towards the USD)</w:t>
      </w:r>
    </w:p>
    <w:p w14:paraId="7EC952F2" w14:textId="32312CD7" w:rsidR="001D6FF6" w:rsidRPr="00727C94" w:rsidRDefault="00AE6F2B" w:rsidP="00D75026">
      <w:pPr>
        <w:pStyle w:val="VCAAbullet"/>
      </w:pPr>
      <w:r>
        <w:t>a</w:t>
      </w:r>
      <w:r w:rsidR="001D6FF6" w:rsidRPr="00727C94">
        <w:t xml:space="preserve"> relatively higher rate of inflation in Australia (compared to the U</w:t>
      </w:r>
      <w:r w:rsidR="00750207">
        <w:t xml:space="preserve">nited </w:t>
      </w:r>
      <w:r w:rsidR="001D6FF6" w:rsidRPr="00727C94">
        <w:t>S</w:t>
      </w:r>
      <w:r w:rsidR="00750207">
        <w:t xml:space="preserve">tates of </w:t>
      </w:r>
      <w:r w:rsidR="001D6FF6" w:rsidRPr="00727C94">
        <w:t>A</w:t>
      </w:r>
      <w:r w:rsidR="00750207">
        <w:t>merica (USA)</w:t>
      </w:r>
      <w:r w:rsidR="001D6FF6" w:rsidRPr="00727C94">
        <w:t xml:space="preserve"> and Japan for example)</w:t>
      </w:r>
      <w:r>
        <w:t>.</w:t>
      </w:r>
      <w:r w:rsidR="001D6FF6" w:rsidRPr="00727C94">
        <w:tab/>
      </w:r>
    </w:p>
    <w:p w14:paraId="6AF3D4E8" w14:textId="14C1A69A" w:rsidR="001D6FF6" w:rsidRPr="00104DDD" w:rsidRDefault="00464F1E" w:rsidP="00104DDD">
      <w:pPr>
        <w:pStyle w:val="VCAAbody"/>
      </w:pPr>
      <w:r>
        <w:t>Regarding</w:t>
      </w:r>
      <w:r w:rsidR="00FA0040" w:rsidRPr="00104DDD">
        <w:t xml:space="preserve"> the role played by relative interest rate changes, m</w:t>
      </w:r>
      <w:r w:rsidR="001D6FF6" w:rsidRPr="00104DDD">
        <w:t xml:space="preserve">any students </w:t>
      </w:r>
      <w:r>
        <w:t>accurately identified</w:t>
      </w:r>
      <w:r w:rsidR="001D6FF6" w:rsidRPr="00104DDD">
        <w:t xml:space="preserve"> lower ‘relative’ interest rates in Australia as a factor</w:t>
      </w:r>
      <w:r w:rsidR="00D173F5" w:rsidRPr="00104DDD">
        <w:t>.</w:t>
      </w:r>
      <w:r w:rsidR="00F87ED6">
        <w:t xml:space="preserve"> </w:t>
      </w:r>
      <w:r w:rsidR="00D173F5" w:rsidRPr="00104DDD">
        <w:t xml:space="preserve">However, </w:t>
      </w:r>
      <w:r w:rsidR="00990708">
        <w:t xml:space="preserve">they </w:t>
      </w:r>
      <w:r w:rsidR="00AE6F2B">
        <w:t xml:space="preserve">often </w:t>
      </w:r>
      <w:r w:rsidR="00D173F5" w:rsidRPr="00104DDD">
        <w:t xml:space="preserve">struggled to outline how </w:t>
      </w:r>
      <w:r>
        <w:t xml:space="preserve">this </w:t>
      </w:r>
      <w:r w:rsidR="00D173F5" w:rsidRPr="00104DDD">
        <w:t xml:space="preserve">leads to a lower AUD. For example, many students </w:t>
      </w:r>
      <w:r w:rsidR="001D6FF6" w:rsidRPr="00104DDD">
        <w:t>incorrectly referred to an increase in (foreign) investment</w:t>
      </w:r>
      <w:r w:rsidR="00D173F5" w:rsidRPr="00104DDD">
        <w:t>,</w:t>
      </w:r>
      <w:r w:rsidR="001D6FF6" w:rsidRPr="00104DDD">
        <w:t xml:space="preserve"> or rise in capital inflow</w:t>
      </w:r>
      <w:r w:rsidR="00D173F5" w:rsidRPr="00104DDD">
        <w:t>, that might flow from lower relative interest rates.</w:t>
      </w:r>
      <w:r w:rsidR="00F87ED6">
        <w:t xml:space="preserve"> </w:t>
      </w:r>
      <w:r w:rsidR="00990708">
        <w:t xml:space="preserve">This suggests </w:t>
      </w:r>
      <w:r>
        <w:t>that these students confused</w:t>
      </w:r>
      <w:r w:rsidR="00D173F5" w:rsidRPr="00104DDD">
        <w:t xml:space="preserve"> Investment as a component of AD</w:t>
      </w:r>
      <w:r w:rsidR="00FA0040" w:rsidRPr="00104DDD">
        <w:t>,</w:t>
      </w:r>
      <w:r w:rsidR="00D173F5" w:rsidRPr="00104DDD">
        <w:t xml:space="preserve"> and its relationship to interest rates, with foreign investment and its relationship to interest rates (e.g. foreigners lending to Australian entities)</w:t>
      </w:r>
      <w:r w:rsidR="00FA0040" w:rsidRPr="00104DDD">
        <w:t>.</w:t>
      </w:r>
    </w:p>
    <w:p w14:paraId="273BAA11" w14:textId="0162EC61" w:rsidR="001D6FF6" w:rsidRPr="00104DDD" w:rsidRDefault="00464F1E" w:rsidP="00104DDD">
      <w:pPr>
        <w:pStyle w:val="VCAAbody"/>
      </w:pPr>
      <w:r>
        <w:t>Many</w:t>
      </w:r>
      <w:r w:rsidR="001D6FF6" w:rsidRPr="00104DDD">
        <w:t xml:space="preserve"> students correctly identified ‘terms of trade</w:t>
      </w:r>
      <w:r w:rsidR="00AE6F2B">
        <w:t>’</w:t>
      </w:r>
      <w:r w:rsidR="001D6FF6" w:rsidRPr="00104DDD">
        <w:t xml:space="preserve"> as a relevant factor </w:t>
      </w:r>
      <w:r>
        <w:t>influencing</w:t>
      </w:r>
      <w:r w:rsidR="001D6FF6" w:rsidRPr="00104DDD">
        <w:t xml:space="preserve"> the value of the AUD.</w:t>
      </w:r>
      <w:r w:rsidR="00F87ED6">
        <w:t xml:space="preserve"> </w:t>
      </w:r>
      <w:r w:rsidR="001D6FF6" w:rsidRPr="00104DDD">
        <w:t xml:space="preserve">However, they attempted to argue that a high(er) </w:t>
      </w:r>
      <w:r>
        <w:t>Terms of Trade</w:t>
      </w:r>
      <w:r w:rsidRPr="00104DDD">
        <w:t xml:space="preserve"> </w:t>
      </w:r>
      <w:r w:rsidR="00750207">
        <w:t xml:space="preserve">(TOT) </w:t>
      </w:r>
      <w:r w:rsidR="001D6FF6" w:rsidRPr="00104DDD">
        <w:t>cause</w:t>
      </w:r>
      <w:r w:rsidR="00AE6F2B">
        <w:t>s</w:t>
      </w:r>
      <w:r w:rsidR="001D6FF6" w:rsidRPr="00104DDD">
        <w:t xml:space="preserve"> a depreciation because the price of X has risen (worsening competitiveness).</w:t>
      </w:r>
      <w:r w:rsidR="00F87ED6">
        <w:t xml:space="preserve"> </w:t>
      </w:r>
      <w:r w:rsidR="001D6FF6" w:rsidRPr="00104DDD">
        <w:t xml:space="preserve">This highlights a clear misunderstanding of the </w:t>
      </w:r>
      <w:r w:rsidR="003776D3">
        <w:t>TOT</w:t>
      </w:r>
      <w:r>
        <w:t xml:space="preserve"> </w:t>
      </w:r>
      <w:r w:rsidR="001D6FF6" w:rsidRPr="00104DDD">
        <w:t>and its implications.</w:t>
      </w:r>
      <w:r w:rsidR="00D173F5" w:rsidRPr="00104DDD">
        <w:t xml:space="preserve"> </w:t>
      </w:r>
      <w:r w:rsidR="00003E16" w:rsidRPr="00104DDD">
        <w:t xml:space="preserve">For future reference, students should always be prepared to outline that a lower </w:t>
      </w:r>
      <w:r w:rsidR="003776D3">
        <w:t>TOT</w:t>
      </w:r>
      <w:r w:rsidR="00003E16" w:rsidRPr="00104DDD">
        <w:t xml:space="preserve"> is likely to contribute to a depreciation of the exchange rate and a higher </w:t>
      </w:r>
      <w:r w:rsidR="00671DDE">
        <w:t>TOT</w:t>
      </w:r>
      <w:r w:rsidR="00003E16" w:rsidRPr="00104DDD">
        <w:t xml:space="preserve"> should contribute to an appreciation of the exchange rate.</w:t>
      </w:r>
    </w:p>
    <w:p w14:paraId="6704A040" w14:textId="64212B99" w:rsidR="00FA0040" w:rsidRPr="00104DDD" w:rsidRDefault="00AE6F2B" w:rsidP="00104DDD">
      <w:pPr>
        <w:pStyle w:val="VCAAbody"/>
      </w:pPr>
      <w:r>
        <w:t>Some</w:t>
      </w:r>
      <w:r w:rsidR="00FA0040" w:rsidRPr="00104DDD">
        <w:t xml:space="preserve"> students </w:t>
      </w:r>
      <w:r w:rsidR="00003E16" w:rsidRPr="00104DDD">
        <w:t>outlin</w:t>
      </w:r>
      <w:r>
        <w:t>ed</w:t>
      </w:r>
      <w:r w:rsidR="00003E16" w:rsidRPr="00104DDD">
        <w:t xml:space="preserve"> </w:t>
      </w:r>
      <w:r w:rsidR="00464F1E">
        <w:t xml:space="preserve">purely theoretical </w:t>
      </w:r>
      <w:r w:rsidR="00FA0040" w:rsidRPr="00104DDD">
        <w:t xml:space="preserve">factors </w:t>
      </w:r>
      <w:r w:rsidR="00003E16" w:rsidRPr="00104DDD">
        <w:t xml:space="preserve">not relevant </w:t>
      </w:r>
      <w:r w:rsidR="00464F1E">
        <w:t>to</w:t>
      </w:r>
      <w:r w:rsidR="00464F1E" w:rsidRPr="00104DDD">
        <w:t xml:space="preserve"> </w:t>
      </w:r>
      <w:r w:rsidR="00003E16" w:rsidRPr="00104DDD">
        <w:t xml:space="preserve">the </w:t>
      </w:r>
      <w:r w:rsidR="00FA0040" w:rsidRPr="00104DDD">
        <w:t>2023 context</w:t>
      </w:r>
      <w:r w:rsidR="00003E16" w:rsidRPr="00104DDD">
        <w:t xml:space="preserve">, </w:t>
      </w:r>
      <w:r w:rsidR="00464F1E">
        <w:t xml:space="preserve">preventing achievement of </w:t>
      </w:r>
      <w:r w:rsidR="00FA0040" w:rsidRPr="00104DDD">
        <w:t>full marks.</w:t>
      </w:r>
      <w:r w:rsidR="00F87ED6">
        <w:t xml:space="preserve"> </w:t>
      </w:r>
      <w:r w:rsidR="00FA0040" w:rsidRPr="00104DDD">
        <w:t xml:space="preserve">For example, </w:t>
      </w:r>
      <w:r w:rsidR="00156578">
        <w:t xml:space="preserve">they </w:t>
      </w:r>
      <w:r w:rsidR="00464F1E">
        <w:t>argu</w:t>
      </w:r>
      <w:r w:rsidR="00156578">
        <w:t>ed</w:t>
      </w:r>
      <w:r w:rsidR="00FA0040" w:rsidRPr="00104DDD">
        <w:t xml:space="preserve"> that interest rates fell in Australia</w:t>
      </w:r>
      <w:r w:rsidR="00003E16" w:rsidRPr="00104DDD">
        <w:t xml:space="preserve">, </w:t>
      </w:r>
      <w:r w:rsidR="00464F1E">
        <w:t>when in reality these</w:t>
      </w:r>
      <w:r w:rsidR="00FA0040" w:rsidRPr="00104DDD">
        <w:t xml:space="preserve"> actually increased in absolute terms but </w:t>
      </w:r>
      <w:proofErr w:type="gramStart"/>
      <w:r w:rsidR="00FA0040" w:rsidRPr="00104DDD">
        <w:t>fell</w:t>
      </w:r>
      <w:proofErr w:type="gramEnd"/>
      <w:r w:rsidR="00FA0040" w:rsidRPr="00104DDD">
        <w:t xml:space="preserve"> relative to USA interest rates</w:t>
      </w:r>
      <w:r w:rsidR="00003E16" w:rsidRPr="00104DDD">
        <w:t>.</w:t>
      </w:r>
      <w:r w:rsidR="00F87ED6">
        <w:t xml:space="preserve"> </w:t>
      </w:r>
      <w:r w:rsidR="00003E16" w:rsidRPr="00104DDD">
        <w:t xml:space="preserve">In other cases, students </w:t>
      </w:r>
      <w:r w:rsidR="00FA0040" w:rsidRPr="00104DDD">
        <w:t>incorrectly referred to a drop in Australia’s credit rating being a contributing factor</w:t>
      </w:r>
      <w:r w:rsidR="00003E16" w:rsidRPr="00104DDD">
        <w:t>, which was untrue over 2022</w:t>
      </w:r>
      <w:r>
        <w:t>–</w:t>
      </w:r>
      <w:r w:rsidR="00003E16" w:rsidRPr="00104DDD">
        <w:t>23.</w:t>
      </w:r>
    </w:p>
    <w:p w14:paraId="36F8034D" w14:textId="2FEDEC66" w:rsidR="001D6FF6" w:rsidRPr="00104DDD" w:rsidRDefault="00464F1E" w:rsidP="00104DDD">
      <w:pPr>
        <w:pStyle w:val="VCAAbody"/>
      </w:pPr>
      <w:r>
        <w:t xml:space="preserve">Some </w:t>
      </w:r>
      <w:r w:rsidR="001D6FF6" w:rsidRPr="00104DDD">
        <w:t xml:space="preserve">students </w:t>
      </w:r>
      <w:r>
        <w:t>referred</w:t>
      </w:r>
      <w:r w:rsidR="001D6FF6" w:rsidRPr="00104DDD">
        <w:t xml:space="preserve"> to the chart by describing the movement of the AUD.</w:t>
      </w:r>
      <w:r w:rsidR="00F87ED6">
        <w:t xml:space="preserve"> </w:t>
      </w:r>
      <w:r w:rsidR="001D6FF6" w:rsidRPr="00104DDD">
        <w:t xml:space="preserve">This was not required </w:t>
      </w:r>
      <w:r>
        <w:t xml:space="preserve">in </w:t>
      </w:r>
      <w:r w:rsidR="00671DDE">
        <w:t>this</w:t>
      </w:r>
      <w:r w:rsidR="00671DDE" w:rsidRPr="00104DDD">
        <w:t xml:space="preserve"> </w:t>
      </w:r>
      <w:r w:rsidR="001D6FF6" w:rsidRPr="00104DDD">
        <w:t>2</w:t>
      </w:r>
      <w:r w:rsidR="00AE6F2B">
        <w:t>-</w:t>
      </w:r>
      <w:r w:rsidR="001D6FF6" w:rsidRPr="00104DDD">
        <w:t>mark question</w:t>
      </w:r>
      <w:r w:rsidR="00FA0040" w:rsidRPr="00104DDD">
        <w:t xml:space="preserve"> given that the ‘downward trend’ is referred to in the question</w:t>
      </w:r>
      <w:r w:rsidR="001D6FF6" w:rsidRPr="00104DDD">
        <w:t>.</w:t>
      </w:r>
      <w:r w:rsidR="00F87ED6">
        <w:t xml:space="preserve"> </w:t>
      </w:r>
      <w:r w:rsidR="001D6FF6" w:rsidRPr="00104DDD">
        <w:t xml:space="preserve">However, the same students often failed to </w:t>
      </w:r>
      <w:proofErr w:type="gramStart"/>
      <w:r w:rsidR="001D6FF6" w:rsidRPr="00104DDD">
        <w:t>make reference</w:t>
      </w:r>
      <w:proofErr w:type="gramEnd"/>
      <w:r w:rsidR="001D6FF6" w:rsidRPr="00104DDD">
        <w:t xml:space="preserve"> to the chart in </w:t>
      </w:r>
      <w:r w:rsidR="006F64B9">
        <w:t>p</w:t>
      </w:r>
      <w:r w:rsidR="00003E16" w:rsidRPr="00104DDD">
        <w:t>art c</w:t>
      </w:r>
      <w:r w:rsidR="006F64B9">
        <w:t>.</w:t>
      </w:r>
      <w:r w:rsidR="00003E16" w:rsidRPr="00104DDD">
        <w:t xml:space="preserve">, </w:t>
      </w:r>
      <w:r w:rsidR="001D6FF6" w:rsidRPr="00104DDD">
        <w:t>which was specifically required in the question.</w:t>
      </w:r>
    </w:p>
    <w:p w14:paraId="4C54A5E1" w14:textId="77777777" w:rsidR="00FA0040" w:rsidRPr="00104DDD" w:rsidRDefault="00FA0040" w:rsidP="00104DDD">
      <w:pPr>
        <w:pStyle w:val="VCAAbody"/>
      </w:pPr>
      <w:r w:rsidRPr="00104DDD">
        <w:t xml:space="preserve">The following is an example of a high-scoring response. </w:t>
      </w:r>
    </w:p>
    <w:p w14:paraId="21298A96" w14:textId="01F6D38B" w:rsidR="007632F4" w:rsidRDefault="00866632" w:rsidP="00727C94">
      <w:pPr>
        <w:pStyle w:val="VCAAstudentresponse"/>
      </w:pPr>
      <w:r w:rsidRPr="00727C94">
        <w:t xml:space="preserve">The downwards trend in the value of the AUD against the USD since January 2022 was likely caused by Australia’s falling relative interest rates compared to the USA. Although the RBA tightened monetary policy, USA’s central bank tightened monetary policy more aggressively, which thus led to a greater number of Australian investors being incentivised to deposit their savings in America, as there were relatively higher rates of return on offer in the US. This greater capital outflow increased the supply of the AUD in foreign exchange markets, contributing to the depreciation. </w:t>
      </w:r>
    </w:p>
    <w:p w14:paraId="2F90673A" w14:textId="77777777" w:rsidR="007453E2" w:rsidRDefault="007453E2">
      <w:pPr>
        <w:rPr>
          <w:rFonts w:ascii="Arial" w:hAnsi="Arial" w:cs="Arial"/>
          <w:color w:val="000000" w:themeColor="text1"/>
          <w:sz w:val="20"/>
        </w:rPr>
      </w:pPr>
      <w:r>
        <w:rPr>
          <w:color w:val="000000" w:themeColor="text1"/>
          <w:sz w:val="20"/>
        </w:rPr>
        <w:br w:type="page"/>
      </w:r>
    </w:p>
    <w:p w14:paraId="6AFFDF27" w14:textId="710D8ABD" w:rsidR="00963008" w:rsidRPr="003C0A2F" w:rsidRDefault="00963008" w:rsidP="009914F6">
      <w:pPr>
        <w:pStyle w:val="VCAAHeading3"/>
      </w:pPr>
      <w:r w:rsidRPr="003C0A2F">
        <w:lastRenderedPageBreak/>
        <w:t xml:space="preserve">Question </w:t>
      </w:r>
      <w:r>
        <w:t>2</w:t>
      </w:r>
      <w:r w:rsidRPr="003C0A2F">
        <w:t>c.</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963008" w:rsidRPr="003C0A2F" w14:paraId="5F35432D"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7520D18D" w14:textId="77777777" w:rsidR="00963008" w:rsidRPr="003C0A2F" w:rsidRDefault="00963008" w:rsidP="00AE7682">
            <w:pPr>
              <w:pStyle w:val="VCAAtablecondensedheading"/>
              <w:rPr>
                <w:lang w:val="en-AU"/>
              </w:rPr>
            </w:pPr>
            <w:r w:rsidRPr="003C0A2F">
              <w:rPr>
                <w:lang w:val="en-AU"/>
              </w:rPr>
              <w:t>Marks</w:t>
            </w:r>
          </w:p>
        </w:tc>
        <w:tc>
          <w:tcPr>
            <w:tcW w:w="576" w:type="dxa"/>
          </w:tcPr>
          <w:p w14:paraId="07140E21" w14:textId="77777777" w:rsidR="00963008" w:rsidRPr="003C0A2F" w:rsidRDefault="00963008" w:rsidP="00AE7682">
            <w:pPr>
              <w:pStyle w:val="VCAAtablecondensedheading"/>
              <w:rPr>
                <w:lang w:val="en-AU"/>
              </w:rPr>
            </w:pPr>
            <w:r w:rsidRPr="003C0A2F">
              <w:rPr>
                <w:lang w:val="en-AU"/>
              </w:rPr>
              <w:t>0</w:t>
            </w:r>
          </w:p>
        </w:tc>
        <w:tc>
          <w:tcPr>
            <w:tcW w:w="576" w:type="dxa"/>
          </w:tcPr>
          <w:p w14:paraId="276EBDDD" w14:textId="77777777" w:rsidR="00963008" w:rsidRPr="003C0A2F" w:rsidRDefault="00963008" w:rsidP="00AE7682">
            <w:pPr>
              <w:pStyle w:val="VCAAtablecondensedheading"/>
              <w:rPr>
                <w:lang w:val="en-AU"/>
              </w:rPr>
            </w:pPr>
            <w:r w:rsidRPr="003C0A2F">
              <w:rPr>
                <w:lang w:val="en-AU"/>
              </w:rPr>
              <w:t>1</w:t>
            </w:r>
          </w:p>
        </w:tc>
        <w:tc>
          <w:tcPr>
            <w:tcW w:w="576" w:type="dxa"/>
          </w:tcPr>
          <w:p w14:paraId="5E7691C3" w14:textId="77777777" w:rsidR="00963008" w:rsidRPr="003C0A2F" w:rsidRDefault="00963008" w:rsidP="00AE7682">
            <w:pPr>
              <w:pStyle w:val="VCAAtablecondensedheading"/>
              <w:rPr>
                <w:lang w:val="en-AU"/>
              </w:rPr>
            </w:pPr>
            <w:r w:rsidRPr="003C0A2F">
              <w:rPr>
                <w:lang w:val="en-AU"/>
              </w:rPr>
              <w:t>2</w:t>
            </w:r>
          </w:p>
        </w:tc>
        <w:tc>
          <w:tcPr>
            <w:tcW w:w="576" w:type="dxa"/>
          </w:tcPr>
          <w:p w14:paraId="05C2D4D0" w14:textId="77777777" w:rsidR="00963008" w:rsidRPr="003C0A2F" w:rsidRDefault="00963008" w:rsidP="00AE7682">
            <w:pPr>
              <w:pStyle w:val="VCAAtablecondensedheading"/>
              <w:rPr>
                <w:lang w:val="en-AU"/>
              </w:rPr>
            </w:pPr>
            <w:r w:rsidRPr="003C0A2F">
              <w:rPr>
                <w:lang w:val="en-AU"/>
              </w:rPr>
              <w:t>3</w:t>
            </w:r>
          </w:p>
        </w:tc>
        <w:tc>
          <w:tcPr>
            <w:tcW w:w="576" w:type="dxa"/>
          </w:tcPr>
          <w:p w14:paraId="1E6AE36A" w14:textId="77777777" w:rsidR="00963008" w:rsidRPr="003C0A2F" w:rsidRDefault="00963008" w:rsidP="00AE7682">
            <w:pPr>
              <w:pStyle w:val="VCAAtablecondensedheading"/>
              <w:rPr>
                <w:lang w:val="en-AU"/>
              </w:rPr>
            </w:pPr>
            <w:r w:rsidRPr="003C0A2F">
              <w:rPr>
                <w:lang w:val="en-AU"/>
              </w:rPr>
              <w:t>4</w:t>
            </w:r>
          </w:p>
        </w:tc>
        <w:tc>
          <w:tcPr>
            <w:tcW w:w="1008" w:type="dxa"/>
          </w:tcPr>
          <w:p w14:paraId="05A327A9" w14:textId="77777777" w:rsidR="00963008" w:rsidRPr="003C0A2F" w:rsidRDefault="00963008" w:rsidP="00AE7682">
            <w:pPr>
              <w:pStyle w:val="VCAAtablecondensedheading"/>
              <w:rPr>
                <w:lang w:val="en-AU"/>
              </w:rPr>
            </w:pPr>
            <w:r w:rsidRPr="003C0A2F">
              <w:rPr>
                <w:lang w:val="en-AU"/>
              </w:rPr>
              <w:t>Average</w:t>
            </w:r>
          </w:p>
        </w:tc>
      </w:tr>
      <w:tr w:rsidR="00FC7491" w:rsidRPr="003C0A2F" w14:paraId="0A915C36" w14:textId="77777777" w:rsidTr="0052782F">
        <w:tc>
          <w:tcPr>
            <w:tcW w:w="720" w:type="dxa"/>
          </w:tcPr>
          <w:p w14:paraId="195F0BD0" w14:textId="77777777" w:rsidR="00FC7491" w:rsidRPr="003C0A2F" w:rsidRDefault="00FC7491" w:rsidP="00FC7491">
            <w:pPr>
              <w:pStyle w:val="VCAAtablecondensed"/>
              <w:rPr>
                <w:lang w:val="en-AU"/>
              </w:rPr>
            </w:pPr>
            <w:r w:rsidRPr="003C0A2F">
              <w:rPr>
                <w:lang w:val="en-AU"/>
              </w:rPr>
              <w:t>%</w:t>
            </w:r>
          </w:p>
        </w:tc>
        <w:tc>
          <w:tcPr>
            <w:tcW w:w="576" w:type="dxa"/>
          </w:tcPr>
          <w:p w14:paraId="6E54E4B4" w14:textId="166D511B" w:rsidR="00FC7491" w:rsidRPr="003C0A2F" w:rsidRDefault="00FC7491" w:rsidP="00FC7491">
            <w:pPr>
              <w:pStyle w:val="VCAAtablecondensed"/>
              <w:rPr>
                <w:lang w:val="en-AU"/>
              </w:rPr>
            </w:pPr>
            <w:r w:rsidRPr="002630E6">
              <w:t>15</w:t>
            </w:r>
          </w:p>
        </w:tc>
        <w:tc>
          <w:tcPr>
            <w:tcW w:w="576" w:type="dxa"/>
          </w:tcPr>
          <w:p w14:paraId="49D6CBCB" w14:textId="7ACD26F6" w:rsidR="00FC7491" w:rsidRPr="003C0A2F" w:rsidRDefault="00FC7491" w:rsidP="00FC7491">
            <w:pPr>
              <w:pStyle w:val="VCAAtablecondensed"/>
              <w:rPr>
                <w:lang w:val="en-AU"/>
              </w:rPr>
            </w:pPr>
            <w:r w:rsidRPr="002630E6">
              <w:t>1</w:t>
            </w:r>
            <w:r w:rsidR="00DC2149">
              <w:t>9</w:t>
            </w:r>
          </w:p>
        </w:tc>
        <w:tc>
          <w:tcPr>
            <w:tcW w:w="576" w:type="dxa"/>
          </w:tcPr>
          <w:p w14:paraId="50551512" w14:textId="2B5CA760" w:rsidR="00FC7491" w:rsidRPr="003C0A2F" w:rsidRDefault="00FC7491" w:rsidP="00FC7491">
            <w:pPr>
              <w:pStyle w:val="VCAAtablecondensed"/>
              <w:rPr>
                <w:lang w:val="en-AU"/>
              </w:rPr>
            </w:pPr>
            <w:r w:rsidRPr="002630E6">
              <w:t>20</w:t>
            </w:r>
          </w:p>
        </w:tc>
        <w:tc>
          <w:tcPr>
            <w:tcW w:w="576" w:type="dxa"/>
          </w:tcPr>
          <w:p w14:paraId="6B1623B6" w14:textId="1C8DD908" w:rsidR="00FC7491" w:rsidRPr="003C0A2F" w:rsidRDefault="00FC7491" w:rsidP="00FC7491">
            <w:pPr>
              <w:pStyle w:val="VCAAtablecondensed"/>
              <w:rPr>
                <w:lang w:val="en-AU"/>
              </w:rPr>
            </w:pPr>
            <w:r w:rsidRPr="002630E6">
              <w:t>2</w:t>
            </w:r>
            <w:r w:rsidR="00DC2149">
              <w:t>7</w:t>
            </w:r>
          </w:p>
        </w:tc>
        <w:tc>
          <w:tcPr>
            <w:tcW w:w="576" w:type="dxa"/>
          </w:tcPr>
          <w:p w14:paraId="4B64E498" w14:textId="08CBC281" w:rsidR="00FC7491" w:rsidRPr="003C0A2F" w:rsidRDefault="00DC2149" w:rsidP="00FC7491">
            <w:pPr>
              <w:pStyle w:val="VCAAtablecondensed"/>
              <w:rPr>
                <w:lang w:val="en-AU"/>
              </w:rPr>
            </w:pPr>
            <w:r>
              <w:t>20</w:t>
            </w:r>
          </w:p>
        </w:tc>
        <w:tc>
          <w:tcPr>
            <w:tcW w:w="1008" w:type="dxa"/>
          </w:tcPr>
          <w:p w14:paraId="78A26F36" w14:textId="05EF6DD3" w:rsidR="00FC7491" w:rsidRPr="003C0A2F" w:rsidRDefault="00FC7491" w:rsidP="00FC7491">
            <w:pPr>
              <w:pStyle w:val="VCAAtablecondensed"/>
              <w:rPr>
                <w:lang w:val="en-AU"/>
              </w:rPr>
            </w:pPr>
            <w:r w:rsidRPr="002630E6">
              <w:t>2.2</w:t>
            </w:r>
          </w:p>
        </w:tc>
      </w:tr>
    </w:tbl>
    <w:p w14:paraId="2302963D" w14:textId="306294A8" w:rsidR="002064D6" w:rsidRDefault="00FA0040" w:rsidP="00104DDD">
      <w:pPr>
        <w:pStyle w:val="VCAAbody"/>
      </w:pPr>
      <w:r w:rsidRPr="00104DDD">
        <w:t xml:space="preserve">To achieve full marks, </w:t>
      </w:r>
      <w:r w:rsidR="002064D6">
        <w:t>students were required to cite data from the chart as illustration that the Australian dollar had depreciated against the US</w:t>
      </w:r>
      <w:r w:rsidR="00750207">
        <w:t>D</w:t>
      </w:r>
      <w:r w:rsidR="002064D6">
        <w:t xml:space="preserve">. Then explain the effect of a depreciation of </w:t>
      </w:r>
      <w:r w:rsidR="001B0080">
        <w:t xml:space="preserve">the </w:t>
      </w:r>
      <w:r w:rsidR="002064D6">
        <w:t>A</w:t>
      </w:r>
      <w:r w:rsidR="00750207">
        <w:t>UD</w:t>
      </w:r>
      <w:r w:rsidR="002064D6">
        <w:t xml:space="preserve"> on one macroeconomic goal (named) and living standards. </w:t>
      </w:r>
    </w:p>
    <w:p w14:paraId="23FA7821" w14:textId="799D8A4E" w:rsidR="00756432" w:rsidRPr="00104DDD" w:rsidRDefault="00756432" w:rsidP="00104DDD">
      <w:pPr>
        <w:pStyle w:val="VCAAbody"/>
      </w:pPr>
      <w:r w:rsidRPr="00104DDD">
        <w:t xml:space="preserve">It was expected </w:t>
      </w:r>
      <w:r w:rsidR="001B0080">
        <w:t xml:space="preserve">that </w:t>
      </w:r>
      <w:r w:rsidRPr="00104DDD">
        <w:t xml:space="preserve">students would focus on the impact </w:t>
      </w:r>
      <w:r w:rsidR="000465E0">
        <w:t>of</w:t>
      </w:r>
      <w:r w:rsidR="000465E0" w:rsidRPr="00104DDD">
        <w:t xml:space="preserve"> </w:t>
      </w:r>
      <w:r w:rsidRPr="00104DDD">
        <w:t xml:space="preserve">a depreciation on demand for </w:t>
      </w:r>
      <w:r w:rsidR="00390376" w:rsidRPr="00104DDD">
        <w:t xml:space="preserve">net </w:t>
      </w:r>
      <w:r w:rsidRPr="00104DDD">
        <w:t>exports</w:t>
      </w:r>
      <w:r w:rsidR="000465E0">
        <w:t xml:space="preserve">, </w:t>
      </w:r>
      <w:r w:rsidR="00F80AAA">
        <w:t>AD</w:t>
      </w:r>
      <w:r w:rsidR="000465E0">
        <w:t xml:space="preserve"> and</w:t>
      </w:r>
      <w:r w:rsidRPr="00104DDD">
        <w:t xml:space="preserve"> economic growth</w:t>
      </w:r>
      <w:r w:rsidR="000465E0">
        <w:t xml:space="preserve">. </w:t>
      </w:r>
      <w:r w:rsidR="001B0080">
        <w:t>They would t</w:t>
      </w:r>
      <w:r w:rsidR="000465E0">
        <w:t xml:space="preserve">hen link this to </w:t>
      </w:r>
      <w:r w:rsidR="001B0080">
        <w:t xml:space="preserve">the </w:t>
      </w:r>
      <w:r w:rsidRPr="00104DDD">
        <w:t xml:space="preserve">achievement of </w:t>
      </w:r>
      <w:r w:rsidR="000465E0">
        <w:t>one of</w:t>
      </w:r>
      <w:r w:rsidR="000465E0" w:rsidRPr="00104DDD">
        <w:t xml:space="preserve"> </w:t>
      </w:r>
      <w:r w:rsidRPr="00104DDD">
        <w:t>strong and sustainable economic growth</w:t>
      </w:r>
      <w:r w:rsidR="000465E0">
        <w:t>,</w:t>
      </w:r>
      <w:r w:rsidRPr="00104DDD">
        <w:t xml:space="preserve"> full employment or price stability</w:t>
      </w:r>
      <w:r w:rsidR="00390376" w:rsidRPr="00104DDD">
        <w:t xml:space="preserve"> (as well as living standards).</w:t>
      </w:r>
    </w:p>
    <w:p w14:paraId="4174C7BD" w14:textId="14AA986D" w:rsidR="000465E0" w:rsidRDefault="00FA0040" w:rsidP="00104DDD">
      <w:pPr>
        <w:pStyle w:val="VCAAbody"/>
      </w:pPr>
      <w:r w:rsidRPr="00104DDD">
        <w:t>The better responses made clear why the value of net exports would increase following a depreciation (i.e. via the lower price of exports in foreign currency terms and higher price of imports in domestic currency terms)</w:t>
      </w:r>
      <w:r w:rsidR="000465E0">
        <w:t>,</w:t>
      </w:r>
      <w:r w:rsidRPr="00104DDD">
        <w:t xml:space="preserve"> </w:t>
      </w:r>
      <w:r w:rsidR="000465E0">
        <w:t>then explained</w:t>
      </w:r>
      <w:r w:rsidRPr="00104DDD">
        <w:t xml:space="preserve"> the impact </w:t>
      </w:r>
      <w:r w:rsidR="000465E0">
        <w:t xml:space="preserve">of this </w:t>
      </w:r>
      <w:r w:rsidRPr="00104DDD">
        <w:t xml:space="preserve">on </w:t>
      </w:r>
      <w:r w:rsidR="001B0080">
        <w:t xml:space="preserve">the </w:t>
      </w:r>
      <w:r w:rsidRPr="00104DDD">
        <w:t xml:space="preserve">achievement of </w:t>
      </w:r>
      <w:r w:rsidR="000465E0">
        <w:t xml:space="preserve">both one </w:t>
      </w:r>
      <w:r w:rsidRPr="00104DDD">
        <w:t>macroeconomic goal and living standards.</w:t>
      </w:r>
      <w:r w:rsidR="00F87ED6">
        <w:t xml:space="preserve"> </w:t>
      </w:r>
    </w:p>
    <w:p w14:paraId="0399072D" w14:textId="3F201D27" w:rsidR="00FA0040" w:rsidRPr="00104DDD" w:rsidRDefault="000465E0" w:rsidP="00104DDD">
      <w:pPr>
        <w:pStyle w:val="VCAAbody"/>
      </w:pPr>
      <w:proofErr w:type="gramStart"/>
      <w:r>
        <w:t>A</w:t>
      </w:r>
      <w:r w:rsidR="00FA0040" w:rsidRPr="00104DDD">
        <w:t xml:space="preserve"> number of</w:t>
      </w:r>
      <w:proofErr w:type="gramEnd"/>
      <w:r w:rsidR="00FA0040" w:rsidRPr="00104DDD">
        <w:t xml:space="preserve"> students </w:t>
      </w:r>
      <w:r>
        <w:t>argued</w:t>
      </w:r>
      <w:r w:rsidR="00FA0040" w:rsidRPr="00104DDD">
        <w:t xml:space="preserve"> that the depreciation </w:t>
      </w:r>
      <w:r>
        <w:t>will reduce</w:t>
      </w:r>
      <w:r w:rsidRPr="00104DDD">
        <w:t xml:space="preserve"> </w:t>
      </w:r>
      <w:r w:rsidR="00FA0040" w:rsidRPr="00104DDD">
        <w:t>the value of net export</w:t>
      </w:r>
      <w:r>
        <w:t>s</w:t>
      </w:r>
      <w:r w:rsidR="00FA0040" w:rsidRPr="00104DDD">
        <w:t xml:space="preserve"> before </w:t>
      </w:r>
      <w:r w:rsidR="00AA03E4">
        <w:t>explaining</w:t>
      </w:r>
      <w:r w:rsidR="00FA0040" w:rsidRPr="00104DDD">
        <w:t xml:space="preserve"> how this impairs the achievement of SSEG or FE.</w:t>
      </w:r>
      <w:r w:rsidR="00F87ED6">
        <w:t xml:space="preserve"> </w:t>
      </w:r>
      <w:r w:rsidR="00FA0040" w:rsidRPr="00104DDD">
        <w:t xml:space="preserve">While this </w:t>
      </w:r>
      <w:r w:rsidR="00AA03E4">
        <w:t>is possible</w:t>
      </w:r>
      <w:r w:rsidR="00FA0040" w:rsidRPr="00104DDD">
        <w:t xml:space="preserve">, particularly in the short </w:t>
      </w:r>
      <w:r w:rsidR="00AA03E4">
        <w:t>term</w:t>
      </w:r>
      <w:r w:rsidR="00AA03E4" w:rsidRPr="00104DDD">
        <w:t xml:space="preserve"> </w:t>
      </w:r>
      <w:r w:rsidR="00FA0040" w:rsidRPr="00104DDD">
        <w:t xml:space="preserve">as the price effect </w:t>
      </w:r>
      <w:r w:rsidR="00390376" w:rsidRPr="00104DDD">
        <w:t xml:space="preserve">can </w:t>
      </w:r>
      <w:r w:rsidR="00FA0040" w:rsidRPr="00104DDD">
        <w:t xml:space="preserve">dominate the volume effect (sometimes referred to as the J-curve effect), this </w:t>
      </w:r>
      <w:r w:rsidR="00AA03E4">
        <w:t xml:space="preserve">fact </w:t>
      </w:r>
      <w:r w:rsidR="00FA0040" w:rsidRPr="00104DDD">
        <w:t xml:space="preserve">needed to </w:t>
      </w:r>
      <w:r w:rsidR="006F64B9">
        <w:t xml:space="preserve">be </w:t>
      </w:r>
      <w:r w:rsidR="00AA03E4">
        <w:t>noted by the student within their response</w:t>
      </w:r>
      <w:r w:rsidR="00390376" w:rsidRPr="00104DDD">
        <w:t xml:space="preserve"> </w:t>
      </w:r>
      <w:r w:rsidR="006F64B9">
        <w:t xml:space="preserve">to be </w:t>
      </w:r>
      <w:r w:rsidR="00390376" w:rsidRPr="00104DDD">
        <w:t>award</w:t>
      </w:r>
      <w:r w:rsidR="006F64B9">
        <w:t>ed</w:t>
      </w:r>
      <w:r w:rsidR="00390376" w:rsidRPr="00104DDD">
        <w:t xml:space="preserve"> full marks</w:t>
      </w:r>
      <w:r w:rsidR="00FA0040" w:rsidRPr="00104DDD">
        <w:t>.</w:t>
      </w:r>
      <w:r w:rsidR="00CE2643">
        <w:t xml:space="preserve"> </w:t>
      </w:r>
    </w:p>
    <w:p w14:paraId="20B4F628" w14:textId="2504D3AD" w:rsidR="00FA0040" w:rsidRPr="00104DDD" w:rsidRDefault="00FA0040" w:rsidP="00104DDD">
      <w:pPr>
        <w:pStyle w:val="VCAAbody"/>
      </w:pPr>
      <w:r w:rsidRPr="00104DDD">
        <w:t xml:space="preserve">Some students </w:t>
      </w:r>
      <w:r w:rsidR="00AA03E4">
        <w:t>successfully linked</w:t>
      </w:r>
      <w:r w:rsidRPr="00104DDD">
        <w:t xml:space="preserve"> an exchange rate depreciation to growth </w:t>
      </w:r>
      <w:r w:rsidR="007F04AD" w:rsidRPr="00104DDD">
        <w:t xml:space="preserve">in </w:t>
      </w:r>
      <w:r w:rsidR="00F80AAA">
        <w:t>AD</w:t>
      </w:r>
      <w:r w:rsidR="00AA03E4" w:rsidRPr="00104DDD">
        <w:t xml:space="preserve"> </w:t>
      </w:r>
      <w:r w:rsidRPr="00104DDD">
        <w:t xml:space="preserve">and the goal of </w:t>
      </w:r>
      <w:r w:rsidRPr="00D93BFA">
        <w:t xml:space="preserve">SSEG or </w:t>
      </w:r>
      <w:r w:rsidR="00F80AAA" w:rsidRPr="00D93BFA">
        <w:t>full employment (</w:t>
      </w:r>
      <w:r w:rsidRPr="00D93BFA">
        <w:t>FE</w:t>
      </w:r>
      <w:proofErr w:type="gramStart"/>
      <w:r w:rsidR="00F80AAA" w:rsidRPr="00D93BFA">
        <w:t>)</w:t>
      </w:r>
      <w:r w:rsidR="007F04AD" w:rsidRPr="00D93BFA">
        <w:t>,</w:t>
      </w:r>
      <w:r w:rsidRPr="00D93BFA">
        <w:t xml:space="preserve"> bu</w:t>
      </w:r>
      <w:r w:rsidRPr="00104DDD">
        <w:t>t</w:t>
      </w:r>
      <w:proofErr w:type="gramEnd"/>
      <w:r w:rsidRPr="00104DDD">
        <w:t xml:space="preserve"> </w:t>
      </w:r>
      <w:r w:rsidR="00AA03E4">
        <w:t>did not</w:t>
      </w:r>
      <w:r w:rsidRPr="00104DDD">
        <w:t xml:space="preserve"> extend their response by explaining the impact on living standards.</w:t>
      </w:r>
    </w:p>
    <w:p w14:paraId="6A44163B" w14:textId="2BCFC2BB" w:rsidR="00C54561" w:rsidRPr="00104DDD" w:rsidRDefault="00AA03E4" w:rsidP="00104DDD">
      <w:pPr>
        <w:pStyle w:val="VCAAbody"/>
      </w:pPr>
      <w:r>
        <w:t>Regarding s</w:t>
      </w:r>
      <w:r w:rsidR="00C54561" w:rsidRPr="00104DDD">
        <w:t>tudents who selected price stability as the goal</w:t>
      </w:r>
      <w:r w:rsidR="001B0080">
        <w:t>,</w:t>
      </w:r>
      <w:r w:rsidR="00C54561" w:rsidRPr="00104DDD">
        <w:t xml:space="preserve"> the best responses successfully argued that depreciation makes it more difficult to achieve </w:t>
      </w:r>
      <w:r>
        <w:t>this</w:t>
      </w:r>
      <w:r w:rsidRPr="00104DDD">
        <w:t xml:space="preserve"> </w:t>
      </w:r>
      <w:r w:rsidR="00C54561" w:rsidRPr="00104DDD">
        <w:t>goal as it contributes to inflation</w:t>
      </w:r>
      <w:r w:rsidR="007F04AD" w:rsidRPr="00104DDD">
        <w:t xml:space="preserve"> </w:t>
      </w:r>
      <w:r>
        <w:t>increasing from the</w:t>
      </w:r>
      <w:r w:rsidR="007F04AD" w:rsidRPr="00104DDD">
        <w:t xml:space="preserve"> target of 2</w:t>
      </w:r>
      <w:r w:rsidR="006F64B9">
        <w:t>–</w:t>
      </w:r>
      <w:r w:rsidR="007F04AD" w:rsidRPr="00104DDD">
        <w:t>3%</w:t>
      </w:r>
      <w:r w:rsidR="00C54561" w:rsidRPr="00104DDD">
        <w:t xml:space="preserve"> (via the demand and/or supply </w:t>
      </w:r>
      <w:r w:rsidR="007F04AD" w:rsidRPr="00104DDD">
        <w:t xml:space="preserve">side </w:t>
      </w:r>
      <w:r w:rsidR="00C54561" w:rsidRPr="00104DDD">
        <w:t>impact)</w:t>
      </w:r>
      <w:r w:rsidR="007F04AD" w:rsidRPr="00104DDD">
        <w:t>.</w:t>
      </w:r>
      <w:r w:rsidR="00F87ED6">
        <w:t xml:space="preserve"> </w:t>
      </w:r>
      <w:r>
        <w:t xml:space="preserve">These responses then </w:t>
      </w:r>
      <w:r w:rsidR="00C54561" w:rsidRPr="00104DDD">
        <w:t xml:space="preserve">accurately </w:t>
      </w:r>
      <w:r>
        <w:t>showed</w:t>
      </w:r>
      <w:r w:rsidRPr="00104DDD">
        <w:t xml:space="preserve"> </w:t>
      </w:r>
      <w:r w:rsidR="00C54561" w:rsidRPr="00104DDD">
        <w:t>how depreciation would still increase living standards (e.g. via growth in aggregate demand</w:t>
      </w:r>
      <w:r w:rsidR="007F04AD" w:rsidRPr="00104DDD">
        <w:t>, real G</w:t>
      </w:r>
      <w:r w:rsidR="00750207">
        <w:t xml:space="preserve">ross </w:t>
      </w:r>
      <w:r w:rsidR="007F04AD" w:rsidRPr="00104DDD">
        <w:t>D</w:t>
      </w:r>
      <w:r w:rsidR="00750207">
        <w:t xml:space="preserve">omestic </w:t>
      </w:r>
      <w:r w:rsidR="007F04AD" w:rsidRPr="00104DDD">
        <w:t>P</w:t>
      </w:r>
      <w:r w:rsidR="00750207">
        <w:t>roduct (GDP)</w:t>
      </w:r>
      <w:r w:rsidR="007F04AD" w:rsidRPr="00104DDD">
        <w:t>, employment</w:t>
      </w:r>
      <w:r w:rsidR="00C54561" w:rsidRPr="00104DDD">
        <w:t xml:space="preserve"> and incomes) despite the excessive growth in inflation.</w:t>
      </w:r>
      <w:r w:rsidR="00F87ED6">
        <w:t xml:space="preserve"> </w:t>
      </w:r>
      <w:r>
        <w:t>Those</w:t>
      </w:r>
      <w:r w:rsidR="00C54561" w:rsidRPr="00104DDD">
        <w:t xml:space="preserve"> who focused on the negative impact that higher inflation has on living standards were also rewarded.</w:t>
      </w:r>
    </w:p>
    <w:p w14:paraId="595427D5" w14:textId="79A8E782" w:rsidR="00FA0040" w:rsidRPr="00104DDD" w:rsidRDefault="00AA03E4" w:rsidP="00104DDD">
      <w:pPr>
        <w:pStyle w:val="VCAAbody"/>
      </w:pPr>
      <w:r>
        <w:t>Other</w:t>
      </w:r>
      <w:r w:rsidRPr="00104DDD">
        <w:t xml:space="preserve"> </w:t>
      </w:r>
      <w:r w:rsidR="007F04AD" w:rsidRPr="00104DDD">
        <w:t>s</w:t>
      </w:r>
      <w:r w:rsidR="00FA0040" w:rsidRPr="00104DDD">
        <w:t xml:space="preserve">tudents </w:t>
      </w:r>
      <w:r>
        <w:t>noted</w:t>
      </w:r>
      <w:r w:rsidRPr="00104DDD">
        <w:t xml:space="preserve"> </w:t>
      </w:r>
      <w:r w:rsidR="007F04AD" w:rsidRPr="00104DDD">
        <w:t>that</w:t>
      </w:r>
      <w:r w:rsidR="00FA0040" w:rsidRPr="00104DDD">
        <w:t xml:space="preserve"> the depreciation leads to a reduction in living standards because of the higher costs of imports</w:t>
      </w:r>
      <w:r>
        <w:t xml:space="preserve"> but</w:t>
      </w:r>
      <w:r w:rsidR="007F04AD" w:rsidRPr="00104DDD">
        <w:t xml:space="preserve"> made no attempt to balance this </w:t>
      </w:r>
      <w:r w:rsidR="00FA0040" w:rsidRPr="00104DDD">
        <w:t>against the benefits for living standards stemming from growth in net exports (e.g. higher incomes, growth in employment and lower unemployment).</w:t>
      </w:r>
    </w:p>
    <w:p w14:paraId="5C85337A" w14:textId="0D5D764D" w:rsidR="007632F4" w:rsidRPr="00104DDD" w:rsidRDefault="00FA0040" w:rsidP="00104DDD">
      <w:pPr>
        <w:pStyle w:val="VCAAbody"/>
      </w:pPr>
      <w:r w:rsidRPr="00104DDD">
        <w:t>Some students</w:t>
      </w:r>
      <w:r w:rsidR="007F04AD" w:rsidRPr="00104DDD">
        <w:t xml:space="preserve"> </w:t>
      </w:r>
      <w:r w:rsidR="003A3B01">
        <w:t>focused</w:t>
      </w:r>
      <w:r w:rsidRPr="00104DDD">
        <w:t xml:space="preserve"> on the reasons for a fall in the demand for the AUD (following on from part a</w:t>
      </w:r>
      <w:r w:rsidR="006F64B9">
        <w:t>.</w:t>
      </w:r>
      <w:r w:rsidRPr="00104DDD">
        <w:t xml:space="preserve">) and how this negatively impacts on AD and economic growth, rather than </w:t>
      </w:r>
      <w:r w:rsidR="00A56AF5">
        <w:t>on</w:t>
      </w:r>
      <w:r w:rsidR="003A3B01">
        <w:t xml:space="preserve"> the </w:t>
      </w:r>
      <w:r w:rsidRPr="00104DDD">
        <w:t>effects of a fall in the AUD itself</w:t>
      </w:r>
      <w:r w:rsidR="00C54561" w:rsidRPr="00104DDD">
        <w:t xml:space="preserve"> (e.g. focu</w:t>
      </w:r>
      <w:r w:rsidR="006F64B9">
        <w:t>s</w:t>
      </w:r>
      <w:r w:rsidR="00C54561" w:rsidRPr="00104DDD">
        <w:t xml:space="preserve">ing on the impact of the lower </w:t>
      </w:r>
      <w:r w:rsidR="008636F7">
        <w:t>TOT</w:t>
      </w:r>
      <w:r w:rsidR="00963648" w:rsidRPr="00104DDD">
        <w:t xml:space="preserve"> over 2023).</w:t>
      </w:r>
      <w:r w:rsidR="00F87ED6">
        <w:t xml:space="preserve"> </w:t>
      </w:r>
      <w:r w:rsidR="00963648" w:rsidRPr="00104DDD">
        <w:t xml:space="preserve">This </w:t>
      </w:r>
      <w:r w:rsidRPr="00104DDD">
        <w:t>meant that they incorrectly argu</w:t>
      </w:r>
      <w:r w:rsidR="003A3B01">
        <w:t>ed</w:t>
      </w:r>
      <w:r w:rsidRPr="00104DDD">
        <w:t xml:space="preserve"> that a depreciation would </w:t>
      </w:r>
      <w:r w:rsidR="003A3B01">
        <w:t>have a negative</w:t>
      </w:r>
      <w:r w:rsidR="003A3B01" w:rsidRPr="00104DDD">
        <w:t xml:space="preserve"> </w:t>
      </w:r>
      <w:r w:rsidRPr="00104DDD">
        <w:t xml:space="preserve">impact on </w:t>
      </w:r>
      <w:r w:rsidR="003A3B01">
        <w:t xml:space="preserve">both </w:t>
      </w:r>
      <w:r w:rsidRPr="00104DDD">
        <w:t>AD and economic growth (as well as reduce the rate of inflation).</w:t>
      </w:r>
      <w:r w:rsidR="00F87ED6">
        <w:t xml:space="preserve"> </w:t>
      </w:r>
    </w:p>
    <w:p w14:paraId="24BE9415" w14:textId="77777777" w:rsidR="00963648" w:rsidRPr="00104DDD" w:rsidRDefault="00963648" w:rsidP="00104DDD">
      <w:pPr>
        <w:pStyle w:val="VCAAbody"/>
      </w:pPr>
      <w:r w:rsidRPr="00104DDD">
        <w:t xml:space="preserve">The following is an example of a high-scoring response. </w:t>
      </w:r>
    </w:p>
    <w:p w14:paraId="2127B7E7" w14:textId="63DD0DEF" w:rsidR="00851758" w:rsidRPr="003C0A2F" w:rsidRDefault="00851758" w:rsidP="00E1317D">
      <w:pPr>
        <w:pStyle w:val="VCAAstudentresponse"/>
      </w:pPr>
      <w:r w:rsidRPr="00851758">
        <w:t>The depreciation of the AU</w:t>
      </w:r>
      <w:r>
        <w:t xml:space="preserve">D </w:t>
      </w:r>
      <w:r w:rsidRPr="00851758">
        <w:t>should help us to achieve the goal of full employment</w:t>
      </w:r>
      <w:r>
        <w:t xml:space="preserve">, </w:t>
      </w:r>
      <w:r w:rsidRPr="00851758">
        <w:t xml:space="preserve">the minimum possible rate of unemployment which is </w:t>
      </w:r>
      <w:r>
        <w:t xml:space="preserve">about 4.25% </w:t>
      </w:r>
      <w:r w:rsidRPr="00851758">
        <w:t>that includes no cyclical unemployment and below which inflationary pressures begin to emerge</w:t>
      </w:r>
      <w:r>
        <w:t xml:space="preserve"> (i.e.</w:t>
      </w:r>
      <w:r w:rsidR="00750207">
        <w:t>,</w:t>
      </w:r>
      <w:r>
        <w:t xml:space="preserve"> t</w:t>
      </w:r>
      <w:r w:rsidRPr="00851758">
        <w:t>he non</w:t>
      </w:r>
      <w:r w:rsidR="00750207">
        <w:t>-</w:t>
      </w:r>
      <w:r w:rsidRPr="00851758">
        <w:t xml:space="preserve">accelerating inflation rate of unemployment or </w:t>
      </w:r>
      <w:r>
        <w:t xml:space="preserve">NAIRU). </w:t>
      </w:r>
      <w:r w:rsidRPr="00851758">
        <w:t xml:space="preserve">This is because </w:t>
      </w:r>
      <w:r>
        <w:t xml:space="preserve">a lower AUD </w:t>
      </w:r>
      <w:r w:rsidRPr="00851758">
        <w:t xml:space="preserve">increases the international competitiveness of </w:t>
      </w:r>
      <w:r>
        <w:t>A</w:t>
      </w:r>
      <w:r w:rsidRPr="00851758">
        <w:t>ustralia's exports</w:t>
      </w:r>
      <w:r>
        <w:t>,</w:t>
      </w:r>
      <w:r w:rsidRPr="00851758">
        <w:t xml:space="preserve"> such as tourism, beef, barley</w:t>
      </w:r>
      <w:r>
        <w:t>, etc. a</w:t>
      </w:r>
      <w:r w:rsidRPr="00851758">
        <w:t>s foreigners have greater purchasing power in Australia</w:t>
      </w:r>
      <w:r>
        <w:t>.</w:t>
      </w:r>
      <w:r w:rsidR="00F87ED6">
        <w:t xml:space="preserve"> </w:t>
      </w:r>
      <w:r w:rsidRPr="00851758">
        <w:t>Concurrently, import spending should fall as Australians have less purchasing power overseas, increasing demand for products from</w:t>
      </w:r>
      <w:r>
        <w:t xml:space="preserve"> </w:t>
      </w:r>
      <w:r w:rsidRPr="00851758">
        <w:t>import competing firms</w:t>
      </w:r>
      <w:r>
        <w:t xml:space="preserve">. </w:t>
      </w:r>
      <w:r w:rsidRPr="00851758">
        <w:t>This leads to a rise in net exports</w:t>
      </w:r>
      <w:r>
        <w:t xml:space="preserve"> (X – M) </w:t>
      </w:r>
      <w:r w:rsidRPr="00851758">
        <w:t>which should increase</w:t>
      </w:r>
      <w:r>
        <w:t xml:space="preserve"> AD </w:t>
      </w:r>
      <w:r w:rsidRPr="00851758">
        <w:t>and production volumes</w:t>
      </w:r>
      <w:r>
        <w:t xml:space="preserve">, </w:t>
      </w:r>
      <w:r w:rsidRPr="00851758">
        <w:t>especially in the tradeable sector</w:t>
      </w:r>
      <w:r>
        <w:t>.</w:t>
      </w:r>
      <w:r w:rsidR="00F87ED6">
        <w:t xml:space="preserve"> </w:t>
      </w:r>
      <w:r w:rsidRPr="00851758">
        <w:t>This increases the derived demand for labour</w:t>
      </w:r>
      <w:r>
        <w:t>, a</w:t>
      </w:r>
      <w:r w:rsidRPr="00851758">
        <w:t>llowing us to achieve strong employment growth and helping to reduce</w:t>
      </w:r>
      <w:r>
        <w:t xml:space="preserve"> </w:t>
      </w:r>
      <w:r w:rsidRPr="00851758">
        <w:t xml:space="preserve">the </w:t>
      </w:r>
      <w:r>
        <w:t>rate</w:t>
      </w:r>
      <w:r w:rsidRPr="00851758">
        <w:t xml:space="preserve"> of unemployment</w:t>
      </w:r>
      <w:r>
        <w:t>.</w:t>
      </w:r>
      <w:r w:rsidR="00F87ED6">
        <w:t xml:space="preserve"> </w:t>
      </w:r>
      <w:r w:rsidRPr="00851758">
        <w:t>It should be noted that we are currently below the target</w:t>
      </w:r>
      <w:r>
        <w:t xml:space="preserve">, </w:t>
      </w:r>
      <w:r w:rsidRPr="00851758">
        <w:t>with unemployment around 3.7%</w:t>
      </w:r>
      <w:r>
        <w:t xml:space="preserve">, </w:t>
      </w:r>
      <w:r w:rsidRPr="00851758">
        <w:t>so further reductions in unemployment may lead to an overachievement of the goal</w:t>
      </w:r>
      <w:r>
        <w:t xml:space="preserve">. </w:t>
      </w:r>
      <w:r w:rsidRPr="00851758">
        <w:t xml:space="preserve">This </w:t>
      </w:r>
      <w:r w:rsidRPr="00851758">
        <w:lastRenderedPageBreak/>
        <w:t>should boost incomes and purchasing power along with better access to goods and services</w:t>
      </w:r>
      <w:r>
        <w:t xml:space="preserve">, </w:t>
      </w:r>
      <w:r w:rsidRPr="00851758">
        <w:t>improving material living standards</w:t>
      </w:r>
      <w:r>
        <w:t>.</w:t>
      </w:r>
      <w:r w:rsidR="00F87ED6">
        <w:t xml:space="preserve"> </w:t>
      </w:r>
      <w:r w:rsidRPr="00851758">
        <w:t>Non</w:t>
      </w:r>
      <w:r w:rsidR="00FE44BD">
        <w:t>-</w:t>
      </w:r>
      <w:r w:rsidRPr="00851758">
        <w:t>material living standards should also improve as employed individuals have a better sense of self</w:t>
      </w:r>
      <w:r w:rsidR="00FE44BD">
        <w:t>-</w:t>
      </w:r>
      <w:r w:rsidRPr="00851758">
        <w:t>worth and less financial stress</w:t>
      </w:r>
      <w:r>
        <w:t xml:space="preserve">, </w:t>
      </w:r>
      <w:r w:rsidRPr="00851758">
        <w:t>improving their quality of life</w:t>
      </w:r>
      <w:r>
        <w:t>.</w:t>
      </w:r>
    </w:p>
    <w:p w14:paraId="6A74926D" w14:textId="1F2ECECB" w:rsidR="00963008" w:rsidRPr="003C0A2F" w:rsidRDefault="00963008" w:rsidP="009914F6">
      <w:pPr>
        <w:pStyle w:val="VCAAHeading3"/>
      </w:pPr>
      <w:r w:rsidRPr="003C0A2F">
        <w:t xml:space="preserve">Question </w:t>
      </w:r>
      <w:r>
        <w:t>3a</w:t>
      </w:r>
      <w:r w:rsidRPr="003C0A2F">
        <w:t>.</w:t>
      </w:r>
    </w:p>
    <w:tbl>
      <w:tblPr>
        <w:tblStyle w:val="VCAATableClosed"/>
        <w:tblW w:w="0" w:type="auto"/>
        <w:tblInd w:w="142" w:type="dxa"/>
        <w:tblLook w:val="04A0" w:firstRow="1" w:lastRow="0" w:firstColumn="1" w:lastColumn="0" w:noHBand="0" w:noVBand="1"/>
      </w:tblPr>
      <w:tblGrid>
        <w:gridCol w:w="720"/>
        <w:gridCol w:w="576"/>
        <w:gridCol w:w="576"/>
        <w:gridCol w:w="576"/>
        <w:gridCol w:w="576"/>
        <w:gridCol w:w="1008"/>
      </w:tblGrid>
      <w:tr w:rsidR="00963008" w:rsidRPr="003C0A2F" w14:paraId="223CAC38"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15223D56" w14:textId="77777777" w:rsidR="00963008" w:rsidRPr="003C0A2F" w:rsidRDefault="00963008" w:rsidP="00AE7682">
            <w:pPr>
              <w:pStyle w:val="VCAAtablecondensedheading"/>
              <w:rPr>
                <w:lang w:val="en-AU"/>
              </w:rPr>
            </w:pPr>
            <w:r w:rsidRPr="003C0A2F">
              <w:rPr>
                <w:lang w:val="en-AU"/>
              </w:rPr>
              <w:t>Marks</w:t>
            </w:r>
          </w:p>
        </w:tc>
        <w:tc>
          <w:tcPr>
            <w:tcW w:w="576" w:type="dxa"/>
          </w:tcPr>
          <w:p w14:paraId="5D97C8A2" w14:textId="77777777" w:rsidR="00963008" w:rsidRPr="003C0A2F" w:rsidRDefault="00963008" w:rsidP="00AE7682">
            <w:pPr>
              <w:pStyle w:val="VCAAtablecondensedheading"/>
              <w:rPr>
                <w:lang w:val="en-AU"/>
              </w:rPr>
            </w:pPr>
            <w:r w:rsidRPr="003C0A2F">
              <w:rPr>
                <w:lang w:val="en-AU"/>
              </w:rPr>
              <w:t>0</w:t>
            </w:r>
          </w:p>
        </w:tc>
        <w:tc>
          <w:tcPr>
            <w:tcW w:w="576" w:type="dxa"/>
          </w:tcPr>
          <w:p w14:paraId="22F8D821" w14:textId="77777777" w:rsidR="00963008" w:rsidRPr="003C0A2F" w:rsidRDefault="00963008" w:rsidP="00AE7682">
            <w:pPr>
              <w:pStyle w:val="VCAAtablecondensedheading"/>
              <w:rPr>
                <w:lang w:val="en-AU"/>
              </w:rPr>
            </w:pPr>
            <w:r w:rsidRPr="003C0A2F">
              <w:rPr>
                <w:lang w:val="en-AU"/>
              </w:rPr>
              <w:t>1</w:t>
            </w:r>
          </w:p>
        </w:tc>
        <w:tc>
          <w:tcPr>
            <w:tcW w:w="576" w:type="dxa"/>
          </w:tcPr>
          <w:p w14:paraId="3F882555" w14:textId="77777777" w:rsidR="00963008" w:rsidRPr="003C0A2F" w:rsidRDefault="00963008" w:rsidP="00AE7682">
            <w:pPr>
              <w:pStyle w:val="VCAAtablecondensedheading"/>
              <w:rPr>
                <w:lang w:val="en-AU"/>
              </w:rPr>
            </w:pPr>
            <w:r w:rsidRPr="003C0A2F">
              <w:rPr>
                <w:lang w:val="en-AU"/>
              </w:rPr>
              <w:t>2</w:t>
            </w:r>
          </w:p>
        </w:tc>
        <w:tc>
          <w:tcPr>
            <w:tcW w:w="576" w:type="dxa"/>
          </w:tcPr>
          <w:p w14:paraId="650D0252" w14:textId="77777777" w:rsidR="00963008" w:rsidRPr="003C0A2F" w:rsidRDefault="00963008" w:rsidP="00AE7682">
            <w:pPr>
              <w:pStyle w:val="VCAAtablecondensedheading"/>
              <w:rPr>
                <w:lang w:val="en-AU"/>
              </w:rPr>
            </w:pPr>
            <w:r w:rsidRPr="003C0A2F">
              <w:rPr>
                <w:lang w:val="en-AU"/>
              </w:rPr>
              <w:t>3</w:t>
            </w:r>
          </w:p>
        </w:tc>
        <w:tc>
          <w:tcPr>
            <w:tcW w:w="1008" w:type="dxa"/>
          </w:tcPr>
          <w:p w14:paraId="3F1EF8D4" w14:textId="77777777" w:rsidR="00963008" w:rsidRPr="003C0A2F" w:rsidRDefault="00963008" w:rsidP="00AE7682">
            <w:pPr>
              <w:pStyle w:val="VCAAtablecondensedheading"/>
              <w:rPr>
                <w:lang w:val="en-AU"/>
              </w:rPr>
            </w:pPr>
            <w:r w:rsidRPr="003C0A2F">
              <w:rPr>
                <w:lang w:val="en-AU"/>
              </w:rPr>
              <w:t>Average</w:t>
            </w:r>
          </w:p>
        </w:tc>
      </w:tr>
      <w:tr w:rsidR="00FC7491" w:rsidRPr="003C0A2F" w14:paraId="4326D74A" w14:textId="77777777" w:rsidTr="0052782F">
        <w:tc>
          <w:tcPr>
            <w:tcW w:w="720" w:type="dxa"/>
          </w:tcPr>
          <w:p w14:paraId="0CA79399" w14:textId="77777777" w:rsidR="00FC7491" w:rsidRPr="003C0A2F" w:rsidRDefault="00FC7491" w:rsidP="00FC7491">
            <w:pPr>
              <w:pStyle w:val="VCAAtablecondensed"/>
              <w:rPr>
                <w:lang w:val="en-AU"/>
              </w:rPr>
            </w:pPr>
            <w:r w:rsidRPr="003C0A2F">
              <w:rPr>
                <w:lang w:val="en-AU"/>
              </w:rPr>
              <w:t>%</w:t>
            </w:r>
          </w:p>
        </w:tc>
        <w:tc>
          <w:tcPr>
            <w:tcW w:w="576" w:type="dxa"/>
          </w:tcPr>
          <w:p w14:paraId="13D6115A" w14:textId="3C6AE8D3" w:rsidR="00FC7491" w:rsidRPr="003C0A2F" w:rsidRDefault="00DC2149" w:rsidP="00FC7491">
            <w:pPr>
              <w:pStyle w:val="VCAAtablecondensed"/>
              <w:rPr>
                <w:lang w:val="en-AU"/>
              </w:rPr>
            </w:pPr>
            <w:r>
              <w:t>20</w:t>
            </w:r>
          </w:p>
        </w:tc>
        <w:tc>
          <w:tcPr>
            <w:tcW w:w="576" w:type="dxa"/>
          </w:tcPr>
          <w:p w14:paraId="16646916" w14:textId="6C72CAE7" w:rsidR="00FC7491" w:rsidRPr="003C0A2F" w:rsidRDefault="00FC7491" w:rsidP="00FC7491">
            <w:pPr>
              <w:pStyle w:val="VCAAtablecondensed"/>
              <w:rPr>
                <w:lang w:val="en-AU"/>
              </w:rPr>
            </w:pPr>
            <w:r w:rsidRPr="0081667B">
              <w:t>2</w:t>
            </w:r>
            <w:r w:rsidR="00DC2149">
              <w:t>2</w:t>
            </w:r>
          </w:p>
        </w:tc>
        <w:tc>
          <w:tcPr>
            <w:tcW w:w="576" w:type="dxa"/>
          </w:tcPr>
          <w:p w14:paraId="25203E18" w14:textId="0ADF0179" w:rsidR="00FC7491" w:rsidRPr="003C0A2F" w:rsidRDefault="00FC7491" w:rsidP="00FC7491">
            <w:pPr>
              <w:pStyle w:val="VCAAtablecondensed"/>
              <w:rPr>
                <w:lang w:val="en-AU"/>
              </w:rPr>
            </w:pPr>
            <w:r w:rsidRPr="0081667B">
              <w:t>22</w:t>
            </w:r>
          </w:p>
        </w:tc>
        <w:tc>
          <w:tcPr>
            <w:tcW w:w="576" w:type="dxa"/>
          </w:tcPr>
          <w:p w14:paraId="60FAF509" w14:textId="284834AF" w:rsidR="00FC7491" w:rsidRPr="003C0A2F" w:rsidRDefault="00FC7491" w:rsidP="00FC7491">
            <w:pPr>
              <w:pStyle w:val="VCAAtablecondensed"/>
              <w:rPr>
                <w:lang w:val="en-AU"/>
              </w:rPr>
            </w:pPr>
            <w:r w:rsidRPr="0081667B">
              <w:t>36</w:t>
            </w:r>
          </w:p>
        </w:tc>
        <w:tc>
          <w:tcPr>
            <w:tcW w:w="1008" w:type="dxa"/>
          </w:tcPr>
          <w:p w14:paraId="16973DB4" w14:textId="56BEECD7" w:rsidR="00FC7491" w:rsidRPr="003C0A2F" w:rsidRDefault="00FC7491" w:rsidP="00FC7491">
            <w:pPr>
              <w:pStyle w:val="VCAAtablecondensed"/>
              <w:rPr>
                <w:lang w:val="en-AU"/>
              </w:rPr>
            </w:pPr>
            <w:bookmarkStart w:id="4" w:name="_Hlk325088441"/>
            <w:bookmarkEnd w:id="4"/>
            <w:r w:rsidRPr="0081667B">
              <w:t>1.8</w:t>
            </w:r>
          </w:p>
        </w:tc>
      </w:tr>
    </w:tbl>
    <w:p w14:paraId="449F371A" w14:textId="458AC76C" w:rsidR="007632F4" w:rsidRPr="00104DDD" w:rsidRDefault="00963648" w:rsidP="00104DDD">
      <w:pPr>
        <w:pStyle w:val="VCAAbody"/>
      </w:pPr>
      <w:r w:rsidRPr="00104DDD">
        <w:t xml:space="preserve">In </w:t>
      </w:r>
      <w:r w:rsidR="003A3B01">
        <w:t>view</w:t>
      </w:r>
      <w:r w:rsidR="003A3B01" w:rsidRPr="00104DDD">
        <w:t xml:space="preserve"> </w:t>
      </w:r>
      <w:r w:rsidRPr="00104DDD">
        <w:t xml:space="preserve">of </w:t>
      </w:r>
      <w:r w:rsidR="0098460F">
        <w:t xml:space="preserve">incorrect labelling within </w:t>
      </w:r>
      <w:r w:rsidRPr="00104DDD">
        <w:t>the table (e.g. the 2022</w:t>
      </w:r>
      <w:r w:rsidR="006F64B9">
        <w:t>–</w:t>
      </w:r>
      <w:r w:rsidRPr="00104DDD">
        <w:t>3 and 2023</w:t>
      </w:r>
      <w:r w:rsidR="006F64B9">
        <w:t>–</w:t>
      </w:r>
      <w:r w:rsidRPr="00104DDD">
        <w:t>4 figures were estimates rather than actuals), students were free to focus on the lower budget deficit (or return to surplus) between 2021</w:t>
      </w:r>
      <w:r w:rsidR="006F64B9">
        <w:t>–</w:t>
      </w:r>
      <w:r w:rsidRPr="00104DDD">
        <w:t>22 and 2022</w:t>
      </w:r>
      <w:r w:rsidR="006F64B9">
        <w:t>–</w:t>
      </w:r>
      <w:r w:rsidRPr="00104DDD">
        <w:t>23</w:t>
      </w:r>
      <w:r w:rsidR="007F04AD" w:rsidRPr="00104DDD">
        <w:t>,</w:t>
      </w:r>
      <w:r w:rsidRPr="00104DDD">
        <w:t xml:space="preserve"> or the return to larger estimated deficits from 2023</w:t>
      </w:r>
      <w:r w:rsidR="006F64B9">
        <w:t>–</w:t>
      </w:r>
      <w:r w:rsidRPr="00104DDD">
        <w:t xml:space="preserve">24. </w:t>
      </w:r>
      <w:proofErr w:type="gramStart"/>
      <w:r w:rsidRPr="00104DDD">
        <w:t>In the event that</w:t>
      </w:r>
      <w:proofErr w:type="gramEnd"/>
      <w:r w:rsidRPr="00104DDD">
        <w:t xml:space="preserve"> students referred to the actual budget deficit of $22.1</w:t>
      </w:r>
      <w:r w:rsidR="00361A97">
        <w:t xml:space="preserve"> </w:t>
      </w:r>
      <w:r w:rsidRPr="00104DDD">
        <w:t>b</w:t>
      </w:r>
      <w:r w:rsidR="00361A97">
        <w:t>illion</w:t>
      </w:r>
      <w:r w:rsidRPr="00104DDD">
        <w:t xml:space="preserve"> for 2022</w:t>
      </w:r>
      <w:r w:rsidR="006F64B9">
        <w:t>–</w:t>
      </w:r>
      <w:r w:rsidRPr="00104DDD">
        <w:t>23, instead of the $4.2</w:t>
      </w:r>
      <w:r w:rsidR="00361A97">
        <w:t xml:space="preserve"> </w:t>
      </w:r>
      <w:r w:rsidRPr="00104DDD">
        <w:t>b</w:t>
      </w:r>
      <w:r w:rsidR="00361A97">
        <w:t>illion</w:t>
      </w:r>
      <w:r w:rsidRPr="00104DDD">
        <w:t xml:space="preserve"> from the table, they were </w:t>
      </w:r>
      <w:r w:rsidR="007F04AD" w:rsidRPr="00104DDD">
        <w:t>also rewarded</w:t>
      </w:r>
      <w:r w:rsidRPr="00104DDD">
        <w:t>.</w:t>
      </w:r>
    </w:p>
    <w:p w14:paraId="0CB6653F" w14:textId="3B1304A2" w:rsidR="00963648" w:rsidRPr="00104DDD" w:rsidRDefault="00963648" w:rsidP="00104DDD">
      <w:pPr>
        <w:pStyle w:val="VCAAbody"/>
      </w:pPr>
      <w:r w:rsidRPr="00104DDD">
        <w:t>To achieve full marks, students needed to make accurate and relevant reference to the table</w:t>
      </w:r>
      <w:r w:rsidR="007F04AD" w:rsidRPr="00104DDD">
        <w:t xml:space="preserve"> and</w:t>
      </w:r>
      <w:r w:rsidRPr="00104DDD">
        <w:t xml:space="preserve"> demonstrate an understanding of</w:t>
      </w:r>
      <w:r w:rsidR="007F04AD" w:rsidRPr="00104DDD">
        <w:t xml:space="preserve"> a</w:t>
      </w:r>
      <w:r w:rsidRPr="00104DDD">
        <w:t xml:space="preserve"> budget deficit/surplus</w:t>
      </w:r>
      <w:r w:rsidR="007F04AD" w:rsidRPr="00104DDD">
        <w:t>.</w:t>
      </w:r>
      <w:r w:rsidR="00F87ED6">
        <w:t xml:space="preserve"> </w:t>
      </w:r>
      <w:r w:rsidR="007F04AD" w:rsidRPr="00104DDD">
        <w:t xml:space="preserve">They then needed to </w:t>
      </w:r>
      <w:r w:rsidRPr="00104DDD">
        <w:t xml:space="preserve">make the link between the budget deficit </w:t>
      </w:r>
      <w:r w:rsidR="007F04AD" w:rsidRPr="00104DDD">
        <w:t>and</w:t>
      </w:r>
      <w:r w:rsidRPr="00104DDD">
        <w:t xml:space="preserve"> an accumulation of government debt via borrowing</w:t>
      </w:r>
      <w:r w:rsidR="007F04AD" w:rsidRPr="00104DDD">
        <w:t xml:space="preserve"> and/or link the </w:t>
      </w:r>
      <w:r w:rsidRPr="00104DDD">
        <w:t xml:space="preserve">surplus </w:t>
      </w:r>
      <w:r w:rsidR="007F04AD" w:rsidRPr="00104DDD">
        <w:t xml:space="preserve">to a </w:t>
      </w:r>
      <w:r w:rsidRPr="00104DDD">
        <w:t>reduction in government debt via the repayment of debt.</w:t>
      </w:r>
      <w:r w:rsidR="00F87ED6">
        <w:t xml:space="preserve"> </w:t>
      </w:r>
      <w:r w:rsidRPr="00104DDD">
        <w:t xml:space="preserve">The </w:t>
      </w:r>
      <w:r w:rsidR="00361A97">
        <w:t>highest-scoring responses</w:t>
      </w:r>
      <w:r w:rsidRPr="00104DDD">
        <w:t xml:space="preserve"> were those </w:t>
      </w:r>
      <w:r w:rsidR="00361A97">
        <w:t>that</w:t>
      </w:r>
      <w:r w:rsidRPr="00104DDD">
        <w:t xml:space="preserve"> referred to the movement in the budget outcome over the period and ma</w:t>
      </w:r>
      <w:r w:rsidR="00361A97">
        <w:t>de</w:t>
      </w:r>
      <w:r w:rsidRPr="00104DDD">
        <w:t xml:space="preserve"> a logical connection to the level of public debt.</w:t>
      </w:r>
      <w:r w:rsidR="00F87ED6">
        <w:t xml:space="preserve"> </w:t>
      </w:r>
    </w:p>
    <w:p w14:paraId="7F4BB4E7" w14:textId="5E5C8E3E" w:rsidR="00C41D4F" w:rsidRPr="00104DDD" w:rsidRDefault="00C41D4F" w:rsidP="00104DDD">
      <w:pPr>
        <w:pStyle w:val="VCAAbody"/>
      </w:pPr>
      <w:r w:rsidRPr="00104DDD">
        <w:t xml:space="preserve">Many students </w:t>
      </w:r>
      <w:r w:rsidR="00161360">
        <w:t xml:space="preserve">did not attain full marks due to asserting that </w:t>
      </w:r>
      <w:r w:rsidRPr="00104DDD">
        <w:t>a deficit is related to high public debt and a surplus is related to lower public debt</w:t>
      </w:r>
      <w:r w:rsidR="00A56AF5">
        <w:t>,</w:t>
      </w:r>
      <w:r w:rsidRPr="00104DDD">
        <w:t xml:space="preserve"> without explain</w:t>
      </w:r>
      <w:r w:rsidR="00361A97">
        <w:t>ing</w:t>
      </w:r>
      <w:r w:rsidRPr="00104DDD">
        <w:t xml:space="preserve"> why a deficit leads to an increase in public debt and why a </w:t>
      </w:r>
      <w:proofErr w:type="gramStart"/>
      <w:r w:rsidRPr="00104DDD">
        <w:t>surplus lead</w:t>
      </w:r>
      <w:r w:rsidR="00A56AF5">
        <w:t>s</w:t>
      </w:r>
      <w:proofErr w:type="gramEnd"/>
      <w:r w:rsidRPr="00104DDD">
        <w:t xml:space="preserve"> to a decrease in public debt. Some students misread the table by assuming that the ‘Per cent of GDP’ row represented public debt as a </w:t>
      </w:r>
      <w:r w:rsidR="00361A97">
        <w:t xml:space="preserve">percentage </w:t>
      </w:r>
      <w:r w:rsidRPr="00104DDD">
        <w:t>of GDP.</w:t>
      </w:r>
      <w:r w:rsidR="00F87ED6">
        <w:t xml:space="preserve"> </w:t>
      </w:r>
      <w:r w:rsidRPr="00104DDD">
        <w:t>This made it difficult to achieve full marks.</w:t>
      </w:r>
    </w:p>
    <w:p w14:paraId="2D6C7BFD" w14:textId="0C8520D5" w:rsidR="00C41D4F" w:rsidRPr="00104DDD" w:rsidRDefault="00C41D4F" w:rsidP="00104DDD">
      <w:pPr>
        <w:pStyle w:val="VCAAbody"/>
      </w:pPr>
      <w:r w:rsidRPr="00104DDD">
        <w:t>Some students linked the budget outcomes to net foreign debt rather than the level of public debt and/or argued that deficits mean that the government must sell bonds to overseas investors.</w:t>
      </w:r>
      <w:r w:rsidR="00F87ED6">
        <w:t xml:space="preserve"> </w:t>
      </w:r>
      <w:r w:rsidRPr="00104DDD">
        <w:t xml:space="preserve">Students </w:t>
      </w:r>
      <w:r w:rsidR="00161360">
        <w:t xml:space="preserve">are reminded </w:t>
      </w:r>
      <w:r w:rsidRPr="00104DDD">
        <w:t>that deficits are financed by bond sales to investors (lenders), only some of which are likely to be foreigners.</w:t>
      </w:r>
    </w:p>
    <w:p w14:paraId="47A5C430" w14:textId="5C5A84BB" w:rsidR="00C41D4F" w:rsidRPr="00104DDD" w:rsidRDefault="00C41D4F" w:rsidP="00104DDD">
      <w:pPr>
        <w:pStyle w:val="VCAAbody"/>
      </w:pPr>
      <w:r w:rsidRPr="00104DDD">
        <w:t>Examples of other errors or misconceptions found in responses included:</w:t>
      </w:r>
    </w:p>
    <w:p w14:paraId="1667ED98" w14:textId="25B7DF6A" w:rsidR="00C41D4F" w:rsidRPr="00727C94" w:rsidRDefault="00361A97" w:rsidP="00D75026">
      <w:pPr>
        <w:pStyle w:val="VCAAbullet"/>
      </w:pPr>
      <w:r>
        <w:t>s</w:t>
      </w:r>
      <w:r w:rsidR="00C41D4F" w:rsidRPr="00727C94">
        <w:t>tudents talking about implications of the budget outcomes for the stance of budgetary policy</w:t>
      </w:r>
      <w:r>
        <w:t>; f</w:t>
      </w:r>
      <w:r w:rsidR="00C41D4F" w:rsidRPr="00727C94">
        <w:t xml:space="preserve">or example, </w:t>
      </w:r>
      <w:r w:rsidR="007F04AD" w:rsidRPr="00727C94">
        <w:t>writing</w:t>
      </w:r>
      <w:r w:rsidR="00C41D4F" w:rsidRPr="00727C94">
        <w:t xml:space="preserve"> that the </w:t>
      </w:r>
      <w:r w:rsidR="00A56AF5">
        <w:t>20</w:t>
      </w:r>
      <w:r w:rsidR="00C41D4F" w:rsidRPr="00727C94">
        <w:t>22</w:t>
      </w:r>
      <w:r>
        <w:t>–</w:t>
      </w:r>
      <w:r w:rsidR="00C41D4F" w:rsidRPr="00727C94">
        <w:t xml:space="preserve">23 Budget was contractionary and the </w:t>
      </w:r>
      <w:r w:rsidR="00A56AF5">
        <w:t>20</w:t>
      </w:r>
      <w:r w:rsidR="00C41D4F" w:rsidRPr="00727C94">
        <w:t>23</w:t>
      </w:r>
      <w:r>
        <w:t>–</w:t>
      </w:r>
      <w:r w:rsidR="00C41D4F" w:rsidRPr="00727C94">
        <w:t>24 was expansionary</w:t>
      </w:r>
    </w:p>
    <w:p w14:paraId="5FD5A40B" w14:textId="1A5B826F" w:rsidR="00C41D4F" w:rsidRPr="00727C94" w:rsidRDefault="00361A97" w:rsidP="00D75026">
      <w:pPr>
        <w:pStyle w:val="VCAAbullet"/>
      </w:pPr>
      <w:r>
        <w:t>s</w:t>
      </w:r>
      <w:r w:rsidR="00C41D4F" w:rsidRPr="00727C94">
        <w:t>tudents claiming that the decline in the estimated deficit in 2026</w:t>
      </w:r>
      <w:r>
        <w:t>–</w:t>
      </w:r>
      <w:r w:rsidR="00C41D4F" w:rsidRPr="00727C94">
        <w:t>27 will reduce the level of public debt</w:t>
      </w:r>
      <w:r w:rsidR="007F04AD" w:rsidRPr="00727C94">
        <w:t>,</w:t>
      </w:r>
      <w:r w:rsidR="00C41D4F" w:rsidRPr="00727C94">
        <w:t xml:space="preserve"> when they </w:t>
      </w:r>
      <w:r w:rsidR="00161360">
        <w:t xml:space="preserve">should have said </w:t>
      </w:r>
      <w:r w:rsidR="00C41D4F" w:rsidRPr="00727C94">
        <w:t xml:space="preserve">that it would reduce the </w:t>
      </w:r>
      <w:r w:rsidR="007F04AD" w:rsidRPr="00727C94">
        <w:t>‘</w:t>
      </w:r>
      <w:r w:rsidR="00C41D4F" w:rsidRPr="00727C94">
        <w:t>rate of growth in public debt</w:t>
      </w:r>
      <w:r w:rsidR="007F04AD" w:rsidRPr="00727C94">
        <w:t>’</w:t>
      </w:r>
      <w:r w:rsidR="00C41D4F" w:rsidRPr="00727C94">
        <w:t xml:space="preserve"> (i.e. the level of public debt still increase</w:t>
      </w:r>
      <w:r w:rsidR="007F04AD" w:rsidRPr="00727C94">
        <w:t>s</w:t>
      </w:r>
      <w:r w:rsidR="00C41D4F" w:rsidRPr="00727C94">
        <w:t xml:space="preserve"> in response to a </w:t>
      </w:r>
      <w:r w:rsidR="007F04AD" w:rsidRPr="00727C94">
        <w:t xml:space="preserve">smaller </w:t>
      </w:r>
      <w:proofErr w:type="gramStart"/>
      <w:r w:rsidR="00C41D4F" w:rsidRPr="00727C94">
        <w:t>deficit</w:t>
      </w:r>
      <w:proofErr w:type="gramEnd"/>
      <w:r w:rsidR="00C41D4F" w:rsidRPr="00727C94">
        <w:t xml:space="preserve"> </w:t>
      </w:r>
      <w:r w:rsidR="007F04AD" w:rsidRPr="00727C94">
        <w:t>but it increases at a slower rate</w:t>
      </w:r>
      <w:r w:rsidR="00C41D4F" w:rsidRPr="00727C94">
        <w:t>)</w:t>
      </w:r>
    </w:p>
    <w:p w14:paraId="2203108A" w14:textId="052CE6FB" w:rsidR="00C41D4F" w:rsidRPr="00727C94" w:rsidRDefault="00361A97" w:rsidP="00D75026">
      <w:pPr>
        <w:pStyle w:val="VCAAbullet"/>
      </w:pPr>
      <w:r>
        <w:t>s</w:t>
      </w:r>
      <w:r w:rsidR="00C41D4F" w:rsidRPr="00727C94">
        <w:t xml:space="preserve">ome students </w:t>
      </w:r>
      <w:r w:rsidR="00161360">
        <w:t>wrongly</w:t>
      </w:r>
      <w:r w:rsidR="008636F7">
        <w:t xml:space="preserve"> asserting that</w:t>
      </w:r>
      <w:r w:rsidR="00675EAC" w:rsidRPr="00727C94">
        <w:t>,</w:t>
      </w:r>
      <w:r w:rsidR="00C41D4F" w:rsidRPr="00727C94">
        <w:t xml:space="preserve"> in the presence of a deficit, the government will need to borrow money to reduce the deficit and </w:t>
      </w:r>
      <w:proofErr w:type="gramStart"/>
      <w:r w:rsidR="00C41D4F" w:rsidRPr="00727C94">
        <w:t>enter into</w:t>
      </w:r>
      <w:proofErr w:type="gramEnd"/>
      <w:r w:rsidR="00C41D4F" w:rsidRPr="00727C94">
        <w:t xml:space="preserve"> a surplus, </w:t>
      </w:r>
      <w:r w:rsidR="00161360">
        <w:t xml:space="preserve">and </w:t>
      </w:r>
      <w:r w:rsidR="00C41D4F" w:rsidRPr="00727C94">
        <w:t xml:space="preserve">not </w:t>
      </w:r>
      <w:r w:rsidR="00161360">
        <w:t>indicating</w:t>
      </w:r>
      <w:r w:rsidR="00161360" w:rsidRPr="00727C94">
        <w:t xml:space="preserve"> </w:t>
      </w:r>
      <w:r w:rsidR="00C41D4F" w:rsidRPr="00727C94">
        <w:t>that the borrowing is required to finance the given deficit</w:t>
      </w:r>
      <w:r w:rsidR="008636F7">
        <w:t>.</w:t>
      </w:r>
    </w:p>
    <w:p w14:paraId="7F2BCF20" w14:textId="55900D83" w:rsidR="00C41D4F" w:rsidRPr="00727C94" w:rsidRDefault="00361A97" w:rsidP="00D75026">
      <w:pPr>
        <w:pStyle w:val="VCAAbullet"/>
      </w:pPr>
      <w:r>
        <w:t>s</w:t>
      </w:r>
      <w:r w:rsidR="00C41D4F" w:rsidRPr="00727C94">
        <w:t>ome students confus</w:t>
      </w:r>
      <w:r w:rsidR="00161360">
        <w:t>ed</w:t>
      </w:r>
      <w:r w:rsidR="00C41D4F" w:rsidRPr="00727C94">
        <w:t xml:space="preserve"> the budget deficit with the current account deficit and </w:t>
      </w:r>
      <w:r w:rsidR="00161360">
        <w:t>wrote</w:t>
      </w:r>
      <w:r w:rsidR="00161360" w:rsidRPr="00727C94">
        <w:t xml:space="preserve"> </w:t>
      </w:r>
      <w:r w:rsidR="00C41D4F" w:rsidRPr="00727C94">
        <w:t>about the balance of payments implications (e.g. a deficit must be financed by a CAFA surplus via an increase in Net Foreign Debt).</w:t>
      </w:r>
    </w:p>
    <w:p w14:paraId="0BB63DB1" w14:textId="77777777" w:rsidR="00C41D4F" w:rsidRPr="00104DDD" w:rsidRDefault="00C41D4F" w:rsidP="00104DDD">
      <w:pPr>
        <w:pStyle w:val="VCAAbody"/>
      </w:pPr>
      <w:r w:rsidRPr="00104DDD">
        <w:t xml:space="preserve">The following is an example of a high-scoring response. </w:t>
      </w:r>
    </w:p>
    <w:p w14:paraId="213E7C21" w14:textId="559FF6F0" w:rsidR="00DD4F72" w:rsidRDefault="0082318A" w:rsidP="00361A97">
      <w:pPr>
        <w:pStyle w:val="VCAAstudentresponse"/>
      </w:pPr>
      <w:r w:rsidRPr="0082318A">
        <w:t xml:space="preserve">The underlying budget surplus of $4.2 billion for 2022-23 has indicated that the government’s total revenue received exceeded its total outlays paid. It could use these excess funds to repay outstanding government debt, which would thus reduce the accumulated stock of public debt. However, the budget deficits after 2022-2023, with a deficit of $13.9 billion for 2023-24, indicates that the government’s total outlays paid would then exceed its total receipts received. The government would need to finance their budget deficits through issuing government bonds, to overseas or domestic investors. This borrowing from bond purchases thus increases the level of public debt, as the total value of debt on issue (public debt) increases with a budget deficit. </w:t>
      </w:r>
    </w:p>
    <w:p w14:paraId="4C1C3C4A" w14:textId="19E3C496" w:rsidR="00963008" w:rsidRPr="003C0A2F" w:rsidRDefault="00963008" w:rsidP="009914F6">
      <w:pPr>
        <w:pStyle w:val="VCAAHeading3"/>
      </w:pPr>
      <w:r w:rsidRPr="003C0A2F">
        <w:lastRenderedPageBreak/>
        <w:t>Question 3</w:t>
      </w:r>
      <w:r>
        <w:t>b</w:t>
      </w:r>
      <w:r w:rsidRPr="003C0A2F">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648"/>
        <w:gridCol w:w="709"/>
        <w:gridCol w:w="1134"/>
      </w:tblGrid>
      <w:tr w:rsidR="00963008" w:rsidRPr="003C0A2F" w14:paraId="78E92131"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7241CCAE" w14:textId="77777777" w:rsidR="00963008" w:rsidRPr="003C0A2F" w:rsidRDefault="00963008" w:rsidP="00AE7682">
            <w:pPr>
              <w:pStyle w:val="VCAAtablecondensedheading"/>
              <w:rPr>
                <w:lang w:val="en-AU"/>
              </w:rPr>
            </w:pPr>
            <w:r w:rsidRPr="003C0A2F">
              <w:rPr>
                <w:lang w:val="en-AU"/>
              </w:rPr>
              <w:t>Marks</w:t>
            </w:r>
          </w:p>
        </w:tc>
        <w:tc>
          <w:tcPr>
            <w:tcW w:w="576" w:type="dxa"/>
          </w:tcPr>
          <w:p w14:paraId="61561B55" w14:textId="77777777" w:rsidR="00963008" w:rsidRPr="003C0A2F" w:rsidRDefault="00963008" w:rsidP="00AE7682">
            <w:pPr>
              <w:pStyle w:val="VCAAtablecondensedheading"/>
              <w:rPr>
                <w:lang w:val="en-AU"/>
              </w:rPr>
            </w:pPr>
            <w:r w:rsidRPr="003C0A2F">
              <w:rPr>
                <w:lang w:val="en-AU"/>
              </w:rPr>
              <w:t>0</w:t>
            </w:r>
          </w:p>
        </w:tc>
        <w:tc>
          <w:tcPr>
            <w:tcW w:w="576" w:type="dxa"/>
          </w:tcPr>
          <w:p w14:paraId="3F6369EA" w14:textId="77777777" w:rsidR="00963008" w:rsidRPr="003C0A2F" w:rsidRDefault="00963008" w:rsidP="00AE7682">
            <w:pPr>
              <w:pStyle w:val="VCAAtablecondensedheading"/>
              <w:rPr>
                <w:lang w:val="en-AU"/>
              </w:rPr>
            </w:pPr>
            <w:r w:rsidRPr="003C0A2F">
              <w:rPr>
                <w:lang w:val="en-AU"/>
              </w:rPr>
              <w:t>1</w:t>
            </w:r>
          </w:p>
        </w:tc>
        <w:tc>
          <w:tcPr>
            <w:tcW w:w="576" w:type="dxa"/>
          </w:tcPr>
          <w:p w14:paraId="63E30E45" w14:textId="77777777" w:rsidR="00963008" w:rsidRPr="003C0A2F" w:rsidRDefault="00963008" w:rsidP="00AE7682">
            <w:pPr>
              <w:pStyle w:val="VCAAtablecondensedheading"/>
              <w:rPr>
                <w:lang w:val="en-AU"/>
              </w:rPr>
            </w:pPr>
            <w:r w:rsidRPr="003C0A2F">
              <w:rPr>
                <w:lang w:val="en-AU"/>
              </w:rPr>
              <w:t>2</w:t>
            </w:r>
          </w:p>
        </w:tc>
        <w:tc>
          <w:tcPr>
            <w:tcW w:w="576" w:type="dxa"/>
          </w:tcPr>
          <w:p w14:paraId="18A76C39" w14:textId="77777777" w:rsidR="00963008" w:rsidRPr="003C0A2F" w:rsidRDefault="00963008" w:rsidP="00AE7682">
            <w:pPr>
              <w:pStyle w:val="VCAAtablecondensedheading"/>
              <w:rPr>
                <w:lang w:val="en-AU"/>
              </w:rPr>
            </w:pPr>
            <w:r w:rsidRPr="003C0A2F">
              <w:rPr>
                <w:lang w:val="en-AU"/>
              </w:rPr>
              <w:t>3</w:t>
            </w:r>
          </w:p>
        </w:tc>
        <w:tc>
          <w:tcPr>
            <w:tcW w:w="576" w:type="dxa"/>
          </w:tcPr>
          <w:p w14:paraId="69EF838C" w14:textId="77777777" w:rsidR="00963008" w:rsidRPr="003C0A2F" w:rsidRDefault="00963008" w:rsidP="00AE7682">
            <w:pPr>
              <w:pStyle w:val="VCAAtablecondensedheading"/>
              <w:rPr>
                <w:lang w:val="en-AU"/>
              </w:rPr>
            </w:pPr>
            <w:r w:rsidRPr="003C0A2F">
              <w:rPr>
                <w:lang w:val="en-AU"/>
              </w:rPr>
              <w:t>4</w:t>
            </w:r>
          </w:p>
        </w:tc>
        <w:tc>
          <w:tcPr>
            <w:tcW w:w="648" w:type="dxa"/>
          </w:tcPr>
          <w:p w14:paraId="24967E95" w14:textId="77777777" w:rsidR="00963008" w:rsidRPr="002023D9" w:rsidRDefault="00963008" w:rsidP="002023D9">
            <w:pPr>
              <w:pStyle w:val="VCAAtablecondensedheading"/>
            </w:pPr>
            <w:r w:rsidRPr="002023D9">
              <w:t>5</w:t>
            </w:r>
          </w:p>
        </w:tc>
        <w:tc>
          <w:tcPr>
            <w:tcW w:w="709" w:type="dxa"/>
          </w:tcPr>
          <w:p w14:paraId="3C82E31C" w14:textId="77777777" w:rsidR="00963008" w:rsidRPr="002023D9" w:rsidRDefault="00963008" w:rsidP="002023D9">
            <w:pPr>
              <w:pStyle w:val="VCAAtablecondensedheading"/>
            </w:pPr>
            <w:r w:rsidRPr="002023D9">
              <w:t>6</w:t>
            </w:r>
          </w:p>
        </w:tc>
        <w:tc>
          <w:tcPr>
            <w:tcW w:w="1134" w:type="dxa"/>
          </w:tcPr>
          <w:p w14:paraId="044F7FDE" w14:textId="77777777" w:rsidR="00963008" w:rsidRPr="002023D9" w:rsidRDefault="00963008" w:rsidP="002023D9">
            <w:pPr>
              <w:pStyle w:val="VCAAtablecondensedheading"/>
            </w:pPr>
            <w:r w:rsidRPr="002023D9">
              <w:t>Average</w:t>
            </w:r>
          </w:p>
        </w:tc>
      </w:tr>
      <w:tr w:rsidR="00FC7491" w:rsidRPr="003C0A2F" w14:paraId="25307439" w14:textId="77777777" w:rsidTr="0052782F">
        <w:tc>
          <w:tcPr>
            <w:tcW w:w="720" w:type="dxa"/>
          </w:tcPr>
          <w:p w14:paraId="22AB41D3" w14:textId="77777777" w:rsidR="00FC7491" w:rsidRPr="00161360" w:rsidRDefault="00FC7491" w:rsidP="00FC7491">
            <w:pPr>
              <w:pStyle w:val="VCAAtablecondensed"/>
              <w:rPr>
                <w:lang w:val="en-AU"/>
              </w:rPr>
            </w:pPr>
            <w:r w:rsidRPr="00161360">
              <w:rPr>
                <w:lang w:val="en-AU"/>
              </w:rPr>
              <w:t>%</w:t>
            </w:r>
          </w:p>
        </w:tc>
        <w:tc>
          <w:tcPr>
            <w:tcW w:w="576" w:type="dxa"/>
          </w:tcPr>
          <w:p w14:paraId="1F08FA38" w14:textId="74D12A14" w:rsidR="00FC7491" w:rsidRPr="00161360" w:rsidRDefault="00FC7491" w:rsidP="00FC7491">
            <w:pPr>
              <w:pStyle w:val="VCAAtablecondensed"/>
              <w:rPr>
                <w:lang w:val="en-AU"/>
              </w:rPr>
            </w:pPr>
            <w:r w:rsidRPr="00161360">
              <w:t>1</w:t>
            </w:r>
            <w:r w:rsidR="00DC2149" w:rsidRPr="00161360">
              <w:t>4</w:t>
            </w:r>
          </w:p>
        </w:tc>
        <w:tc>
          <w:tcPr>
            <w:tcW w:w="576" w:type="dxa"/>
          </w:tcPr>
          <w:p w14:paraId="36740385" w14:textId="174839C1" w:rsidR="00FC7491" w:rsidRPr="00161360" w:rsidRDefault="00FC7491" w:rsidP="00FC7491">
            <w:pPr>
              <w:pStyle w:val="VCAAtablecondensed"/>
              <w:rPr>
                <w:lang w:val="en-AU"/>
              </w:rPr>
            </w:pPr>
            <w:r w:rsidRPr="00161360">
              <w:t>15</w:t>
            </w:r>
          </w:p>
        </w:tc>
        <w:tc>
          <w:tcPr>
            <w:tcW w:w="576" w:type="dxa"/>
          </w:tcPr>
          <w:p w14:paraId="1BB7E29B" w14:textId="48DC5796" w:rsidR="00FC7491" w:rsidRPr="00161360" w:rsidRDefault="00DC2149" w:rsidP="00FC7491">
            <w:pPr>
              <w:pStyle w:val="VCAAtablecondensed"/>
              <w:rPr>
                <w:lang w:val="en-AU"/>
              </w:rPr>
            </w:pPr>
            <w:r w:rsidRPr="00161360">
              <w:t>20</w:t>
            </w:r>
          </w:p>
        </w:tc>
        <w:tc>
          <w:tcPr>
            <w:tcW w:w="576" w:type="dxa"/>
          </w:tcPr>
          <w:p w14:paraId="787D0D40" w14:textId="4818F15B" w:rsidR="00FC7491" w:rsidRPr="00161360" w:rsidRDefault="00FC7491" w:rsidP="00FC7491">
            <w:pPr>
              <w:pStyle w:val="VCAAtablecondensed"/>
              <w:rPr>
                <w:lang w:val="en-AU"/>
              </w:rPr>
            </w:pPr>
            <w:r w:rsidRPr="00161360">
              <w:t>1</w:t>
            </w:r>
            <w:r w:rsidR="00DC2149" w:rsidRPr="00161360">
              <w:t>9</w:t>
            </w:r>
          </w:p>
        </w:tc>
        <w:tc>
          <w:tcPr>
            <w:tcW w:w="576" w:type="dxa"/>
          </w:tcPr>
          <w:p w14:paraId="7072523F" w14:textId="7FEFFE0E" w:rsidR="00FC7491" w:rsidRPr="00161360" w:rsidRDefault="00FC7491" w:rsidP="00FC7491">
            <w:pPr>
              <w:pStyle w:val="VCAAtablecondensed"/>
              <w:rPr>
                <w:lang w:val="en-AU"/>
              </w:rPr>
            </w:pPr>
            <w:r w:rsidRPr="00161360">
              <w:t>1</w:t>
            </w:r>
            <w:r w:rsidR="00DC2149" w:rsidRPr="00161360">
              <w:t>6</w:t>
            </w:r>
          </w:p>
        </w:tc>
        <w:tc>
          <w:tcPr>
            <w:tcW w:w="648" w:type="dxa"/>
          </w:tcPr>
          <w:p w14:paraId="6CCA40C8" w14:textId="34F262A9" w:rsidR="00FC7491" w:rsidRPr="00161360" w:rsidRDefault="00FC7491" w:rsidP="00FC7491">
            <w:pPr>
              <w:pStyle w:val="VCAAtablecondensed"/>
              <w:rPr>
                <w:lang w:val="en-AU"/>
              </w:rPr>
            </w:pPr>
            <w:r w:rsidRPr="00161360">
              <w:t>10</w:t>
            </w:r>
          </w:p>
        </w:tc>
        <w:tc>
          <w:tcPr>
            <w:tcW w:w="709" w:type="dxa"/>
          </w:tcPr>
          <w:p w14:paraId="26242946" w14:textId="51BFC5BC" w:rsidR="00FC7491" w:rsidRPr="00161360" w:rsidRDefault="00FC7491" w:rsidP="00FC7491">
            <w:pPr>
              <w:pStyle w:val="VCAAtablecondensed"/>
              <w:rPr>
                <w:lang w:val="en-AU"/>
              </w:rPr>
            </w:pPr>
            <w:r w:rsidRPr="00161360">
              <w:t>7</w:t>
            </w:r>
          </w:p>
        </w:tc>
        <w:tc>
          <w:tcPr>
            <w:tcW w:w="1134" w:type="dxa"/>
          </w:tcPr>
          <w:p w14:paraId="54503C91" w14:textId="45119D0E" w:rsidR="00FC7491" w:rsidRPr="003C0A2F" w:rsidRDefault="00FC7491" w:rsidP="00FC7491">
            <w:pPr>
              <w:pStyle w:val="VCAAtablecondensed"/>
              <w:rPr>
                <w:lang w:val="en-AU"/>
              </w:rPr>
            </w:pPr>
            <w:r w:rsidRPr="00161360">
              <w:t>2.</w:t>
            </w:r>
            <w:r w:rsidR="00DC2149" w:rsidRPr="00161360">
              <w:t>7</w:t>
            </w:r>
          </w:p>
        </w:tc>
      </w:tr>
    </w:tbl>
    <w:p w14:paraId="748E9003" w14:textId="6809B37D" w:rsidR="00675EAC" w:rsidRPr="00104DDD" w:rsidRDefault="002D41DF" w:rsidP="00104DDD">
      <w:pPr>
        <w:pStyle w:val="VCAAbody"/>
      </w:pPr>
      <w:r w:rsidRPr="00104DDD">
        <w:t xml:space="preserve">This question was not handled well by </w:t>
      </w:r>
      <w:proofErr w:type="gramStart"/>
      <w:r w:rsidRPr="00104DDD">
        <w:t>the majority of</w:t>
      </w:r>
      <w:proofErr w:type="gramEnd"/>
      <w:r w:rsidRPr="00104DDD">
        <w:t xml:space="preserve"> students.</w:t>
      </w:r>
      <w:r w:rsidR="00F87ED6">
        <w:t xml:space="preserve"> </w:t>
      </w:r>
      <w:r w:rsidR="00C41D4F" w:rsidRPr="00104DDD">
        <w:t xml:space="preserve">To achieve full marks, students </w:t>
      </w:r>
      <w:r w:rsidR="00161360">
        <w:t>were required</w:t>
      </w:r>
      <w:r w:rsidR="00161360" w:rsidRPr="00104DDD">
        <w:t xml:space="preserve"> </w:t>
      </w:r>
      <w:r w:rsidR="00C41D4F" w:rsidRPr="00104DDD">
        <w:t xml:space="preserve">to identify relevant changes in </w:t>
      </w:r>
      <w:r w:rsidR="00161360">
        <w:t xml:space="preserve">both </w:t>
      </w:r>
      <w:r w:rsidR="00C41D4F" w:rsidRPr="00104DDD">
        <w:t>the unemployment rate and the inflation rate</w:t>
      </w:r>
      <w:r w:rsidR="00161360">
        <w:t>,</w:t>
      </w:r>
      <w:r w:rsidR="00C41D4F" w:rsidRPr="00104DDD">
        <w:t xml:space="preserve"> and </w:t>
      </w:r>
      <w:r w:rsidR="00161360">
        <w:t>then show</w:t>
      </w:r>
      <w:r w:rsidR="00161360" w:rsidRPr="00104DDD">
        <w:t xml:space="preserve"> </w:t>
      </w:r>
      <w:r w:rsidR="00985E62" w:rsidRPr="00104DDD">
        <w:t xml:space="preserve">how each of these </w:t>
      </w:r>
      <w:r w:rsidR="00161360">
        <w:t>affected</w:t>
      </w:r>
      <w:r w:rsidR="00161360" w:rsidRPr="00104DDD">
        <w:t xml:space="preserve"> </w:t>
      </w:r>
      <w:r w:rsidR="00161360">
        <w:t xml:space="preserve">both </w:t>
      </w:r>
      <w:r w:rsidR="00C41D4F" w:rsidRPr="00104DDD">
        <w:t>the stance of monetary policy and the stance of budgetary policy.</w:t>
      </w:r>
      <w:r w:rsidR="00F87ED6">
        <w:t xml:space="preserve"> </w:t>
      </w:r>
      <w:r w:rsidR="00F60FBC" w:rsidRPr="00104DDD">
        <w:t xml:space="preserve">The </w:t>
      </w:r>
      <w:r w:rsidR="00FB0D52">
        <w:t>highest-scoring</w:t>
      </w:r>
      <w:r w:rsidR="00F60FBC" w:rsidRPr="00104DDD">
        <w:t xml:space="preserve"> responses included </w:t>
      </w:r>
      <w:r w:rsidR="00161360">
        <w:t xml:space="preserve">both </w:t>
      </w:r>
      <w:r w:rsidR="00F60FBC" w:rsidRPr="00104DDD">
        <w:t xml:space="preserve">the most recent unemployment and inflation statistics, </w:t>
      </w:r>
      <w:proofErr w:type="gramStart"/>
      <w:r w:rsidR="00F60FBC" w:rsidRPr="00104DDD">
        <w:t xml:space="preserve">and </w:t>
      </w:r>
      <w:r w:rsidR="00161360">
        <w:t>also</w:t>
      </w:r>
      <w:proofErr w:type="gramEnd"/>
      <w:r w:rsidR="00161360">
        <w:t xml:space="preserve"> cited </w:t>
      </w:r>
      <w:r w:rsidR="00F60FBC" w:rsidRPr="00104DDD">
        <w:t>the current cash (interest) rate and the underlying budget balance for either 2022</w:t>
      </w:r>
      <w:r w:rsidR="00FB0D52">
        <w:t>–</w:t>
      </w:r>
      <w:r w:rsidR="00F60FBC" w:rsidRPr="00104DDD">
        <w:t>23 or 2023</w:t>
      </w:r>
      <w:r w:rsidR="00FB0D52">
        <w:t>–</w:t>
      </w:r>
      <w:r w:rsidR="00F60FBC" w:rsidRPr="00104DDD">
        <w:t>24.</w:t>
      </w:r>
    </w:p>
    <w:p w14:paraId="5488DF2E" w14:textId="1B4792E8" w:rsidR="00C41D4F" w:rsidRPr="00104DDD" w:rsidRDefault="00C41D4F" w:rsidP="00FB0D52">
      <w:pPr>
        <w:pStyle w:val="VCAAbody"/>
      </w:pPr>
      <w:r w:rsidRPr="00104DDD">
        <w:t xml:space="preserve">While students </w:t>
      </w:r>
      <w:r w:rsidR="00985E62" w:rsidRPr="00104DDD">
        <w:t>were</w:t>
      </w:r>
      <w:r w:rsidRPr="00104DDD">
        <w:t xml:space="preserve"> expected to </w:t>
      </w:r>
      <w:r w:rsidR="00985E62" w:rsidRPr="00104DDD">
        <w:t xml:space="preserve">analyse how the very low rate of unemployment and high rate of inflation contributed to the delivery of a more restrictive/contractionary monetary policy stance (e.g. via an increase in the target cash rate to </w:t>
      </w:r>
      <w:r w:rsidRPr="00104DDD">
        <w:t>4.10%</w:t>
      </w:r>
      <w:r w:rsidR="00985E62" w:rsidRPr="00104DDD">
        <w:t>)</w:t>
      </w:r>
      <w:r w:rsidRPr="00104DDD">
        <w:t xml:space="preserve">, they </w:t>
      </w:r>
      <w:r w:rsidR="00985E62" w:rsidRPr="00104DDD">
        <w:t xml:space="preserve">had flexibility to </w:t>
      </w:r>
      <w:r w:rsidRPr="00104DDD">
        <w:t>focus on either the 2022</w:t>
      </w:r>
      <w:r w:rsidR="00FB0D52">
        <w:t>–</w:t>
      </w:r>
      <w:r w:rsidRPr="00104DDD">
        <w:t xml:space="preserve">23 Budget </w:t>
      </w:r>
      <w:r w:rsidR="00985E62" w:rsidRPr="00104DDD">
        <w:t>or</w:t>
      </w:r>
      <w:r w:rsidRPr="00104DDD">
        <w:t xml:space="preserve"> the 2023</w:t>
      </w:r>
      <w:r w:rsidR="00FB0D52">
        <w:t>–</w:t>
      </w:r>
      <w:r w:rsidRPr="00104DDD">
        <w:t>24 Budget</w:t>
      </w:r>
      <w:r w:rsidR="00985E62" w:rsidRPr="00104DDD">
        <w:t xml:space="preserve">. </w:t>
      </w:r>
      <w:r w:rsidR="00161360">
        <w:t>Students</w:t>
      </w:r>
      <w:r w:rsidR="00161360" w:rsidRPr="00104DDD">
        <w:t xml:space="preserve"> </w:t>
      </w:r>
      <w:r w:rsidR="00985E62" w:rsidRPr="00104DDD">
        <w:t xml:space="preserve">could </w:t>
      </w:r>
      <w:r w:rsidR="00161360">
        <w:t xml:space="preserve">potentially </w:t>
      </w:r>
      <w:r w:rsidR="00985E62" w:rsidRPr="00104DDD">
        <w:t xml:space="preserve">have achieved full marks </w:t>
      </w:r>
      <w:r w:rsidR="00161360">
        <w:t>through</w:t>
      </w:r>
      <w:r w:rsidR="00161360" w:rsidRPr="00104DDD">
        <w:t xml:space="preserve"> </w:t>
      </w:r>
      <w:r w:rsidR="00985E62" w:rsidRPr="00104DDD">
        <w:t xml:space="preserve">arguing that the stance became more expansionary or contractionary. </w:t>
      </w:r>
      <w:r w:rsidR="00B849B0" w:rsidRPr="00104DDD">
        <w:t xml:space="preserve">Alternatively, </w:t>
      </w:r>
      <w:r w:rsidR="00985E62" w:rsidRPr="00104DDD">
        <w:t xml:space="preserve">they could have focused on the impact that </w:t>
      </w:r>
      <w:r w:rsidR="00161360">
        <w:t xml:space="preserve">a </w:t>
      </w:r>
      <w:r w:rsidR="00985E62" w:rsidRPr="00104DDD">
        <w:t xml:space="preserve">low </w:t>
      </w:r>
      <w:r w:rsidR="008636F7">
        <w:t>unemployment rate</w:t>
      </w:r>
      <w:r w:rsidR="008636F7" w:rsidRPr="00104DDD">
        <w:t xml:space="preserve"> </w:t>
      </w:r>
      <w:r w:rsidR="00985E62" w:rsidRPr="00104DDD">
        <w:t xml:space="preserve">and high inflation </w:t>
      </w:r>
      <w:r w:rsidR="008636F7">
        <w:t xml:space="preserve">rate </w:t>
      </w:r>
      <w:r w:rsidR="00985E62" w:rsidRPr="00104DDD">
        <w:t xml:space="preserve">had on </w:t>
      </w:r>
      <w:r w:rsidR="00FB0D52">
        <w:t xml:space="preserve">the </w:t>
      </w:r>
      <w:r w:rsidR="00985E62" w:rsidRPr="00104DDD">
        <w:t xml:space="preserve">stance of recent budgets </w:t>
      </w:r>
      <w:r w:rsidR="00675EAC" w:rsidRPr="00104DDD">
        <w:t xml:space="preserve">(e.g. </w:t>
      </w:r>
      <w:r w:rsidR="00985E62" w:rsidRPr="00104DDD">
        <w:t>the government delivering cost of living relief for households</w:t>
      </w:r>
      <w:r w:rsidR="00675EAC" w:rsidRPr="00104DDD">
        <w:t xml:space="preserve"> in the 2023</w:t>
      </w:r>
      <w:r w:rsidR="00FB0D52">
        <w:t>–</w:t>
      </w:r>
      <w:r w:rsidR="00675EAC" w:rsidRPr="00104DDD">
        <w:t>24 Budget).</w:t>
      </w:r>
      <w:r w:rsidR="00985E62" w:rsidRPr="00104DDD">
        <w:t xml:space="preserve"> </w:t>
      </w:r>
      <w:r w:rsidR="00675EAC" w:rsidRPr="00104DDD">
        <w:t>Overall, some f</w:t>
      </w:r>
      <w:r w:rsidR="00985E62" w:rsidRPr="00104DDD">
        <w:t>lexibility was afforded to students when assessing responses to this question and assessors focused on the argument made or justification provided</w:t>
      </w:r>
      <w:r w:rsidR="00FB0D52">
        <w:t>.</w:t>
      </w:r>
      <w:r w:rsidR="00F87ED6">
        <w:t xml:space="preserve"> </w:t>
      </w:r>
    </w:p>
    <w:p w14:paraId="1D8DC7F1" w14:textId="00ADEE16" w:rsidR="0082318A" w:rsidRPr="00104DDD" w:rsidRDefault="00985E62" w:rsidP="00104DDD">
      <w:pPr>
        <w:pStyle w:val="VCAAbody"/>
      </w:pPr>
      <w:r w:rsidRPr="00104DDD">
        <w:t xml:space="preserve">Most students were able to identify the relatively high rate of inflation in Australia (albeit falling) and the relatively low rate of unemployment and the implications this had for </w:t>
      </w:r>
      <w:r w:rsidR="00FB0D52">
        <w:t xml:space="preserve">a </w:t>
      </w:r>
      <w:r w:rsidRPr="00104DDD">
        <w:t>stance of monetary policy.</w:t>
      </w:r>
      <w:r w:rsidR="00F87ED6">
        <w:t xml:space="preserve"> </w:t>
      </w:r>
      <w:r w:rsidRPr="00104DDD">
        <w:t xml:space="preserve">They </w:t>
      </w:r>
      <w:r w:rsidR="005209D2">
        <w:t>recognised</w:t>
      </w:r>
      <w:r w:rsidRPr="00104DDD">
        <w:t xml:space="preserve"> that the RBA was focused primarily on restraining growth in </w:t>
      </w:r>
      <w:r w:rsidRPr="00F64C16">
        <w:t>AD</w:t>
      </w:r>
      <w:r w:rsidRPr="00104DDD">
        <w:t xml:space="preserve"> </w:t>
      </w:r>
      <w:proofErr w:type="gramStart"/>
      <w:r w:rsidRPr="00104DDD">
        <w:t xml:space="preserve">in order </w:t>
      </w:r>
      <w:r w:rsidR="00FB0D52">
        <w:t>to</w:t>
      </w:r>
      <w:proofErr w:type="gramEnd"/>
      <w:r w:rsidR="00FB0D52">
        <w:t xml:space="preserve"> </w:t>
      </w:r>
      <w:r w:rsidRPr="00104DDD">
        <w:t>reduce inflation back into the target range, without the need to be concerned about the potential impact on unemployment given that the rate of unemployment was below NAIRU</w:t>
      </w:r>
      <w:r w:rsidR="00675EAC" w:rsidRPr="00104DDD">
        <w:t xml:space="preserve"> and contributing to further inflationary pressures</w:t>
      </w:r>
      <w:r w:rsidRPr="00104DDD">
        <w:t>.</w:t>
      </w:r>
      <w:r w:rsidR="00F87ED6">
        <w:t xml:space="preserve"> </w:t>
      </w:r>
      <w:r w:rsidRPr="00104DDD">
        <w:t xml:space="preserve">However, </w:t>
      </w:r>
      <w:r w:rsidR="005209D2">
        <w:t xml:space="preserve">many </w:t>
      </w:r>
      <w:r w:rsidRPr="00104DDD">
        <w:t xml:space="preserve">students </w:t>
      </w:r>
      <w:r w:rsidR="005209D2">
        <w:t>did not</w:t>
      </w:r>
      <w:r w:rsidRPr="00104DDD">
        <w:t xml:space="preserve"> draw the implications of low unemployment and high inflation for the budgetary policy </w:t>
      </w:r>
      <w:r w:rsidR="002D0C2D" w:rsidRPr="00104DDD">
        <w:t>stance</w:t>
      </w:r>
      <w:r w:rsidRPr="00104DDD">
        <w:t>.</w:t>
      </w:r>
      <w:r w:rsidR="00F87ED6">
        <w:t xml:space="preserve"> </w:t>
      </w:r>
      <w:r w:rsidR="005209D2">
        <w:t xml:space="preserve">Many students focused </w:t>
      </w:r>
      <w:r w:rsidRPr="00104DDD">
        <w:t xml:space="preserve">on the movement in the budget outcome (e.g. referring to the table in </w:t>
      </w:r>
      <w:r w:rsidR="00F44A27">
        <w:t>part</w:t>
      </w:r>
      <w:r w:rsidRPr="00104DDD">
        <w:t xml:space="preserve"> a</w:t>
      </w:r>
      <w:r w:rsidR="00F44A27">
        <w:t>.</w:t>
      </w:r>
      <w:r w:rsidRPr="00104DDD">
        <w:t xml:space="preserve">) </w:t>
      </w:r>
      <w:r w:rsidR="00A56AF5">
        <w:t xml:space="preserve">and </w:t>
      </w:r>
      <w:r w:rsidR="005209D2">
        <w:t xml:space="preserve">linked this </w:t>
      </w:r>
      <w:r w:rsidRPr="00104DDD">
        <w:t xml:space="preserve">to a </w:t>
      </w:r>
      <w:proofErr w:type="gramStart"/>
      <w:r w:rsidRPr="00104DDD">
        <w:t>more or less expansionary</w:t>
      </w:r>
      <w:proofErr w:type="gramEnd"/>
      <w:r w:rsidRPr="00104DDD">
        <w:t xml:space="preserve"> stance</w:t>
      </w:r>
      <w:r w:rsidR="00675EAC" w:rsidRPr="00104DDD">
        <w:t>,</w:t>
      </w:r>
      <w:r w:rsidRPr="00104DDD">
        <w:t xml:space="preserve"> without </w:t>
      </w:r>
      <w:r w:rsidR="005209D2">
        <w:t>reference</w:t>
      </w:r>
      <w:r w:rsidR="005209D2" w:rsidRPr="00104DDD">
        <w:t xml:space="preserve"> </w:t>
      </w:r>
      <w:r w:rsidRPr="00104DDD">
        <w:t>to the implications of low unemployment and high inflation.</w:t>
      </w:r>
      <w:r w:rsidR="00F87ED6">
        <w:t xml:space="preserve"> </w:t>
      </w:r>
      <w:r w:rsidRPr="00104DDD">
        <w:t xml:space="preserve">The </w:t>
      </w:r>
      <w:r w:rsidR="00F44A27">
        <w:t>highest-scoring responses</w:t>
      </w:r>
      <w:r w:rsidR="00A56AF5">
        <w:t xml:space="preserve"> were</w:t>
      </w:r>
      <w:r w:rsidRPr="00104DDD">
        <w:t xml:space="preserve"> able to </w:t>
      </w:r>
      <w:r w:rsidR="005209D2">
        <w:t>link the</w:t>
      </w:r>
      <w:r w:rsidRPr="00104DDD">
        <w:t xml:space="preserve"> low unemployment rate and high inflation rate to a change in budgetary policy settings (e.g. the movement in the cyclical or structural components of the budget) before </w:t>
      </w:r>
      <w:r w:rsidR="005209D2">
        <w:t>making relevant comment about</w:t>
      </w:r>
      <w:r w:rsidRPr="00104DDD">
        <w:t xml:space="preserve"> the implications this had for the stance of budgetary policy.</w:t>
      </w:r>
      <w:r w:rsidR="00B849B0" w:rsidRPr="00104DDD">
        <w:t xml:space="preserve"> </w:t>
      </w:r>
    </w:p>
    <w:p w14:paraId="61891B2C" w14:textId="2DE5E4FC" w:rsidR="007632F4" w:rsidRPr="00104DDD" w:rsidRDefault="005209D2" w:rsidP="00104DDD">
      <w:pPr>
        <w:pStyle w:val="VCAAbody"/>
      </w:pPr>
      <w:r>
        <w:t>High</w:t>
      </w:r>
      <w:r w:rsidR="00DC5AE2">
        <w:t>-</w:t>
      </w:r>
      <w:r>
        <w:t>scoring</w:t>
      </w:r>
      <w:r w:rsidR="00B849B0" w:rsidRPr="00104DDD">
        <w:t xml:space="preserve"> responses </w:t>
      </w:r>
      <w:r w:rsidR="00314AD9">
        <w:t>often noted</w:t>
      </w:r>
      <w:r w:rsidR="00BC6849" w:rsidRPr="00104DDD">
        <w:t xml:space="preserve"> the 2022</w:t>
      </w:r>
      <w:r w:rsidR="00F44A27">
        <w:t>–</w:t>
      </w:r>
      <w:r w:rsidR="00BC6849" w:rsidRPr="00104DDD">
        <w:t>23 Budget</w:t>
      </w:r>
      <w:r w:rsidR="00314AD9">
        <w:t>. I</w:t>
      </w:r>
      <w:r>
        <w:t xml:space="preserve">n </w:t>
      </w:r>
      <w:r w:rsidR="00314AD9">
        <w:t xml:space="preserve">such </w:t>
      </w:r>
      <w:r>
        <w:t>cases</w:t>
      </w:r>
      <w:r w:rsidR="00314AD9">
        <w:t>,</w:t>
      </w:r>
      <w:r w:rsidRPr="00104DDD">
        <w:t xml:space="preserve"> </w:t>
      </w:r>
      <w:r w:rsidR="00B849B0" w:rsidRPr="00104DDD">
        <w:t xml:space="preserve">students focused on the cyclical component of the budget and successfully argued that low unemployment and high inflation increased personal income tax collections as </w:t>
      </w:r>
      <w:r>
        <w:t xml:space="preserve">a combination of </w:t>
      </w:r>
      <w:r w:rsidR="00B849B0" w:rsidRPr="00104DDD">
        <w:t xml:space="preserve">more people </w:t>
      </w:r>
      <w:r>
        <w:t>being</w:t>
      </w:r>
      <w:r w:rsidRPr="00104DDD">
        <w:t xml:space="preserve"> </w:t>
      </w:r>
      <w:r w:rsidR="00B849B0" w:rsidRPr="00104DDD">
        <w:t>employed and earn</w:t>
      </w:r>
      <w:r>
        <w:t xml:space="preserve">ing </w:t>
      </w:r>
      <w:r w:rsidR="00B849B0" w:rsidRPr="00104DDD">
        <w:t xml:space="preserve">a factor income </w:t>
      </w:r>
      <w:r>
        <w:t>with</w:t>
      </w:r>
      <w:r w:rsidR="005D3BE2" w:rsidRPr="00104DDD">
        <w:t xml:space="preserve"> the </w:t>
      </w:r>
      <w:r w:rsidR="00B849B0" w:rsidRPr="00104DDD">
        <w:t>effects of ‘bracket creep’</w:t>
      </w:r>
      <w:proofErr w:type="gramStart"/>
      <w:r w:rsidR="00B849B0" w:rsidRPr="00104DDD">
        <w:t>/</w:t>
      </w:r>
      <w:r w:rsidR="00F44A27">
        <w:t>‘</w:t>
      </w:r>
      <w:proofErr w:type="gramEnd"/>
      <w:r w:rsidR="00B849B0" w:rsidRPr="00104DDD">
        <w:t>fiscal drag</w:t>
      </w:r>
      <w:r w:rsidR="00F44A27">
        <w:t>’.</w:t>
      </w:r>
      <w:r w:rsidR="005D3BE2" w:rsidRPr="00104DDD">
        <w:t xml:space="preserve"> </w:t>
      </w:r>
      <w:r>
        <w:t>High</w:t>
      </w:r>
      <w:r w:rsidR="00DC5AE2">
        <w:t>-</w:t>
      </w:r>
      <w:r>
        <w:t>scoring responses</w:t>
      </w:r>
      <w:r w:rsidRPr="00104DDD">
        <w:t xml:space="preserve"> </w:t>
      </w:r>
      <w:r>
        <w:t>tended to show</w:t>
      </w:r>
      <w:r w:rsidR="005D3BE2" w:rsidRPr="00104DDD">
        <w:t xml:space="preserve"> that government outlays on </w:t>
      </w:r>
      <w:proofErr w:type="spellStart"/>
      <w:r w:rsidR="005D3BE2" w:rsidRPr="00104DDD">
        <w:t>JobSeeker</w:t>
      </w:r>
      <w:proofErr w:type="spellEnd"/>
      <w:r w:rsidR="005D3BE2" w:rsidRPr="00104DDD">
        <w:t xml:space="preserve"> </w:t>
      </w:r>
      <w:r w:rsidR="00F44A27">
        <w:t>p</w:t>
      </w:r>
      <w:r w:rsidR="005D3BE2" w:rsidRPr="00104DDD">
        <w:t>ayments fell as more people secured paid employment</w:t>
      </w:r>
      <w:r w:rsidR="00DC5AE2">
        <w:t xml:space="preserve"> – t</w:t>
      </w:r>
      <w:r w:rsidR="005D3BE2" w:rsidRPr="00104DDD">
        <w:t xml:space="preserve">he combined effect of rising tax collections (leakages from the five circular flow model of incomes) </w:t>
      </w:r>
      <w:r w:rsidR="00BC6849" w:rsidRPr="00104DDD">
        <w:t>and</w:t>
      </w:r>
      <w:r w:rsidR="005D3BE2" w:rsidRPr="00104DDD">
        <w:t xml:space="preserve"> falling government outlays (injections) </w:t>
      </w:r>
      <w:r w:rsidR="00BC6849" w:rsidRPr="00104DDD">
        <w:t>result</w:t>
      </w:r>
      <w:r w:rsidR="002D0C2D" w:rsidRPr="00104DDD">
        <w:t>ing</w:t>
      </w:r>
      <w:r w:rsidR="00BC6849" w:rsidRPr="00104DDD">
        <w:t xml:space="preserve"> in a </w:t>
      </w:r>
      <w:r w:rsidR="002D0C2D" w:rsidRPr="00104DDD">
        <w:t>higher surplus and a ‘cont</w:t>
      </w:r>
      <w:r w:rsidR="00F44A27">
        <w:t>r</w:t>
      </w:r>
      <w:r w:rsidR="002D0C2D" w:rsidRPr="00104DDD">
        <w:t>actionary stance’.</w:t>
      </w:r>
      <w:r w:rsidR="002D0C2D" w:rsidRPr="00104DDD" w:rsidDel="002D0C2D">
        <w:t xml:space="preserve"> </w:t>
      </w:r>
    </w:p>
    <w:p w14:paraId="35147BF2" w14:textId="678E616D" w:rsidR="005D3BE2" w:rsidRPr="00104DDD" w:rsidRDefault="005209D2" w:rsidP="00104DDD">
      <w:pPr>
        <w:pStyle w:val="VCAAbody"/>
      </w:pPr>
      <w:r>
        <w:t>Other</w:t>
      </w:r>
      <w:r w:rsidR="005D3BE2" w:rsidRPr="00104DDD">
        <w:t xml:space="preserve"> </w:t>
      </w:r>
      <w:r>
        <w:t>high</w:t>
      </w:r>
      <w:r w:rsidR="00DC5AE2">
        <w:t>-</w:t>
      </w:r>
      <w:r>
        <w:t xml:space="preserve">scoring </w:t>
      </w:r>
      <w:r w:rsidR="005D3BE2" w:rsidRPr="00104DDD">
        <w:t>responses focused on the structural component of the budget</w:t>
      </w:r>
      <w:r>
        <w:t>, recognising</w:t>
      </w:r>
      <w:r w:rsidR="005D3BE2" w:rsidRPr="00104DDD">
        <w:t xml:space="preserve"> that although the 2023</w:t>
      </w:r>
      <w:r w:rsidR="00F44A27">
        <w:t>–</w:t>
      </w:r>
      <w:r w:rsidR="005D3BE2" w:rsidRPr="00104DDD">
        <w:t xml:space="preserve">24 Budget </w:t>
      </w:r>
      <w:r>
        <w:t>includes</w:t>
      </w:r>
      <w:r w:rsidRPr="00104DDD">
        <w:t xml:space="preserve"> </w:t>
      </w:r>
      <w:r w:rsidR="005D3BE2" w:rsidRPr="00104DDD">
        <w:t xml:space="preserve">an expected deficit of $13.9 billion and </w:t>
      </w:r>
      <w:r>
        <w:t xml:space="preserve">is </w:t>
      </w:r>
      <w:r w:rsidR="002D0C2D" w:rsidRPr="00104DDD">
        <w:t>notionally</w:t>
      </w:r>
      <w:r w:rsidR="005D3BE2" w:rsidRPr="00104DDD">
        <w:t xml:space="preserve"> expansionary, th</w:t>
      </w:r>
      <w:r w:rsidR="00461ECB" w:rsidRPr="00104DDD">
        <w:t xml:space="preserve">e government’s focus </w:t>
      </w:r>
      <w:r w:rsidR="002D0C2D" w:rsidRPr="00104DDD">
        <w:t>was</w:t>
      </w:r>
      <w:r w:rsidR="00461ECB" w:rsidRPr="00104DDD">
        <w:t xml:space="preserve"> directed at providing cost of living pressure relief through discretionary measures such as the $40 per fortnight increase in </w:t>
      </w:r>
      <w:proofErr w:type="spellStart"/>
      <w:r w:rsidR="00461ECB" w:rsidRPr="00104DDD">
        <w:t>JobSeeker</w:t>
      </w:r>
      <w:proofErr w:type="spellEnd"/>
      <w:r w:rsidR="00461ECB" w:rsidRPr="00104DDD">
        <w:t xml:space="preserve"> payments and $3 billion in energy bill relief (given rising electricity and gas prices) to small business and vulnerable households. </w:t>
      </w:r>
      <w:r w:rsidR="00DC5AE2">
        <w:t>They noted that</w:t>
      </w:r>
      <w:r w:rsidR="00461ECB" w:rsidRPr="00104DDD">
        <w:t xml:space="preserve"> the government </w:t>
      </w:r>
      <w:r w:rsidR="002D0C2D" w:rsidRPr="00104DDD">
        <w:t>was</w:t>
      </w:r>
      <w:r w:rsidR="00461ECB" w:rsidRPr="00104DDD">
        <w:t xml:space="preserve"> conscious about not providing too much in the way of stimulus to aggregate demand in an economy grappling with the twin problems of high inflation and overfull employment, with the latter arguably contributing to the former.</w:t>
      </w:r>
    </w:p>
    <w:p w14:paraId="53DFF4C4" w14:textId="79B8CA65" w:rsidR="00FC2F32" w:rsidRPr="00104DDD" w:rsidRDefault="005209D2" w:rsidP="00104DDD">
      <w:pPr>
        <w:pStyle w:val="VCAAbody"/>
      </w:pPr>
      <w:r>
        <w:t>Many</w:t>
      </w:r>
      <w:r w:rsidR="00675EAC" w:rsidRPr="00104DDD">
        <w:t xml:space="preserve"> </w:t>
      </w:r>
      <w:r w:rsidR="00FC2F32" w:rsidRPr="00104DDD">
        <w:t xml:space="preserve">students were able to </w:t>
      </w:r>
      <w:r>
        <w:t xml:space="preserve">successfully </w:t>
      </w:r>
      <w:r w:rsidR="00FC2F32" w:rsidRPr="00104DDD">
        <w:t>analyse the monetary policy response in a contemporary setting</w:t>
      </w:r>
      <w:r w:rsidR="00675EAC" w:rsidRPr="00104DDD">
        <w:t>,</w:t>
      </w:r>
      <w:r w:rsidR="00FC2F32" w:rsidRPr="00104DDD">
        <w:t xml:space="preserve"> but only refer</w:t>
      </w:r>
      <w:r>
        <w:t>red</w:t>
      </w:r>
      <w:r w:rsidR="00FC2F32" w:rsidRPr="00104DDD">
        <w:t xml:space="preserve"> to the budgetary policy response in a theoretical setting (e.g. saying that the government would or could deliver a contractionary policy stance by handing down</w:t>
      </w:r>
      <w:r w:rsidR="00675EAC" w:rsidRPr="00104DDD">
        <w:t xml:space="preserve"> a</w:t>
      </w:r>
      <w:r w:rsidR="00FC2F32" w:rsidRPr="00104DDD">
        <w:t xml:space="preserve"> budget surplus and/or increasing </w:t>
      </w:r>
      <w:r w:rsidR="00FC2F32" w:rsidRPr="00104DDD">
        <w:lastRenderedPageBreak/>
        <w:t xml:space="preserve">revenue relative to expenditure). </w:t>
      </w:r>
      <w:proofErr w:type="gramStart"/>
      <w:r w:rsidR="00FC2F32" w:rsidRPr="00104DDD">
        <w:t>A number of</w:t>
      </w:r>
      <w:proofErr w:type="gramEnd"/>
      <w:r w:rsidR="00FC2F32" w:rsidRPr="00104DDD">
        <w:t xml:space="preserve"> students erred by launching into an explanation of how the policies have been implemented over recent years</w:t>
      </w:r>
      <w:r w:rsidR="00675EAC" w:rsidRPr="00104DDD">
        <w:t>,</w:t>
      </w:r>
      <w:r w:rsidR="00FC2F32" w:rsidRPr="00104DDD">
        <w:t xml:space="preserve"> without </w:t>
      </w:r>
      <w:r>
        <w:t>an</w:t>
      </w:r>
      <w:r w:rsidR="00FC2F32" w:rsidRPr="00104DDD">
        <w:t xml:space="preserve"> attempt to analyse the relevance/implications of the very low unemployment rate and relatively high inflation rate during 2023.</w:t>
      </w:r>
    </w:p>
    <w:p w14:paraId="509084E6" w14:textId="195C7C12" w:rsidR="00FC2F32" w:rsidRDefault="00FC2F32" w:rsidP="00FC2F32">
      <w:pPr>
        <w:pStyle w:val="VCAAbody"/>
        <w:rPr>
          <w:lang w:val="en-AU"/>
        </w:rPr>
      </w:pPr>
      <w:r w:rsidRPr="003C0A2F">
        <w:rPr>
          <w:lang w:val="en-AU"/>
        </w:rPr>
        <w:t xml:space="preserve">Examples of </w:t>
      </w:r>
      <w:r>
        <w:rPr>
          <w:lang w:val="en-AU"/>
        </w:rPr>
        <w:t>other</w:t>
      </w:r>
      <w:r w:rsidR="005209D2">
        <w:rPr>
          <w:lang w:val="en-AU"/>
        </w:rPr>
        <w:t xml:space="preserve"> common</w:t>
      </w:r>
      <w:r>
        <w:rPr>
          <w:lang w:val="en-AU"/>
        </w:rPr>
        <w:t xml:space="preserve"> errors or </w:t>
      </w:r>
      <w:r w:rsidRPr="003C0A2F">
        <w:rPr>
          <w:lang w:val="en-AU"/>
        </w:rPr>
        <w:t>misconceptions found in responses included</w:t>
      </w:r>
      <w:r w:rsidR="00F44A27">
        <w:rPr>
          <w:lang w:val="en-AU"/>
        </w:rPr>
        <w:t xml:space="preserve"> the following.</w:t>
      </w:r>
    </w:p>
    <w:p w14:paraId="7AFD5670" w14:textId="63273C55" w:rsidR="00985E62" w:rsidRPr="00727C94" w:rsidRDefault="00E94B10" w:rsidP="00D75026">
      <w:pPr>
        <w:pStyle w:val="VCAAbullet"/>
      </w:pPr>
      <w:r>
        <w:t>A</w:t>
      </w:r>
      <w:r w:rsidR="00985E62" w:rsidRPr="00727C94">
        <w:t xml:space="preserve"> focus on </w:t>
      </w:r>
      <w:r w:rsidR="00FC2F32" w:rsidRPr="00727C94">
        <w:t xml:space="preserve">monetary policy or budgetary policy more generally </w:t>
      </w:r>
      <w:r w:rsidR="00985E62" w:rsidRPr="00727C94">
        <w:t xml:space="preserve">when </w:t>
      </w:r>
      <w:r>
        <w:t>analysis of</w:t>
      </w:r>
      <w:r w:rsidR="00985E62" w:rsidRPr="00727C94">
        <w:t xml:space="preserve"> the impact on the stances of both </w:t>
      </w:r>
      <w:r w:rsidR="00985E62" w:rsidRPr="00F64C16">
        <w:t>AD</w:t>
      </w:r>
      <w:r w:rsidR="00985E62" w:rsidRPr="00727C94">
        <w:t xml:space="preserve"> policies</w:t>
      </w:r>
      <w:r>
        <w:t xml:space="preserve"> was required</w:t>
      </w:r>
      <w:r w:rsidR="00985E62" w:rsidRPr="00727C94">
        <w:t>.</w:t>
      </w:r>
    </w:p>
    <w:p w14:paraId="25D79667" w14:textId="5E54DB54" w:rsidR="00985E62" w:rsidRPr="00727C94" w:rsidRDefault="00A65B8D" w:rsidP="00D75026">
      <w:pPr>
        <w:pStyle w:val="VCAAbullet"/>
      </w:pPr>
      <w:r>
        <w:t>Stand-alone</w:t>
      </w:r>
      <w:r w:rsidRPr="00727C94">
        <w:t xml:space="preserve"> </w:t>
      </w:r>
      <w:r>
        <w:t>and/</w:t>
      </w:r>
      <w:r w:rsidR="00FC2F32" w:rsidRPr="00727C94">
        <w:t xml:space="preserve">or lengthy </w:t>
      </w:r>
      <w:r w:rsidR="00985E62" w:rsidRPr="00727C94">
        <w:t xml:space="preserve">definitions </w:t>
      </w:r>
      <w:r w:rsidR="00E94B10">
        <w:t>of</w:t>
      </w:r>
      <w:r w:rsidR="00E94B10" w:rsidRPr="00727C94">
        <w:t xml:space="preserve"> </w:t>
      </w:r>
      <w:r w:rsidR="00985E62" w:rsidRPr="00727C94">
        <w:t>the goals of price stability and full employment.</w:t>
      </w:r>
    </w:p>
    <w:p w14:paraId="5AB1B0B4" w14:textId="4A28B9AF" w:rsidR="00985E62" w:rsidRPr="00727C94" w:rsidRDefault="00E94B10" w:rsidP="00D75026">
      <w:pPr>
        <w:pStyle w:val="VCAAbullet"/>
      </w:pPr>
      <w:r>
        <w:t>Inclusion of an explanation about</w:t>
      </w:r>
      <w:r w:rsidR="00985E62" w:rsidRPr="00727C94">
        <w:t xml:space="preserve"> how the </w:t>
      </w:r>
      <w:r w:rsidR="00985E62" w:rsidRPr="00F64C16">
        <w:t>RBA</w:t>
      </w:r>
      <w:r w:rsidR="00985E62" w:rsidRPr="00727C94">
        <w:t xml:space="preserve"> enacts a </w:t>
      </w:r>
      <w:r w:rsidR="00985E62" w:rsidRPr="00F64C16">
        <w:t xml:space="preserve">restrictive/contractionary </w:t>
      </w:r>
      <w:r w:rsidR="00085DA5" w:rsidRPr="00F64C16">
        <w:t>monetary</w:t>
      </w:r>
      <w:r w:rsidR="00FC2F32" w:rsidRPr="00F64C16">
        <w:t xml:space="preserve"> policy </w:t>
      </w:r>
      <w:r w:rsidR="00985E62" w:rsidRPr="00F64C16">
        <w:t>stance</w:t>
      </w:r>
      <w:r w:rsidR="00F64C16">
        <w:t xml:space="preserve">, </w:t>
      </w:r>
      <w:r w:rsidR="00985E62" w:rsidRPr="00F64C16">
        <w:t xml:space="preserve">e.g. </w:t>
      </w:r>
      <w:proofErr w:type="gramStart"/>
      <w:r w:rsidR="00985E62" w:rsidRPr="00F64C16">
        <w:t>making reference</w:t>
      </w:r>
      <w:proofErr w:type="gramEnd"/>
      <w:r w:rsidR="00985E62" w:rsidRPr="00F64C16">
        <w:t xml:space="preserve"> to policy interest rate corridor and/or O</w:t>
      </w:r>
      <w:r w:rsidR="00FE44BD" w:rsidRPr="00F64C16">
        <w:t xml:space="preserve">pen </w:t>
      </w:r>
      <w:r w:rsidR="00985E62" w:rsidRPr="00F64C16">
        <w:t>M</w:t>
      </w:r>
      <w:r w:rsidR="00FE44BD" w:rsidRPr="00F64C16">
        <w:t xml:space="preserve">arket </w:t>
      </w:r>
      <w:r w:rsidR="00985E62" w:rsidRPr="00F64C16">
        <w:t>O</w:t>
      </w:r>
      <w:r w:rsidR="00FE44BD" w:rsidRPr="00F64C16">
        <w:t>peration</w:t>
      </w:r>
      <w:r w:rsidR="00985E62" w:rsidRPr="00F64C16">
        <w:t>s</w:t>
      </w:r>
      <w:r w:rsidR="00FE44BD" w:rsidRPr="00F64C16">
        <w:t xml:space="preserve"> (OMOs</w:t>
      </w:r>
      <w:r w:rsidR="00985E62" w:rsidRPr="00F64C16">
        <w:t>).</w:t>
      </w:r>
      <w:r w:rsidR="00985E62" w:rsidRPr="00727C94">
        <w:t xml:space="preserve"> </w:t>
      </w:r>
    </w:p>
    <w:p w14:paraId="6DD4C793" w14:textId="69976AB0" w:rsidR="00985E62" w:rsidRPr="00727C94" w:rsidRDefault="00985E62" w:rsidP="00D75026">
      <w:pPr>
        <w:pStyle w:val="VCAAbullet"/>
      </w:pPr>
      <w:r w:rsidRPr="00727C94">
        <w:t xml:space="preserve">Many students </w:t>
      </w:r>
      <w:r w:rsidR="00EB7186" w:rsidRPr="00727C94">
        <w:t>provid</w:t>
      </w:r>
      <w:r w:rsidR="00F44A27">
        <w:t>ed</w:t>
      </w:r>
      <w:r w:rsidR="00EB7186" w:rsidRPr="00727C94">
        <w:t xml:space="preserve"> lengthy explanations for</w:t>
      </w:r>
      <w:r w:rsidRPr="00727C94">
        <w:t xml:space="preserve"> how the restrictive </w:t>
      </w:r>
      <w:r w:rsidR="00085DA5" w:rsidRPr="00727C94">
        <w:t xml:space="preserve">monetary policy stance </w:t>
      </w:r>
      <w:r w:rsidRPr="00727C94">
        <w:t>reduces AD and inflation via the various transmission channels</w:t>
      </w:r>
      <w:r w:rsidR="00085DA5" w:rsidRPr="00727C94">
        <w:t xml:space="preserve"> and/</w:t>
      </w:r>
      <w:r w:rsidR="00FC2F32" w:rsidRPr="00727C94">
        <w:t>or provid</w:t>
      </w:r>
      <w:r w:rsidR="00085DA5" w:rsidRPr="00727C94">
        <w:t>ed</w:t>
      </w:r>
      <w:r w:rsidR="00FC2F32" w:rsidRPr="00727C94">
        <w:t xml:space="preserve"> </w:t>
      </w:r>
      <w:r w:rsidR="00EB7186" w:rsidRPr="00727C94">
        <w:t xml:space="preserve">lengthy </w:t>
      </w:r>
      <w:r w:rsidR="00FC2F32" w:rsidRPr="00727C94">
        <w:t xml:space="preserve">explanations for </w:t>
      </w:r>
      <w:r w:rsidR="00085DA5" w:rsidRPr="00727C94">
        <w:t xml:space="preserve">how </w:t>
      </w:r>
      <w:r w:rsidR="00FC2F32" w:rsidRPr="00727C94">
        <w:t>specific budget measures work to influence AD</w:t>
      </w:r>
      <w:r w:rsidR="00085DA5" w:rsidRPr="00727C94">
        <w:t>, unemployment and inflation.</w:t>
      </w:r>
    </w:p>
    <w:p w14:paraId="2F6C4D7D" w14:textId="77777777" w:rsidR="00085DA5" w:rsidRPr="00104DDD" w:rsidRDefault="00085DA5" w:rsidP="00104DDD">
      <w:pPr>
        <w:pStyle w:val="VCAAbody"/>
      </w:pPr>
      <w:r w:rsidRPr="00104DDD">
        <w:t xml:space="preserve">The following is an example of a high-scoring response. </w:t>
      </w:r>
    </w:p>
    <w:p w14:paraId="2D27CAE4" w14:textId="31D99FCC" w:rsidR="002C3BDD" w:rsidRDefault="002C3BDD" w:rsidP="00E1317D">
      <w:pPr>
        <w:pStyle w:val="VCAAstudentresponse"/>
      </w:pPr>
      <w:r w:rsidRPr="002C3BDD">
        <w:t xml:space="preserve">In 2023, Australia’s unemployment rate remained at record low levels, hovering at around 3.5%, whereby it was 3.6% for September 2023. This occurred alongside very high rates of inflation, although there has been a downward trend, with the inflation rate falling from 7% in March 2023, to 5.4% by September 2023 (although still considerably high). Together, these indicators suggested that the labour market was very tight, with many labour shortages, causing higher wages growth and high inflation (which as contributed to by other factors). As such, in this environment, the stance of AD policies </w:t>
      </w:r>
      <w:proofErr w:type="gramStart"/>
      <w:r w:rsidRPr="002C3BDD">
        <w:t>have</w:t>
      </w:r>
      <w:proofErr w:type="gramEnd"/>
      <w:r w:rsidRPr="002C3BDD">
        <w:t xml:space="preserve"> been contractionary. This is evident for MP, which saw four target rate cash rate increases in 2023, whereby it increased above the neutral cash rate zone by March 2023 (3.6%) to be high enough to exert a contractionary effect on the economy. It was implemented to do so, because it needed to reduce AD and demand inflation, such that the inflation rate would return to target with the RBA’s key medium term objective of ‘stability of the currency’, to achieve a rate of growth in the CPI of between 2-3%, on average, over time. Moreover, it needed to restrain AD and economic activity to reduce the demand for labour, </w:t>
      </w:r>
      <w:proofErr w:type="gramStart"/>
      <w:r w:rsidRPr="002C3BDD">
        <w:t>in order to</w:t>
      </w:r>
      <w:proofErr w:type="gramEnd"/>
      <w:r w:rsidRPr="002C3BDD">
        <w:t xml:space="preserve"> loosen the labour market and ensure that wages growth did not become excessive, which would further increase inflation. Regarding, budgetary policy, the low unemployment automatically led to higher PAYG income tax revenue collected, as more people earned higher taxable wages, with the high inflation also creating bracket creep and again increases tax revenue. This led to greater leakages from the economy by the government relative to injections, as less people become eligible f</w:t>
      </w:r>
      <w:r w:rsidR="0031759E">
        <w:t>o</w:t>
      </w:r>
      <w:r w:rsidRPr="002C3BDD">
        <w:t xml:space="preserve">r unemployment benefits and reduced welfare outlays automatically. This increase in receipts received relative to outlays paid would have improved the cyclical component of the budget and made it more restrictive than otherwise as leakages are greater than injections, restraining AD and helping MP to dampen inflationary pressures. However, importantly, the stance of BP could have been influenced by the high inflation to be expansionary, due to the cost of living relief measures that the government would’ve provided, to support households in 2023, which would then have increased injections relative to leakages through the implementation of discretionary stabilisers, which would’ve stimulated the economy and AD. </w:t>
      </w:r>
    </w:p>
    <w:p w14:paraId="295D9E1E" w14:textId="48316581" w:rsidR="00963008" w:rsidRPr="003C0A2F" w:rsidRDefault="00963008" w:rsidP="009914F6">
      <w:pPr>
        <w:pStyle w:val="VCAAHeading3"/>
      </w:pPr>
      <w:r w:rsidRPr="00F93949">
        <w:t>Question 3c.</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963008" w:rsidRPr="003C0A2F" w14:paraId="46F56FBC"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0787AEB5" w14:textId="77777777" w:rsidR="00963008" w:rsidRPr="003C0A2F" w:rsidRDefault="00963008" w:rsidP="00AE7682">
            <w:pPr>
              <w:pStyle w:val="VCAAtablecondensedheading"/>
              <w:rPr>
                <w:lang w:val="en-AU"/>
              </w:rPr>
            </w:pPr>
            <w:r w:rsidRPr="003C0A2F">
              <w:rPr>
                <w:lang w:val="en-AU"/>
              </w:rPr>
              <w:t>Marks</w:t>
            </w:r>
          </w:p>
        </w:tc>
        <w:tc>
          <w:tcPr>
            <w:tcW w:w="576" w:type="dxa"/>
          </w:tcPr>
          <w:p w14:paraId="7B460601" w14:textId="77777777" w:rsidR="00963008" w:rsidRPr="003C0A2F" w:rsidRDefault="00963008" w:rsidP="00AE7682">
            <w:pPr>
              <w:pStyle w:val="VCAAtablecondensedheading"/>
              <w:rPr>
                <w:lang w:val="en-AU"/>
              </w:rPr>
            </w:pPr>
            <w:r w:rsidRPr="003C0A2F">
              <w:rPr>
                <w:lang w:val="en-AU"/>
              </w:rPr>
              <w:t>0</w:t>
            </w:r>
          </w:p>
        </w:tc>
        <w:tc>
          <w:tcPr>
            <w:tcW w:w="576" w:type="dxa"/>
          </w:tcPr>
          <w:p w14:paraId="486153AB" w14:textId="77777777" w:rsidR="00963008" w:rsidRPr="003C0A2F" w:rsidRDefault="00963008" w:rsidP="00AE7682">
            <w:pPr>
              <w:pStyle w:val="VCAAtablecondensedheading"/>
              <w:rPr>
                <w:lang w:val="en-AU"/>
              </w:rPr>
            </w:pPr>
            <w:r w:rsidRPr="003C0A2F">
              <w:rPr>
                <w:lang w:val="en-AU"/>
              </w:rPr>
              <w:t>1</w:t>
            </w:r>
          </w:p>
        </w:tc>
        <w:tc>
          <w:tcPr>
            <w:tcW w:w="576" w:type="dxa"/>
          </w:tcPr>
          <w:p w14:paraId="58D391F9" w14:textId="77777777" w:rsidR="00963008" w:rsidRPr="003C0A2F" w:rsidRDefault="00963008" w:rsidP="00AE7682">
            <w:pPr>
              <w:pStyle w:val="VCAAtablecondensedheading"/>
              <w:rPr>
                <w:lang w:val="en-AU"/>
              </w:rPr>
            </w:pPr>
            <w:r w:rsidRPr="003C0A2F">
              <w:rPr>
                <w:lang w:val="en-AU"/>
              </w:rPr>
              <w:t>2</w:t>
            </w:r>
          </w:p>
        </w:tc>
        <w:tc>
          <w:tcPr>
            <w:tcW w:w="576" w:type="dxa"/>
          </w:tcPr>
          <w:p w14:paraId="4793E8E7" w14:textId="77777777" w:rsidR="00963008" w:rsidRPr="003C0A2F" w:rsidRDefault="00963008" w:rsidP="00AE7682">
            <w:pPr>
              <w:pStyle w:val="VCAAtablecondensedheading"/>
              <w:rPr>
                <w:lang w:val="en-AU"/>
              </w:rPr>
            </w:pPr>
            <w:r w:rsidRPr="003C0A2F">
              <w:rPr>
                <w:lang w:val="en-AU"/>
              </w:rPr>
              <w:t>3</w:t>
            </w:r>
          </w:p>
        </w:tc>
        <w:tc>
          <w:tcPr>
            <w:tcW w:w="576" w:type="dxa"/>
          </w:tcPr>
          <w:p w14:paraId="105AD1E5" w14:textId="77777777" w:rsidR="00963008" w:rsidRPr="003C0A2F" w:rsidRDefault="00963008" w:rsidP="00AE7682">
            <w:pPr>
              <w:pStyle w:val="VCAAtablecondensedheading"/>
              <w:rPr>
                <w:lang w:val="en-AU"/>
              </w:rPr>
            </w:pPr>
            <w:r w:rsidRPr="003C0A2F">
              <w:rPr>
                <w:lang w:val="en-AU"/>
              </w:rPr>
              <w:t>4</w:t>
            </w:r>
          </w:p>
        </w:tc>
        <w:tc>
          <w:tcPr>
            <w:tcW w:w="1008" w:type="dxa"/>
          </w:tcPr>
          <w:p w14:paraId="0732E7DB" w14:textId="77777777" w:rsidR="00963008" w:rsidRPr="003C0A2F" w:rsidRDefault="00963008" w:rsidP="00AE7682">
            <w:pPr>
              <w:pStyle w:val="VCAAtablecondensedheading"/>
              <w:rPr>
                <w:lang w:val="en-AU"/>
              </w:rPr>
            </w:pPr>
            <w:r w:rsidRPr="003C0A2F">
              <w:rPr>
                <w:lang w:val="en-AU"/>
              </w:rPr>
              <w:t>Average</w:t>
            </w:r>
          </w:p>
        </w:tc>
      </w:tr>
      <w:tr w:rsidR="00FC7491" w:rsidRPr="003C0A2F" w14:paraId="4D9B3AE5" w14:textId="77777777" w:rsidTr="0052782F">
        <w:tc>
          <w:tcPr>
            <w:tcW w:w="720" w:type="dxa"/>
          </w:tcPr>
          <w:p w14:paraId="50CC5B75" w14:textId="77777777" w:rsidR="00FC7491" w:rsidRPr="003C0A2F" w:rsidRDefault="00FC7491" w:rsidP="00FC7491">
            <w:pPr>
              <w:pStyle w:val="VCAAtablecondensed"/>
              <w:rPr>
                <w:lang w:val="en-AU"/>
              </w:rPr>
            </w:pPr>
            <w:r w:rsidRPr="003C0A2F">
              <w:rPr>
                <w:lang w:val="en-AU"/>
              </w:rPr>
              <w:t>%</w:t>
            </w:r>
          </w:p>
        </w:tc>
        <w:tc>
          <w:tcPr>
            <w:tcW w:w="576" w:type="dxa"/>
          </w:tcPr>
          <w:p w14:paraId="4ADD8161" w14:textId="70E4D70C" w:rsidR="00FC7491" w:rsidRPr="003C0A2F" w:rsidRDefault="00FC7491" w:rsidP="00FC7491">
            <w:pPr>
              <w:pStyle w:val="VCAAtablecondensed"/>
              <w:rPr>
                <w:lang w:val="en-AU"/>
              </w:rPr>
            </w:pPr>
            <w:r w:rsidRPr="009A753A">
              <w:t>2</w:t>
            </w:r>
            <w:r w:rsidR="00DC2149">
              <w:t>5</w:t>
            </w:r>
          </w:p>
        </w:tc>
        <w:tc>
          <w:tcPr>
            <w:tcW w:w="576" w:type="dxa"/>
          </w:tcPr>
          <w:p w14:paraId="2EB932F7" w14:textId="161AE3E5" w:rsidR="00FC7491" w:rsidRPr="003C0A2F" w:rsidRDefault="00DC2149" w:rsidP="00FC7491">
            <w:pPr>
              <w:pStyle w:val="VCAAtablecondensed"/>
              <w:rPr>
                <w:lang w:val="en-AU"/>
              </w:rPr>
            </w:pPr>
            <w:r>
              <w:t>10</w:t>
            </w:r>
          </w:p>
        </w:tc>
        <w:tc>
          <w:tcPr>
            <w:tcW w:w="576" w:type="dxa"/>
          </w:tcPr>
          <w:p w14:paraId="11E50793" w14:textId="20A57779" w:rsidR="00FC7491" w:rsidRPr="003C0A2F" w:rsidRDefault="00FC7491" w:rsidP="00FC7491">
            <w:pPr>
              <w:pStyle w:val="VCAAtablecondensed"/>
              <w:rPr>
                <w:lang w:val="en-AU"/>
              </w:rPr>
            </w:pPr>
            <w:r w:rsidRPr="009A753A">
              <w:t>16</w:t>
            </w:r>
          </w:p>
        </w:tc>
        <w:tc>
          <w:tcPr>
            <w:tcW w:w="576" w:type="dxa"/>
          </w:tcPr>
          <w:p w14:paraId="1A603DB7" w14:textId="06E5280A" w:rsidR="00FC7491" w:rsidRPr="003C0A2F" w:rsidRDefault="00FC7491" w:rsidP="00FC7491">
            <w:pPr>
              <w:pStyle w:val="VCAAtablecondensed"/>
              <w:rPr>
                <w:lang w:val="en-AU"/>
              </w:rPr>
            </w:pPr>
            <w:r w:rsidRPr="009A753A">
              <w:t>23</w:t>
            </w:r>
          </w:p>
        </w:tc>
        <w:tc>
          <w:tcPr>
            <w:tcW w:w="576" w:type="dxa"/>
          </w:tcPr>
          <w:p w14:paraId="792C4881" w14:textId="203DBB43" w:rsidR="00FC7491" w:rsidRPr="003C0A2F" w:rsidRDefault="00FC7491" w:rsidP="00FC7491">
            <w:pPr>
              <w:pStyle w:val="VCAAtablecondensed"/>
              <w:rPr>
                <w:lang w:val="en-AU"/>
              </w:rPr>
            </w:pPr>
            <w:r w:rsidRPr="009A753A">
              <w:t>2</w:t>
            </w:r>
            <w:r w:rsidR="00DC2149">
              <w:t>6</w:t>
            </w:r>
          </w:p>
        </w:tc>
        <w:tc>
          <w:tcPr>
            <w:tcW w:w="1008" w:type="dxa"/>
          </w:tcPr>
          <w:p w14:paraId="32E67174" w14:textId="26B1991C" w:rsidR="00FC7491" w:rsidRPr="003C0A2F" w:rsidRDefault="00FC7491" w:rsidP="00FC7491">
            <w:pPr>
              <w:pStyle w:val="VCAAtablecondensed"/>
              <w:rPr>
                <w:lang w:val="en-AU"/>
              </w:rPr>
            </w:pPr>
            <w:r w:rsidRPr="009A753A">
              <w:t>2.2</w:t>
            </w:r>
          </w:p>
        </w:tc>
      </w:tr>
    </w:tbl>
    <w:p w14:paraId="3D5F78BF" w14:textId="7A7352C3" w:rsidR="008C6465" w:rsidRPr="00104DDD" w:rsidRDefault="008C6465" w:rsidP="00104DDD">
      <w:pPr>
        <w:pStyle w:val="VCAAbody"/>
      </w:pPr>
      <w:r w:rsidRPr="00104DDD">
        <w:t xml:space="preserve">To achieve full marks, students </w:t>
      </w:r>
      <w:r w:rsidR="00E94B10">
        <w:t xml:space="preserve">were required </w:t>
      </w:r>
      <w:r w:rsidRPr="00104DDD">
        <w:t>to identify and describ</w:t>
      </w:r>
      <w:r w:rsidR="00DD4F72" w:rsidRPr="00104DDD">
        <w:t>e</w:t>
      </w:r>
      <w:r w:rsidRPr="00104DDD">
        <w:t xml:space="preserve"> an appropriate discretionary </w:t>
      </w:r>
      <w:proofErr w:type="spellStart"/>
      <w:r w:rsidRPr="00104DDD">
        <w:t>stabiliser</w:t>
      </w:r>
      <w:proofErr w:type="spellEnd"/>
      <w:r w:rsidRPr="00104DDD">
        <w:t xml:space="preserve"> </w:t>
      </w:r>
      <w:r w:rsidR="00DD4F72" w:rsidRPr="00104DDD">
        <w:t>from the most recent 2023</w:t>
      </w:r>
      <w:r w:rsidR="00FC6134">
        <w:t>–</w:t>
      </w:r>
      <w:r w:rsidR="00DD4F72" w:rsidRPr="00104DDD">
        <w:t xml:space="preserve">24 </w:t>
      </w:r>
      <w:r w:rsidR="00EB7186" w:rsidRPr="00104DDD">
        <w:t>B</w:t>
      </w:r>
      <w:r w:rsidR="00F4673E" w:rsidRPr="00104DDD">
        <w:t>u</w:t>
      </w:r>
      <w:r w:rsidR="00DD4F72" w:rsidRPr="00104DDD">
        <w:t xml:space="preserve">dget and then </w:t>
      </w:r>
      <w:r w:rsidR="00E94B10">
        <w:t xml:space="preserve">accurately </w:t>
      </w:r>
      <w:r w:rsidR="00DD4F72" w:rsidRPr="00104DDD">
        <w:t>predict</w:t>
      </w:r>
      <w:r w:rsidR="00E94B10">
        <w:t xml:space="preserve"> and show </w:t>
      </w:r>
      <w:r w:rsidR="00DD4F72" w:rsidRPr="00104DDD">
        <w:t>how this</w:t>
      </w:r>
      <w:r w:rsidRPr="00104DDD">
        <w:t xml:space="preserve"> </w:t>
      </w:r>
      <w:r w:rsidR="00DD4F72" w:rsidRPr="00104DDD">
        <w:t>could impact on</w:t>
      </w:r>
      <w:r w:rsidRPr="00104DDD">
        <w:t xml:space="preserve"> economic growth and living standards</w:t>
      </w:r>
      <w:r w:rsidR="00DD4F72" w:rsidRPr="00104DDD">
        <w:t>.</w:t>
      </w:r>
      <w:r w:rsidR="00F87ED6">
        <w:t xml:space="preserve"> </w:t>
      </w:r>
      <w:r w:rsidR="00DD4F72" w:rsidRPr="00104DDD">
        <w:t xml:space="preserve">Students were given flexibility to </w:t>
      </w:r>
      <w:r w:rsidR="008E5B6F">
        <w:t>interpret a</w:t>
      </w:r>
      <w:r w:rsidRPr="00104DDD">
        <w:t xml:space="preserve"> </w:t>
      </w:r>
      <w:r w:rsidR="00DD4F72" w:rsidRPr="00104DDD">
        <w:t>‘d</w:t>
      </w:r>
      <w:r w:rsidRPr="00104DDD">
        <w:t xml:space="preserve">iscretionary </w:t>
      </w:r>
      <w:proofErr w:type="spellStart"/>
      <w:r w:rsidRPr="00104DDD">
        <w:t>stabili</w:t>
      </w:r>
      <w:r w:rsidR="00DD4F72" w:rsidRPr="00104DDD">
        <w:t>s</w:t>
      </w:r>
      <w:r w:rsidRPr="00104DDD">
        <w:t>er</w:t>
      </w:r>
      <w:proofErr w:type="spellEnd"/>
      <w:r w:rsidR="00DD4F72" w:rsidRPr="00104DDD">
        <w:t>’</w:t>
      </w:r>
      <w:r w:rsidRPr="00104DDD">
        <w:t xml:space="preserve"> as </w:t>
      </w:r>
      <w:r w:rsidR="008E5B6F">
        <w:t xml:space="preserve">being </w:t>
      </w:r>
      <w:r w:rsidRPr="00104DDD">
        <w:t>a</w:t>
      </w:r>
      <w:r w:rsidR="00DD4F72" w:rsidRPr="00104DDD">
        <w:t>ny</w:t>
      </w:r>
      <w:r w:rsidRPr="00104DDD">
        <w:t xml:space="preserve"> budgetary policy measure or initiative. </w:t>
      </w:r>
      <w:r w:rsidR="00DD4F72" w:rsidRPr="00104DDD">
        <w:t>This</w:t>
      </w:r>
      <w:r w:rsidRPr="00104DDD">
        <w:t xml:space="preserve"> includes the use of any change to the structure of the budget, </w:t>
      </w:r>
      <w:r w:rsidR="00EB7186" w:rsidRPr="00104DDD">
        <w:t>including</w:t>
      </w:r>
      <w:r w:rsidRPr="00104DDD">
        <w:t xml:space="preserve"> supply side measures (e.g. tax concessions for </w:t>
      </w:r>
      <w:r w:rsidR="00FC6134">
        <w:t>i</w:t>
      </w:r>
      <w:r w:rsidRPr="00104DDD">
        <w:t xml:space="preserve">nvestment, R&amp;D allowances, subsidies), which </w:t>
      </w:r>
      <w:r w:rsidR="00DD4F72" w:rsidRPr="00104DDD">
        <w:t>could</w:t>
      </w:r>
      <w:r w:rsidRPr="00104DDD">
        <w:t xml:space="preserve"> help </w:t>
      </w:r>
      <w:r w:rsidR="00DD4F72" w:rsidRPr="00104DDD">
        <w:t xml:space="preserve">to </w:t>
      </w:r>
      <w:r w:rsidRPr="00104DDD">
        <w:t xml:space="preserve">stimulate AD in the short term before delivering supply side benefits over </w:t>
      </w:r>
      <w:r w:rsidRPr="00104DDD">
        <w:lastRenderedPageBreak/>
        <w:t>time.</w:t>
      </w:r>
      <w:r w:rsidR="00F87ED6">
        <w:t xml:space="preserve"> </w:t>
      </w:r>
      <w:r w:rsidR="008E5B6F">
        <w:t>They were not required</w:t>
      </w:r>
      <w:r w:rsidR="00DD4F72" w:rsidRPr="00104DDD">
        <w:t xml:space="preserve"> </w:t>
      </w:r>
      <w:r w:rsidRPr="00104DDD">
        <w:t xml:space="preserve">to link the </w:t>
      </w:r>
      <w:r w:rsidR="00DD4F72" w:rsidRPr="00104DDD">
        <w:t>initiative/</w:t>
      </w:r>
      <w:proofErr w:type="spellStart"/>
      <w:r w:rsidR="00DD4F72" w:rsidRPr="00104DDD">
        <w:t>stab</w:t>
      </w:r>
      <w:r w:rsidR="00FC6134">
        <w:t>i</w:t>
      </w:r>
      <w:r w:rsidR="00DD4F72" w:rsidRPr="00104DDD">
        <w:t>liser</w:t>
      </w:r>
      <w:proofErr w:type="spellEnd"/>
      <w:r w:rsidRPr="00104DDD">
        <w:t xml:space="preserve"> to any attempt to </w:t>
      </w:r>
      <w:r w:rsidR="00DD4F72" w:rsidRPr="00104DDD">
        <w:t>‘</w:t>
      </w:r>
      <w:proofErr w:type="spellStart"/>
      <w:r w:rsidRPr="00104DDD">
        <w:t>stabilise</w:t>
      </w:r>
      <w:proofErr w:type="spellEnd"/>
      <w:r w:rsidR="00DD4F72" w:rsidRPr="00104DDD">
        <w:t>’</w:t>
      </w:r>
      <w:r w:rsidRPr="00104DDD">
        <w:t xml:space="preserve"> the business cycle.</w:t>
      </w:r>
      <w:r w:rsidR="00EB7186" w:rsidRPr="00104DDD">
        <w:t xml:space="preserve"> However, this approach was equally deserving of full marks if explained well.</w:t>
      </w:r>
    </w:p>
    <w:p w14:paraId="6B42B6A5" w14:textId="67C6E32A" w:rsidR="00DD4F72" w:rsidRPr="00104DDD" w:rsidRDefault="00DD4F72" w:rsidP="00104DDD">
      <w:pPr>
        <w:pStyle w:val="VCAAbody"/>
      </w:pPr>
      <w:r w:rsidRPr="00104DDD">
        <w:t xml:space="preserve">While students were free to explore any change to the structure of the budget (either an </w:t>
      </w:r>
      <w:r w:rsidRPr="00F64C16">
        <w:t>AD</w:t>
      </w:r>
      <w:r w:rsidRPr="00104DDD">
        <w:t xml:space="preserve"> or </w:t>
      </w:r>
      <w:r w:rsidRPr="00F64C16">
        <w:t>AS</w:t>
      </w:r>
      <w:r w:rsidRPr="00104DDD">
        <w:t xml:space="preserve"> focus), most students selected initiatives that were designed to stimulate </w:t>
      </w:r>
      <w:r w:rsidRPr="00F64C16">
        <w:t>AD</w:t>
      </w:r>
      <w:r w:rsidRPr="00104DDD">
        <w:t xml:space="preserve"> (e.g. electricity bill relief </w:t>
      </w:r>
      <w:r w:rsidR="00EB7186" w:rsidRPr="00104DDD">
        <w:t>or the $</w:t>
      </w:r>
      <w:r w:rsidRPr="00104DDD">
        <w:t>40 per fortnight increase in Jobseeker).</w:t>
      </w:r>
      <w:r w:rsidR="00F87ED6">
        <w:t xml:space="preserve"> </w:t>
      </w:r>
      <w:r w:rsidRPr="00104DDD">
        <w:t xml:space="preserve">They successfully linked the initiative to an increase in a component of </w:t>
      </w:r>
      <w:r w:rsidRPr="00F64C16">
        <w:t>AD</w:t>
      </w:r>
      <w:r w:rsidRPr="00104DDD">
        <w:t xml:space="preserve"> (e.g. </w:t>
      </w:r>
      <w:r w:rsidR="00FC6134">
        <w:t>c</w:t>
      </w:r>
      <w:r w:rsidRPr="00104DDD">
        <w:t xml:space="preserve">onsumption) before predicting the impact this would have for </w:t>
      </w:r>
      <w:r w:rsidRPr="00F64C16">
        <w:t>AD</w:t>
      </w:r>
      <w:r w:rsidRPr="00104DDD">
        <w:t>, economic growth and living standards.</w:t>
      </w:r>
      <w:r w:rsidR="00F87ED6">
        <w:t xml:space="preserve"> </w:t>
      </w:r>
    </w:p>
    <w:p w14:paraId="17C25A53" w14:textId="6E910369" w:rsidR="008C6465" w:rsidRPr="00104DDD" w:rsidRDefault="00C15421" w:rsidP="00104DDD">
      <w:pPr>
        <w:pStyle w:val="VCAAbody"/>
      </w:pPr>
      <w:r>
        <w:t>Many</w:t>
      </w:r>
      <w:r w:rsidR="008C6465" w:rsidRPr="00104DDD">
        <w:t xml:space="preserve"> students referred to discretionary </w:t>
      </w:r>
      <w:proofErr w:type="spellStart"/>
      <w:r w:rsidR="008C6465" w:rsidRPr="00104DDD">
        <w:t>stabilisers</w:t>
      </w:r>
      <w:proofErr w:type="spellEnd"/>
      <w:r w:rsidR="008C6465" w:rsidRPr="00104DDD">
        <w:t xml:space="preserve"> from previous budgets, such as the low</w:t>
      </w:r>
      <w:r w:rsidR="00CD588D">
        <w:t>-</w:t>
      </w:r>
      <w:r w:rsidR="008C6465" w:rsidRPr="00104DDD">
        <w:t xml:space="preserve"> and middle</w:t>
      </w:r>
      <w:r w:rsidR="00CD588D">
        <w:t>-</w:t>
      </w:r>
      <w:r w:rsidR="008C6465" w:rsidRPr="00104DDD">
        <w:t>income tax offset or the temporary cut in excise on fuel</w:t>
      </w:r>
      <w:r>
        <w:t>.</w:t>
      </w:r>
      <w:r w:rsidR="008C6465" w:rsidRPr="00104DDD">
        <w:t xml:space="preserve"> </w:t>
      </w:r>
      <w:r>
        <w:t>This</w:t>
      </w:r>
      <w:r w:rsidRPr="00104DDD">
        <w:t xml:space="preserve"> </w:t>
      </w:r>
      <w:r w:rsidR="008C6465" w:rsidRPr="00104DDD">
        <w:t xml:space="preserve">prevented </w:t>
      </w:r>
      <w:r>
        <w:t>achievement of</w:t>
      </w:r>
      <w:r w:rsidR="008C6465" w:rsidRPr="00104DDD">
        <w:t xml:space="preserve"> full marks</w:t>
      </w:r>
      <w:r w:rsidR="00DD4F72" w:rsidRPr="00104DDD">
        <w:t xml:space="preserve"> despite the validity of the prediction</w:t>
      </w:r>
      <w:r>
        <w:t xml:space="preserve"> as the 2023</w:t>
      </w:r>
      <w:r w:rsidR="00DC5AE2">
        <w:t>–</w:t>
      </w:r>
      <w:r>
        <w:t>24 budget was specified within the question</w:t>
      </w:r>
      <w:r w:rsidR="00DD4F72" w:rsidRPr="00104DDD">
        <w:t>. Other</w:t>
      </w:r>
      <w:r>
        <w:t>s</w:t>
      </w:r>
      <w:r w:rsidR="00DD4F72" w:rsidRPr="00104DDD">
        <w:t xml:space="preserve"> </w:t>
      </w:r>
      <w:r w:rsidR="008C6465" w:rsidRPr="00104DDD">
        <w:t xml:space="preserve">either </w:t>
      </w:r>
      <w:r>
        <w:t xml:space="preserve">simply </w:t>
      </w:r>
      <w:r w:rsidR="008C6465" w:rsidRPr="00104DDD">
        <w:t xml:space="preserve">invented a discretionary </w:t>
      </w:r>
      <w:proofErr w:type="spellStart"/>
      <w:proofErr w:type="gramStart"/>
      <w:r w:rsidR="008C6465" w:rsidRPr="00104DDD">
        <w:t>stabiliser</w:t>
      </w:r>
      <w:proofErr w:type="spellEnd"/>
      <w:r w:rsidR="008C6465" w:rsidRPr="00104DDD">
        <w:t>, or</w:t>
      </w:r>
      <w:proofErr w:type="gramEnd"/>
      <w:r w:rsidR="008C6465" w:rsidRPr="00104DDD">
        <w:t xml:space="preserve"> selected a </w:t>
      </w:r>
      <w:proofErr w:type="spellStart"/>
      <w:r w:rsidR="008C6465" w:rsidRPr="00104DDD">
        <w:t>stabiliser</w:t>
      </w:r>
      <w:proofErr w:type="spellEnd"/>
      <w:r w:rsidR="008C6465" w:rsidRPr="00104DDD">
        <w:t xml:space="preserve"> </w:t>
      </w:r>
      <w:r>
        <w:t>in</w:t>
      </w:r>
      <w:r w:rsidR="008C6465" w:rsidRPr="00104DDD">
        <w:t>appropriate in the context of the question, such as the increase in excise on tobacco</w:t>
      </w:r>
      <w:r w:rsidR="00DC5AE2">
        <w:t>, t</w:t>
      </w:r>
      <w:r>
        <w:t>hus making it</w:t>
      </w:r>
      <w:r w:rsidR="008C6465" w:rsidRPr="00104DDD">
        <w:t xml:space="preserve"> difficult to achieve full marks.</w:t>
      </w:r>
      <w:r w:rsidR="00DD4F72" w:rsidRPr="00104DDD">
        <w:t xml:space="preserve"> </w:t>
      </w:r>
      <w:r>
        <w:t>S</w:t>
      </w:r>
      <w:r w:rsidR="00DD4F72" w:rsidRPr="00104DDD">
        <w:t xml:space="preserve">tudents </w:t>
      </w:r>
      <w:r>
        <w:t>must</w:t>
      </w:r>
      <w:r w:rsidR="00DD4F72" w:rsidRPr="00104DDD">
        <w:t xml:space="preserve"> read question</w:t>
      </w:r>
      <w:r>
        <w:t>s</w:t>
      </w:r>
      <w:r w:rsidR="00DD4F72" w:rsidRPr="00104DDD">
        <w:t xml:space="preserve"> carefully and remain engaged with </w:t>
      </w:r>
      <w:r>
        <w:t xml:space="preserve">current </w:t>
      </w:r>
      <w:r w:rsidR="00DD4F72" w:rsidRPr="00104DDD">
        <w:t>policy developments as they evolve over their year of study.</w:t>
      </w:r>
    </w:p>
    <w:p w14:paraId="1AED94E9" w14:textId="4669D46F" w:rsidR="00F4673E" w:rsidRPr="00104DDD" w:rsidRDefault="00C15421" w:rsidP="00104DDD">
      <w:pPr>
        <w:pStyle w:val="VCAAbody"/>
      </w:pPr>
      <w:r>
        <w:t>Others</w:t>
      </w:r>
      <w:r w:rsidR="008C6465" w:rsidRPr="00104DDD">
        <w:t xml:space="preserve"> confused </w:t>
      </w:r>
      <w:r w:rsidR="00DD4F72" w:rsidRPr="00104DDD">
        <w:t xml:space="preserve">monetary and budgetary </w:t>
      </w:r>
      <w:r w:rsidR="008C6465" w:rsidRPr="00104DDD">
        <w:t xml:space="preserve">policies and selected an increase or decrease in interest rates as the discretionary </w:t>
      </w:r>
      <w:proofErr w:type="spellStart"/>
      <w:r w:rsidR="00DD4F72" w:rsidRPr="00104DDD">
        <w:t>stabili</w:t>
      </w:r>
      <w:r w:rsidR="002C3BDD" w:rsidRPr="00104DDD">
        <w:t>s</w:t>
      </w:r>
      <w:r w:rsidR="00DD4F72" w:rsidRPr="00104DDD">
        <w:t>er</w:t>
      </w:r>
      <w:proofErr w:type="spellEnd"/>
      <w:r w:rsidR="002C3BDD" w:rsidRPr="00104DDD">
        <w:t>,</w:t>
      </w:r>
      <w:r w:rsidR="00DD4F72" w:rsidRPr="00104DDD">
        <w:t xml:space="preserve"> </w:t>
      </w:r>
      <w:r>
        <w:t xml:space="preserve">also </w:t>
      </w:r>
      <w:r w:rsidR="00DD4F72" w:rsidRPr="00104DDD">
        <w:t>making it impossible to score full marks.</w:t>
      </w:r>
      <w:r w:rsidR="00F87ED6">
        <w:t xml:space="preserve"> </w:t>
      </w:r>
      <w:r w:rsidR="00F4673E" w:rsidRPr="00104DDD">
        <w:t xml:space="preserve">A high number of students </w:t>
      </w:r>
      <w:r>
        <w:t>did</w:t>
      </w:r>
      <w:r w:rsidR="00F4673E" w:rsidRPr="00104DDD">
        <w:t xml:space="preserve"> </w:t>
      </w:r>
      <w:r w:rsidR="00A65B8D">
        <w:t xml:space="preserve">not </w:t>
      </w:r>
      <w:r w:rsidR="00F4673E" w:rsidRPr="00104DDD">
        <w:t>attempt this question</w:t>
      </w:r>
      <w:r w:rsidR="00DC5AE2">
        <w:t>,</w:t>
      </w:r>
      <w:r>
        <w:t xml:space="preserve"> indicating that added emphasis should be given to teaching this aspect of key knowledge</w:t>
      </w:r>
      <w:r w:rsidR="00F4673E" w:rsidRPr="00104DDD">
        <w:t xml:space="preserve">. </w:t>
      </w:r>
      <w:r>
        <w:t>Discretionary</w:t>
      </w:r>
      <w:r w:rsidR="00F4673E" w:rsidRPr="00104DDD">
        <w:t xml:space="preserve"> </w:t>
      </w:r>
      <w:proofErr w:type="spellStart"/>
      <w:r w:rsidR="00F4673E" w:rsidRPr="00104DDD">
        <w:t>stabilisers</w:t>
      </w:r>
      <w:proofErr w:type="spellEnd"/>
      <w:r w:rsidR="00F4673E" w:rsidRPr="00104DDD">
        <w:t xml:space="preserve"> are a key aspect of budgetary policy</w:t>
      </w:r>
      <w:r w:rsidR="002C3BDD" w:rsidRPr="00104DDD">
        <w:t>,</w:t>
      </w:r>
      <w:r w:rsidR="00F4673E" w:rsidRPr="00104DDD">
        <w:t xml:space="preserve"> and students are expected to know contemporary examples of discretionary </w:t>
      </w:r>
      <w:proofErr w:type="spellStart"/>
      <w:r w:rsidR="00F4673E" w:rsidRPr="00104DDD">
        <w:t>stabilisers</w:t>
      </w:r>
      <w:proofErr w:type="spellEnd"/>
      <w:r w:rsidR="00F4673E" w:rsidRPr="00104DDD">
        <w:t xml:space="preserve"> (from the past two years).</w:t>
      </w:r>
    </w:p>
    <w:p w14:paraId="64D205A7" w14:textId="77777777" w:rsidR="008C6465" w:rsidRPr="00104DDD" w:rsidRDefault="008C6465" w:rsidP="00104DDD">
      <w:pPr>
        <w:pStyle w:val="VCAAbody"/>
      </w:pPr>
      <w:r w:rsidRPr="00104DDD">
        <w:t xml:space="preserve">The following is an example of a high-scoring response. </w:t>
      </w:r>
    </w:p>
    <w:p w14:paraId="08ED5793" w14:textId="6CDB765F" w:rsidR="008C6465" w:rsidRPr="003C0A2F" w:rsidRDefault="002C3BDD" w:rsidP="00E1317D">
      <w:pPr>
        <w:pStyle w:val="VCAAstudentresponse"/>
      </w:pPr>
      <w:r w:rsidRPr="002C3BDD">
        <w:t>The accelerated depreciation allowance in the form of the extension of the instant asset write-off scheme enabled firms to deduct the full cost of eligible depreciable assets, of any value, in the year they’re installed. This would have encouraged firms to undertake more capital investment in machinery and motor vehicles, etc. than they would’ve without the discretionary stabiliser. Thus, this boosted the level of investment, which increased injections relative to leakages, stimulating greater levels of AD. Firms would have them responded to the increased sales and spending with increased production volumes, thus boosting output, GDP and increasing the rate of economic growth. The greater levels of real GDP would, ceteris paribus, lead to a greater real GDP per capita, thus increasing average Australian’s access to goods and services, boosting material living standards. The increased economic growth would have also increased derived demand for labour, reducing unemployment and improving self</w:t>
      </w:r>
      <w:r w:rsidR="00FE44BD">
        <w:t>-</w:t>
      </w:r>
      <w:r w:rsidRPr="002C3BDD">
        <w:t>esteem and increasing non-material living standards, thereby increasing overall living standards.</w:t>
      </w:r>
    </w:p>
    <w:p w14:paraId="04636FA5" w14:textId="6112CC0F" w:rsidR="005132E4" w:rsidRPr="003C0A2F" w:rsidRDefault="005132E4" w:rsidP="009914F6">
      <w:pPr>
        <w:pStyle w:val="VCAAHeading3"/>
      </w:pPr>
      <w:r w:rsidRPr="003C0A2F">
        <w:t xml:space="preserve">Question </w:t>
      </w:r>
      <w:r>
        <w:t>3d</w:t>
      </w:r>
      <w:r w:rsidRPr="003C0A2F">
        <w:t>.</w:t>
      </w:r>
    </w:p>
    <w:tbl>
      <w:tblPr>
        <w:tblStyle w:val="VCAATableClosed"/>
        <w:tblW w:w="0" w:type="auto"/>
        <w:tblInd w:w="142" w:type="dxa"/>
        <w:tblLook w:val="04A0" w:firstRow="1" w:lastRow="0" w:firstColumn="1" w:lastColumn="0" w:noHBand="0" w:noVBand="1"/>
      </w:tblPr>
      <w:tblGrid>
        <w:gridCol w:w="720"/>
        <w:gridCol w:w="576"/>
        <w:gridCol w:w="576"/>
        <w:gridCol w:w="576"/>
        <w:gridCol w:w="576"/>
        <w:gridCol w:w="1008"/>
      </w:tblGrid>
      <w:tr w:rsidR="005132E4" w:rsidRPr="003C0A2F" w14:paraId="0E427486"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75BEC1EA" w14:textId="77777777" w:rsidR="005132E4" w:rsidRPr="003C0A2F" w:rsidRDefault="005132E4" w:rsidP="00AE7682">
            <w:pPr>
              <w:pStyle w:val="VCAAtablecondensedheading"/>
              <w:rPr>
                <w:lang w:val="en-AU"/>
              </w:rPr>
            </w:pPr>
            <w:r w:rsidRPr="003C0A2F">
              <w:rPr>
                <w:lang w:val="en-AU"/>
              </w:rPr>
              <w:t>Marks</w:t>
            </w:r>
          </w:p>
        </w:tc>
        <w:tc>
          <w:tcPr>
            <w:tcW w:w="576" w:type="dxa"/>
          </w:tcPr>
          <w:p w14:paraId="322217F5" w14:textId="77777777" w:rsidR="005132E4" w:rsidRPr="003C0A2F" w:rsidRDefault="005132E4" w:rsidP="00AE7682">
            <w:pPr>
              <w:pStyle w:val="VCAAtablecondensedheading"/>
              <w:rPr>
                <w:lang w:val="en-AU"/>
              </w:rPr>
            </w:pPr>
            <w:r w:rsidRPr="003C0A2F">
              <w:rPr>
                <w:lang w:val="en-AU"/>
              </w:rPr>
              <w:t>0</w:t>
            </w:r>
          </w:p>
        </w:tc>
        <w:tc>
          <w:tcPr>
            <w:tcW w:w="576" w:type="dxa"/>
          </w:tcPr>
          <w:p w14:paraId="60FDE5D9" w14:textId="77777777" w:rsidR="005132E4" w:rsidRPr="003C0A2F" w:rsidRDefault="005132E4" w:rsidP="00AE7682">
            <w:pPr>
              <w:pStyle w:val="VCAAtablecondensedheading"/>
              <w:rPr>
                <w:lang w:val="en-AU"/>
              </w:rPr>
            </w:pPr>
            <w:r w:rsidRPr="003C0A2F">
              <w:rPr>
                <w:lang w:val="en-AU"/>
              </w:rPr>
              <w:t>1</w:t>
            </w:r>
          </w:p>
        </w:tc>
        <w:tc>
          <w:tcPr>
            <w:tcW w:w="576" w:type="dxa"/>
          </w:tcPr>
          <w:p w14:paraId="0767997E" w14:textId="77777777" w:rsidR="005132E4" w:rsidRPr="003C0A2F" w:rsidRDefault="005132E4" w:rsidP="00AE7682">
            <w:pPr>
              <w:pStyle w:val="VCAAtablecondensedheading"/>
              <w:rPr>
                <w:lang w:val="en-AU"/>
              </w:rPr>
            </w:pPr>
            <w:r w:rsidRPr="003C0A2F">
              <w:rPr>
                <w:lang w:val="en-AU"/>
              </w:rPr>
              <w:t>2</w:t>
            </w:r>
          </w:p>
        </w:tc>
        <w:tc>
          <w:tcPr>
            <w:tcW w:w="576" w:type="dxa"/>
          </w:tcPr>
          <w:p w14:paraId="2C781A37" w14:textId="77777777" w:rsidR="005132E4" w:rsidRPr="003C0A2F" w:rsidRDefault="005132E4" w:rsidP="00AE7682">
            <w:pPr>
              <w:pStyle w:val="VCAAtablecondensedheading"/>
              <w:rPr>
                <w:lang w:val="en-AU"/>
              </w:rPr>
            </w:pPr>
            <w:r w:rsidRPr="003C0A2F">
              <w:rPr>
                <w:lang w:val="en-AU"/>
              </w:rPr>
              <w:t>3</w:t>
            </w:r>
          </w:p>
        </w:tc>
        <w:tc>
          <w:tcPr>
            <w:tcW w:w="1008" w:type="dxa"/>
          </w:tcPr>
          <w:p w14:paraId="1692869A" w14:textId="77777777" w:rsidR="005132E4" w:rsidRPr="003C0A2F" w:rsidRDefault="005132E4" w:rsidP="00AE7682">
            <w:pPr>
              <w:pStyle w:val="VCAAtablecondensedheading"/>
              <w:rPr>
                <w:lang w:val="en-AU"/>
              </w:rPr>
            </w:pPr>
            <w:r w:rsidRPr="003C0A2F">
              <w:rPr>
                <w:lang w:val="en-AU"/>
              </w:rPr>
              <w:t>Average</w:t>
            </w:r>
          </w:p>
        </w:tc>
      </w:tr>
      <w:tr w:rsidR="00FC7491" w:rsidRPr="003C0A2F" w14:paraId="04E40831" w14:textId="77777777" w:rsidTr="0052782F">
        <w:tc>
          <w:tcPr>
            <w:tcW w:w="720" w:type="dxa"/>
          </w:tcPr>
          <w:p w14:paraId="267D0376" w14:textId="77777777" w:rsidR="00FC7491" w:rsidRPr="003C0A2F" w:rsidRDefault="00FC7491" w:rsidP="00FC7491">
            <w:pPr>
              <w:pStyle w:val="VCAAtablecondensed"/>
              <w:rPr>
                <w:lang w:val="en-AU"/>
              </w:rPr>
            </w:pPr>
            <w:r w:rsidRPr="003C0A2F">
              <w:rPr>
                <w:lang w:val="en-AU"/>
              </w:rPr>
              <w:t>%</w:t>
            </w:r>
          </w:p>
        </w:tc>
        <w:tc>
          <w:tcPr>
            <w:tcW w:w="576" w:type="dxa"/>
          </w:tcPr>
          <w:p w14:paraId="24FA83FC" w14:textId="52ED6625" w:rsidR="00FC7491" w:rsidRPr="003C0A2F" w:rsidRDefault="00FC7491" w:rsidP="00FC7491">
            <w:pPr>
              <w:pStyle w:val="VCAAtablecondensed"/>
              <w:rPr>
                <w:lang w:val="en-AU"/>
              </w:rPr>
            </w:pPr>
            <w:r w:rsidRPr="00C80F39">
              <w:t>1</w:t>
            </w:r>
            <w:r w:rsidR="00DC2149">
              <w:t>8</w:t>
            </w:r>
          </w:p>
        </w:tc>
        <w:tc>
          <w:tcPr>
            <w:tcW w:w="576" w:type="dxa"/>
          </w:tcPr>
          <w:p w14:paraId="39A62447" w14:textId="78748B1B" w:rsidR="00FC7491" w:rsidRPr="003C0A2F" w:rsidRDefault="00FC7491" w:rsidP="00FC7491">
            <w:pPr>
              <w:pStyle w:val="VCAAtablecondensed"/>
              <w:rPr>
                <w:lang w:val="en-AU"/>
              </w:rPr>
            </w:pPr>
            <w:r w:rsidRPr="00C80F39">
              <w:t>24</w:t>
            </w:r>
          </w:p>
        </w:tc>
        <w:tc>
          <w:tcPr>
            <w:tcW w:w="576" w:type="dxa"/>
          </w:tcPr>
          <w:p w14:paraId="35CA8771" w14:textId="2A0979B4" w:rsidR="00FC7491" w:rsidRPr="003C0A2F" w:rsidRDefault="00DC2149" w:rsidP="00FC7491">
            <w:pPr>
              <w:pStyle w:val="VCAAtablecondensed"/>
              <w:rPr>
                <w:lang w:val="en-AU"/>
              </w:rPr>
            </w:pPr>
            <w:r>
              <w:t>30</w:t>
            </w:r>
          </w:p>
        </w:tc>
        <w:tc>
          <w:tcPr>
            <w:tcW w:w="576" w:type="dxa"/>
          </w:tcPr>
          <w:p w14:paraId="35BAD71D" w14:textId="488EC1A3" w:rsidR="00FC7491" w:rsidRPr="003C0A2F" w:rsidRDefault="00FC7491" w:rsidP="00FC7491">
            <w:pPr>
              <w:pStyle w:val="VCAAtablecondensed"/>
              <w:rPr>
                <w:lang w:val="en-AU"/>
              </w:rPr>
            </w:pPr>
            <w:r w:rsidRPr="00C80F39">
              <w:t>28</w:t>
            </w:r>
          </w:p>
        </w:tc>
        <w:tc>
          <w:tcPr>
            <w:tcW w:w="1008" w:type="dxa"/>
          </w:tcPr>
          <w:p w14:paraId="5BDB3DF0" w14:textId="4A6999D6" w:rsidR="00FC7491" w:rsidRPr="003C0A2F" w:rsidRDefault="00FC7491" w:rsidP="00FC7491">
            <w:pPr>
              <w:pStyle w:val="VCAAtablecondensed"/>
              <w:rPr>
                <w:lang w:val="en-AU"/>
              </w:rPr>
            </w:pPr>
            <w:r w:rsidRPr="00C80F39">
              <w:t>1.7</w:t>
            </w:r>
          </w:p>
        </w:tc>
      </w:tr>
    </w:tbl>
    <w:p w14:paraId="5232B4EC" w14:textId="586C9329" w:rsidR="00B15AF1" w:rsidRPr="00104DDD" w:rsidRDefault="00DD4F72" w:rsidP="00104DDD">
      <w:pPr>
        <w:pStyle w:val="VCAAbody"/>
      </w:pPr>
      <w:r w:rsidRPr="00104DDD">
        <w:t xml:space="preserve">To achieve full marks, students </w:t>
      </w:r>
      <w:r w:rsidR="003954B8">
        <w:t>were required</w:t>
      </w:r>
      <w:r w:rsidR="003954B8" w:rsidRPr="00104DDD">
        <w:t xml:space="preserve"> </w:t>
      </w:r>
      <w:r w:rsidRPr="00104DDD">
        <w:t xml:space="preserve">to </w:t>
      </w:r>
      <w:r w:rsidR="00B15AF1" w:rsidRPr="00104DDD">
        <w:t xml:space="preserve">describe </w:t>
      </w:r>
      <w:r w:rsidR="00775A82">
        <w:t>one</w:t>
      </w:r>
      <w:r w:rsidR="00775A82" w:rsidRPr="00104DDD">
        <w:t xml:space="preserve"> </w:t>
      </w:r>
      <w:r w:rsidR="00B15AF1" w:rsidRPr="00104DDD">
        <w:t xml:space="preserve">relevant weakness </w:t>
      </w:r>
      <w:r w:rsidR="00A52F09">
        <w:t>of using budgetary policy</w:t>
      </w:r>
      <w:r w:rsidR="00FE44BD">
        <w:t xml:space="preserve"> (BP)</w:t>
      </w:r>
      <w:r w:rsidR="00A52F09">
        <w:t xml:space="preserve"> </w:t>
      </w:r>
      <w:r w:rsidR="00775A82">
        <w:t xml:space="preserve">linked to </w:t>
      </w:r>
      <w:r w:rsidR="00B15AF1" w:rsidRPr="00104DDD">
        <w:t xml:space="preserve">a reduced capacity to slow or constrain growth in </w:t>
      </w:r>
      <w:r w:rsidR="00B15AF1" w:rsidRPr="00F64C16">
        <w:t>AD</w:t>
      </w:r>
      <w:r w:rsidR="00B15AF1" w:rsidRPr="00104DDD">
        <w:t xml:space="preserve"> and </w:t>
      </w:r>
      <w:r w:rsidR="00775A82">
        <w:t xml:space="preserve">the rate of </w:t>
      </w:r>
      <w:r w:rsidR="00B15AF1" w:rsidRPr="00104DDD">
        <w:t>inflation.</w:t>
      </w:r>
      <w:r w:rsidR="00F87ED6">
        <w:t xml:space="preserve"> </w:t>
      </w:r>
      <w:r w:rsidR="00B15AF1" w:rsidRPr="00104DDD">
        <w:t>Many students were able to identify a relevant weakness, such as the implementation lag (e.g. the delays creat</w:t>
      </w:r>
      <w:r w:rsidR="009045DF" w:rsidRPr="00104DDD">
        <w:t>ed</w:t>
      </w:r>
      <w:r w:rsidR="00B15AF1" w:rsidRPr="00104DDD">
        <w:t xml:space="preserve"> by the passage of budget bills through parliament) or political bias (e.g. the government focusing less on the economy and more on votes).</w:t>
      </w:r>
      <w:r w:rsidR="00F87ED6">
        <w:t xml:space="preserve"> </w:t>
      </w:r>
      <w:r w:rsidR="00B15AF1" w:rsidRPr="00104DDD">
        <w:t xml:space="preserve">However, students </w:t>
      </w:r>
      <w:r w:rsidR="00A52F09">
        <w:t xml:space="preserve">often </w:t>
      </w:r>
      <w:r w:rsidR="00B15AF1" w:rsidRPr="00104DDD">
        <w:t xml:space="preserve">continued in a theoretical way without any attempt to tailor </w:t>
      </w:r>
      <w:r w:rsidR="00775A82">
        <w:t>the identified weakness</w:t>
      </w:r>
      <w:r w:rsidR="00B15AF1" w:rsidRPr="00104DDD">
        <w:t xml:space="preserve"> to the facts as outlined in the question. </w:t>
      </w:r>
      <w:r w:rsidR="00775A82">
        <w:t>Students were required</w:t>
      </w:r>
      <w:r w:rsidR="00B15AF1" w:rsidRPr="00104DDD">
        <w:t xml:space="preserve"> to examine how the </w:t>
      </w:r>
      <w:r w:rsidR="00775A82">
        <w:t xml:space="preserve">identified </w:t>
      </w:r>
      <w:r w:rsidR="00B15AF1" w:rsidRPr="00104DDD">
        <w:t xml:space="preserve">weakness constrained government ability to reduce </w:t>
      </w:r>
      <w:r w:rsidR="00B15AF1" w:rsidRPr="00F64C16">
        <w:t>AD</w:t>
      </w:r>
      <w:r w:rsidR="00B15AF1" w:rsidRPr="00104DDD">
        <w:t xml:space="preserve"> and decrease </w:t>
      </w:r>
      <w:r w:rsidR="00775A82">
        <w:t xml:space="preserve">the rate of </w:t>
      </w:r>
      <w:r w:rsidR="00B15AF1" w:rsidRPr="00104DDD">
        <w:t>inflation.</w:t>
      </w:r>
      <w:r w:rsidR="00F87ED6">
        <w:t xml:space="preserve"> </w:t>
      </w:r>
    </w:p>
    <w:p w14:paraId="6A45E80B" w14:textId="7A94A1F5" w:rsidR="00390376" w:rsidRPr="00104DDD" w:rsidRDefault="0036007E" w:rsidP="00104DDD">
      <w:pPr>
        <w:pStyle w:val="VCAAbody"/>
      </w:pPr>
      <w:r>
        <w:t>The h</w:t>
      </w:r>
      <w:r w:rsidR="00A52F09">
        <w:t>ighest-scoring responses</w:t>
      </w:r>
      <w:r w:rsidR="00B15AF1" w:rsidRPr="00104DDD">
        <w:t xml:space="preserve"> successfully argue</w:t>
      </w:r>
      <w:r w:rsidR="00A52F09">
        <w:t>d</w:t>
      </w:r>
      <w:r w:rsidR="00B15AF1" w:rsidRPr="00104DDD">
        <w:t xml:space="preserve"> that the chosen weakness (e.g. implementation lags due to the budget process and delays in parliament) limited the ability of the budget (or budgetary policy) to </w:t>
      </w:r>
      <w:r w:rsidR="009045DF" w:rsidRPr="00104DDD">
        <w:t xml:space="preserve">fight inflation by </w:t>
      </w:r>
      <w:r w:rsidR="00B15AF1" w:rsidRPr="00104DDD">
        <w:t>restrain</w:t>
      </w:r>
      <w:r w:rsidR="009045DF" w:rsidRPr="00104DDD">
        <w:t>ing</w:t>
      </w:r>
      <w:r w:rsidR="00B15AF1" w:rsidRPr="00104DDD">
        <w:t xml:space="preserve"> growth in </w:t>
      </w:r>
      <w:r w:rsidR="00B15AF1" w:rsidRPr="00F64C16">
        <w:t>AD</w:t>
      </w:r>
      <w:r w:rsidR="00B15AF1" w:rsidRPr="00104DDD">
        <w:t>.</w:t>
      </w:r>
      <w:r w:rsidR="00F87ED6">
        <w:t xml:space="preserve"> </w:t>
      </w:r>
      <w:r w:rsidR="00A52F09">
        <w:t xml:space="preserve">Some </w:t>
      </w:r>
      <w:r w:rsidR="00CB5DDF">
        <w:t xml:space="preserve">of these </w:t>
      </w:r>
      <w:r w:rsidR="00B15AF1" w:rsidRPr="00104DDD">
        <w:t>included reference to the Stage 3 tax cuts, due to come into effect in 2023</w:t>
      </w:r>
      <w:r w:rsidR="00CB5DDF">
        <w:t>–</w:t>
      </w:r>
      <w:r w:rsidR="00B15AF1" w:rsidRPr="00104DDD">
        <w:t xml:space="preserve">24, as an example of a </w:t>
      </w:r>
      <w:r w:rsidR="00B15AF1" w:rsidRPr="00F64C16">
        <w:t>BP</w:t>
      </w:r>
      <w:r w:rsidR="00B15AF1" w:rsidRPr="00104DDD">
        <w:t xml:space="preserve"> weakness in slowing </w:t>
      </w:r>
      <w:r w:rsidR="00B15AF1" w:rsidRPr="00F64C16">
        <w:t>AD</w:t>
      </w:r>
      <w:r w:rsidR="00B15AF1" w:rsidRPr="00104DDD">
        <w:t xml:space="preserve"> and inflation.</w:t>
      </w:r>
      <w:r w:rsidR="00F87ED6">
        <w:t xml:space="preserve"> </w:t>
      </w:r>
      <w:r w:rsidR="00B15AF1" w:rsidRPr="00104DDD">
        <w:t xml:space="preserve">They argued, for </w:t>
      </w:r>
      <w:r w:rsidR="00B15AF1" w:rsidRPr="00104DDD">
        <w:lastRenderedPageBreak/>
        <w:t xml:space="preserve">example, that the tax cuts would lead to excessive growth in </w:t>
      </w:r>
      <w:r w:rsidR="00B15AF1" w:rsidRPr="00F64C16">
        <w:t>AD</w:t>
      </w:r>
      <w:r w:rsidR="00B15AF1" w:rsidRPr="00104DDD">
        <w:t xml:space="preserve"> and inflation, and that the government’s refusal to rule</w:t>
      </w:r>
      <w:r w:rsidR="007F62F8" w:rsidRPr="00104DDD">
        <w:t xml:space="preserve"> out</w:t>
      </w:r>
      <w:r w:rsidR="00B15AF1" w:rsidRPr="00104DDD">
        <w:t xml:space="preserve"> a repeal of the cuts was motivated purely by political considerations (fearing voter backlash).</w:t>
      </w:r>
    </w:p>
    <w:p w14:paraId="03337810" w14:textId="7025EDBA" w:rsidR="00B15AF1" w:rsidRDefault="00775A82" w:rsidP="00B15AF1">
      <w:pPr>
        <w:pStyle w:val="VCAAbody"/>
      </w:pPr>
      <w:r>
        <w:t>Other common</w:t>
      </w:r>
      <w:r w:rsidR="00B15AF1">
        <w:t xml:space="preserve"> errors included:</w:t>
      </w:r>
    </w:p>
    <w:p w14:paraId="38C73993" w14:textId="33162239" w:rsidR="00B15AF1" w:rsidRPr="00727C94" w:rsidRDefault="00CB5DDF" w:rsidP="00D75026">
      <w:pPr>
        <w:pStyle w:val="VCAAbullet"/>
      </w:pPr>
      <w:r>
        <w:t>t</w:t>
      </w:r>
      <w:r w:rsidR="00B15AF1" w:rsidRPr="00727C94">
        <w:t xml:space="preserve">he identification of a weakness (e.g. </w:t>
      </w:r>
      <w:r w:rsidR="007F62F8" w:rsidRPr="00727C94">
        <w:t>p</w:t>
      </w:r>
      <w:r w:rsidR="00B15AF1" w:rsidRPr="00727C94">
        <w:t>olitical bias) without further examination of its implications</w:t>
      </w:r>
    </w:p>
    <w:p w14:paraId="5085693F" w14:textId="7A1DF65F" w:rsidR="00B15AF1" w:rsidRPr="00727C94" w:rsidRDefault="00CB5DDF" w:rsidP="00D75026">
      <w:pPr>
        <w:pStyle w:val="VCAAbullet"/>
      </w:pPr>
      <w:r>
        <w:t>c</w:t>
      </w:r>
      <w:r w:rsidR="00B15AF1" w:rsidRPr="00727C94">
        <w:t>onfusi</w:t>
      </w:r>
      <w:r w:rsidR="00775A82">
        <w:t xml:space="preserve">on of </w:t>
      </w:r>
      <w:r w:rsidR="00B15AF1" w:rsidRPr="00727C94">
        <w:t>budgetary policy weaknesses with monetary policy weaknesses</w:t>
      </w:r>
    </w:p>
    <w:p w14:paraId="7F76F2C6" w14:textId="08F6B1C8" w:rsidR="00B15AF1" w:rsidRPr="00727C94" w:rsidRDefault="00CB5DDF" w:rsidP="00D75026">
      <w:pPr>
        <w:pStyle w:val="VCAAbullet"/>
      </w:pPr>
      <w:r>
        <w:t>e</w:t>
      </w:r>
      <w:r w:rsidR="0033404B" w:rsidRPr="00727C94">
        <w:t xml:space="preserve">xamining the weakness in relation to </w:t>
      </w:r>
      <w:r w:rsidR="0033404B" w:rsidRPr="00F64C16">
        <w:t>AD</w:t>
      </w:r>
      <w:r w:rsidR="0033404B" w:rsidRPr="00727C94">
        <w:t xml:space="preserve"> without </w:t>
      </w:r>
      <w:r w:rsidR="00775A82">
        <w:t>reference</w:t>
      </w:r>
      <w:r w:rsidR="0033404B" w:rsidRPr="00727C94">
        <w:t xml:space="preserve"> to the implications for inflation.</w:t>
      </w:r>
    </w:p>
    <w:p w14:paraId="4B949498" w14:textId="77777777" w:rsidR="0033404B" w:rsidRPr="00104DDD" w:rsidRDefault="0033404B" w:rsidP="00104DDD">
      <w:pPr>
        <w:pStyle w:val="VCAAbody"/>
      </w:pPr>
      <w:r w:rsidRPr="00104DDD">
        <w:t xml:space="preserve">The following is an example of a high-scoring response. </w:t>
      </w:r>
    </w:p>
    <w:p w14:paraId="3A258038" w14:textId="7B0F0ABD" w:rsidR="00B15AF1" w:rsidRPr="00727C94" w:rsidRDefault="002C3BDD" w:rsidP="00727C94">
      <w:pPr>
        <w:pStyle w:val="VCAAstudentresponse"/>
      </w:pPr>
      <w:r w:rsidRPr="00727C94">
        <w:t>One weakness of BP would be that it is subject to a high level of political bias. As policy deviations often become heavily politicised, policies may be implemented to gain greater votes rather than do what is best in the national economic interest, which may be to reduce AD and lower inflation. One example would be the labour government’s current refusal to delay or postpone the planned stage three tax cuts, as this would be seen as a politically unpopular deviation. However, economists generally agree tha</w:t>
      </w:r>
      <w:r w:rsidR="00FE44BD">
        <w:t>t</w:t>
      </w:r>
      <w:r w:rsidRPr="00727C94">
        <w:t xml:space="preserve"> these tax cuts would increase consumption, AD and further exacerbate already high levels of inflation. Thus, the labour government’s refusal to end them in fear of voter fallout, constrains its ability to slow growth in AD and inflation, although this would promote greater health of the economy.</w:t>
      </w:r>
      <w:r w:rsidR="00F87ED6">
        <w:t xml:space="preserve"> </w:t>
      </w:r>
    </w:p>
    <w:p w14:paraId="01F1B867" w14:textId="3AF42D61" w:rsidR="005132E4" w:rsidRPr="003C0A2F" w:rsidRDefault="005132E4" w:rsidP="009914F6">
      <w:pPr>
        <w:pStyle w:val="VCAAHeading3"/>
      </w:pPr>
      <w:r w:rsidRPr="003C0A2F">
        <w:t xml:space="preserve">Question </w:t>
      </w:r>
      <w:r>
        <w:t>4a</w:t>
      </w:r>
      <w:r w:rsidRPr="003C0A2F">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5132E4" w:rsidRPr="003C0A2F" w14:paraId="5C74C04E"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313BED7C" w14:textId="77777777" w:rsidR="005132E4" w:rsidRPr="003C0A2F" w:rsidRDefault="005132E4" w:rsidP="00AE7682">
            <w:pPr>
              <w:pStyle w:val="VCAAtablecondensedheading"/>
              <w:rPr>
                <w:lang w:val="en-AU"/>
              </w:rPr>
            </w:pPr>
            <w:r w:rsidRPr="003C0A2F">
              <w:rPr>
                <w:lang w:val="en-AU"/>
              </w:rPr>
              <w:t>Marks</w:t>
            </w:r>
          </w:p>
        </w:tc>
        <w:tc>
          <w:tcPr>
            <w:tcW w:w="576" w:type="dxa"/>
          </w:tcPr>
          <w:p w14:paraId="63126C03" w14:textId="77777777" w:rsidR="005132E4" w:rsidRPr="003C0A2F" w:rsidRDefault="005132E4" w:rsidP="00AE7682">
            <w:pPr>
              <w:pStyle w:val="VCAAtablecondensedheading"/>
              <w:rPr>
                <w:lang w:val="en-AU"/>
              </w:rPr>
            </w:pPr>
            <w:r w:rsidRPr="003C0A2F">
              <w:rPr>
                <w:lang w:val="en-AU"/>
              </w:rPr>
              <w:t>0</w:t>
            </w:r>
          </w:p>
        </w:tc>
        <w:tc>
          <w:tcPr>
            <w:tcW w:w="576" w:type="dxa"/>
          </w:tcPr>
          <w:p w14:paraId="54C6A83F" w14:textId="77777777" w:rsidR="005132E4" w:rsidRPr="003C0A2F" w:rsidRDefault="005132E4" w:rsidP="00AE7682">
            <w:pPr>
              <w:pStyle w:val="VCAAtablecondensedheading"/>
              <w:rPr>
                <w:lang w:val="en-AU"/>
              </w:rPr>
            </w:pPr>
            <w:r w:rsidRPr="003C0A2F">
              <w:rPr>
                <w:lang w:val="en-AU"/>
              </w:rPr>
              <w:t>1</w:t>
            </w:r>
          </w:p>
        </w:tc>
        <w:tc>
          <w:tcPr>
            <w:tcW w:w="576" w:type="dxa"/>
          </w:tcPr>
          <w:p w14:paraId="64316E13" w14:textId="77777777" w:rsidR="005132E4" w:rsidRPr="003C0A2F" w:rsidRDefault="005132E4" w:rsidP="00AE7682">
            <w:pPr>
              <w:pStyle w:val="VCAAtablecondensedheading"/>
              <w:rPr>
                <w:lang w:val="en-AU"/>
              </w:rPr>
            </w:pPr>
            <w:r w:rsidRPr="003C0A2F">
              <w:rPr>
                <w:lang w:val="en-AU"/>
              </w:rPr>
              <w:t>2</w:t>
            </w:r>
          </w:p>
        </w:tc>
        <w:tc>
          <w:tcPr>
            <w:tcW w:w="576" w:type="dxa"/>
          </w:tcPr>
          <w:p w14:paraId="5758AC0A" w14:textId="77777777" w:rsidR="005132E4" w:rsidRPr="003C0A2F" w:rsidRDefault="005132E4" w:rsidP="00AE7682">
            <w:pPr>
              <w:pStyle w:val="VCAAtablecondensedheading"/>
              <w:rPr>
                <w:lang w:val="en-AU"/>
              </w:rPr>
            </w:pPr>
            <w:r w:rsidRPr="003C0A2F">
              <w:rPr>
                <w:lang w:val="en-AU"/>
              </w:rPr>
              <w:t>3</w:t>
            </w:r>
          </w:p>
        </w:tc>
        <w:tc>
          <w:tcPr>
            <w:tcW w:w="576" w:type="dxa"/>
          </w:tcPr>
          <w:p w14:paraId="7FCCCD00" w14:textId="77777777" w:rsidR="005132E4" w:rsidRPr="003C0A2F" w:rsidRDefault="005132E4" w:rsidP="00AE7682">
            <w:pPr>
              <w:pStyle w:val="VCAAtablecondensedheading"/>
              <w:rPr>
                <w:lang w:val="en-AU"/>
              </w:rPr>
            </w:pPr>
            <w:r w:rsidRPr="003C0A2F">
              <w:rPr>
                <w:lang w:val="en-AU"/>
              </w:rPr>
              <w:t>4</w:t>
            </w:r>
          </w:p>
        </w:tc>
        <w:tc>
          <w:tcPr>
            <w:tcW w:w="1008" w:type="dxa"/>
          </w:tcPr>
          <w:p w14:paraId="6EE1833D" w14:textId="77777777" w:rsidR="005132E4" w:rsidRPr="003C0A2F" w:rsidRDefault="005132E4" w:rsidP="00AE7682">
            <w:pPr>
              <w:pStyle w:val="VCAAtablecondensedheading"/>
              <w:rPr>
                <w:lang w:val="en-AU"/>
              </w:rPr>
            </w:pPr>
            <w:r w:rsidRPr="003C0A2F">
              <w:rPr>
                <w:lang w:val="en-AU"/>
              </w:rPr>
              <w:t>Average</w:t>
            </w:r>
          </w:p>
        </w:tc>
      </w:tr>
      <w:tr w:rsidR="00FC7491" w:rsidRPr="003C0A2F" w14:paraId="0AE2FD80" w14:textId="77777777" w:rsidTr="0052782F">
        <w:tc>
          <w:tcPr>
            <w:tcW w:w="720" w:type="dxa"/>
          </w:tcPr>
          <w:p w14:paraId="06026800" w14:textId="77777777" w:rsidR="00FC7491" w:rsidRPr="003C0A2F" w:rsidRDefault="00FC7491" w:rsidP="00FC7491">
            <w:pPr>
              <w:pStyle w:val="VCAAtablecondensed"/>
              <w:rPr>
                <w:lang w:val="en-AU"/>
              </w:rPr>
            </w:pPr>
            <w:r w:rsidRPr="003C0A2F">
              <w:rPr>
                <w:lang w:val="en-AU"/>
              </w:rPr>
              <w:t>%</w:t>
            </w:r>
          </w:p>
        </w:tc>
        <w:tc>
          <w:tcPr>
            <w:tcW w:w="576" w:type="dxa"/>
          </w:tcPr>
          <w:p w14:paraId="255C7E8D" w14:textId="04DD8292" w:rsidR="00FC7491" w:rsidRPr="003C0A2F" w:rsidRDefault="00FC7491" w:rsidP="00FC7491">
            <w:pPr>
              <w:pStyle w:val="VCAAtablecondensed"/>
              <w:rPr>
                <w:lang w:val="en-AU"/>
              </w:rPr>
            </w:pPr>
            <w:r w:rsidRPr="00F719B8">
              <w:t>13</w:t>
            </w:r>
          </w:p>
        </w:tc>
        <w:tc>
          <w:tcPr>
            <w:tcW w:w="576" w:type="dxa"/>
          </w:tcPr>
          <w:p w14:paraId="686FA3B0" w14:textId="40E6DB67" w:rsidR="00FC7491" w:rsidRPr="003C0A2F" w:rsidRDefault="00FC7491" w:rsidP="00FC7491">
            <w:pPr>
              <w:pStyle w:val="VCAAtablecondensed"/>
              <w:rPr>
                <w:lang w:val="en-AU"/>
              </w:rPr>
            </w:pPr>
            <w:r w:rsidRPr="00F719B8">
              <w:t>1</w:t>
            </w:r>
            <w:r w:rsidR="00DC2149">
              <w:t>5</w:t>
            </w:r>
          </w:p>
        </w:tc>
        <w:tc>
          <w:tcPr>
            <w:tcW w:w="576" w:type="dxa"/>
          </w:tcPr>
          <w:p w14:paraId="1DE7872F" w14:textId="737BD961" w:rsidR="00FC7491" w:rsidRPr="003C0A2F" w:rsidRDefault="00FC7491" w:rsidP="00FC7491">
            <w:pPr>
              <w:pStyle w:val="VCAAtablecondensed"/>
              <w:rPr>
                <w:lang w:val="en-AU"/>
              </w:rPr>
            </w:pPr>
            <w:r w:rsidRPr="00F719B8">
              <w:t>2</w:t>
            </w:r>
            <w:r w:rsidR="00DC2149">
              <w:t>3</w:t>
            </w:r>
          </w:p>
        </w:tc>
        <w:tc>
          <w:tcPr>
            <w:tcW w:w="576" w:type="dxa"/>
          </w:tcPr>
          <w:p w14:paraId="5639CD4C" w14:textId="714F4BB5" w:rsidR="00FC7491" w:rsidRPr="003C0A2F" w:rsidRDefault="00FC7491" w:rsidP="00FC7491">
            <w:pPr>
              <w:pStyle w:val="VCAAtablecondensed"/>
              <w:rPr>
                <w:lang w:val="en-AU"/>
              </w:rPr>
            </w:pPr>
            <w:r w:rsidRPr="00F719B8">
              <w:t>18</w:t>
            </w:r>
          </w:p>
        </w:tc>
        <w:tc>
          <w:tcPr>
            <w:tcW w:w="576" w:type="dxa"/>
          </w:tcPr>
          <w:p w14:paraId="0285B16F" w14:textId="0A184722" w:rsidR="00FC7491" w:rsidRPr="003C0A2F" w:rsidRDefault="00FC7491" w:rsidP="00FC7491">
            <w:pPr>
              <w:pStyle w:val="VCAAtablecondensed"/>
              <w:rPr>
                <w:lang w:val="en-AU"/>
              </w:rPr>
            </w:pPr>
            <w:r w:rsidRPr="00F719B8">
              <w:t>3</w:t>
            </w:r>
            <w:r w:rsidR="00DC2149">
              <w:t>1</w:t>
            </w:r>
          </w:p>
        </w:tc>
        <w:tc>
          <w:tcPr>
            <w:tcW w:w="1008" w:type="dxa"/>
          </w:tcPr>
          <w:p w14:paraId="5DF4941D" w14:textId="23387D49" w:rsidR="00FC7491" w:rsidRPr="003C0A2F" w:rsidRDefault="00FC7491" w:rsidP="00FC7491">
            <w:pPr>
              <w:pStyle w:val="VCAAtablecondensed"/>
              <w:rPr>
                <w:lang w:val="en-AU"/>
              </w:rPr>
            </w:pPr>
            <w:r w:rsidRPr="00F719B8">
              <w:t>2.4</w:t>
            </w:r>
          </w:p>
        </w:tc>
      </w:tr>
    </w:tbl>
    <w:p w14:paraId="30BDB2B1" w14:textId="732BC609" w:rsidR="002A2F58" w:rsidRPr="00104DDD" w:rsidRDefault="0033404B" w:rsidP="00104DDD">
      <w:pPr>
        <w:pStyle w:val="VCAAbody"/>
      </w:pPr>
      <w:r w:rsidRPr="00104DDD">
        <w:t xml:space="preserve">To achieve full marks, students </w:t>
      </w:r>
      <w:r w:rsidR="00775A82">
        <w:t xml:space="preserve">were </w:t>
      </w:r>
      <w:r w:rsidR="0007380F">
        <w:t xml:space="preserve">required </w:t>
      </w:r>
      <w:r w:rsidRPr="00104DDD">
        <w:t>to</w:t>
      </w:r>
      <w:r w:rsidR="002A2F58" w:rsidRPr="00104DDD">
        <w:t xml:space="preserve"> identify two relevant non-price factors and explain how </w:t>
      </w:r>
      <w:r w:rsidR="0007380F">
        <w:t>each</w:t>
      </w:r>
      <w:r w:rsidR="0007380F" w:rsidRPr="00104DDD">
        <w:t xml:space="preserve"> </w:t>
      </w:r>
      <w:r w:rsidR="002A2F58" w:rsidRPr="00104DDD">
        <w:t xml:space="preserve">factor may have </w:t>
      </w:r>
      <w:r w:rsidR="0007380F">
        <w:t>directly contributed</w:t>
      </w:r>
      <w:r w:rsidR="0007380F" w:rsidRPr="00104DDD">
        <w:t xml:space="preserve"> </w:t>
      </w:r>
      <w:r w:rsidR="002A2F58" w:rsidRPr="00104DDD">
        <w:t xml:space="preserve">to a </w:t>
      </w:r>
      <w:r w:rsidR="0007380F">
        <w:t xml:space="preserve">fall </w:t>
      </w:r>
      <w:r w:rsidR="002A2F58" w:rsidRPr="00104DDD">
        <w:t>in house prices.</w:t>
      </w:r>
      <w:r w:rsidR="00F87ED6">
        <w:t xml:space="preserve"> </w:t>
      </w:r>
      <w:r w:rsidR="0036007E">
        <w:t>T</w:t>
      </w:r>
      <w:r w:rsidR="0007380F">
        <w:t>he following factors were commonly cited</w:t>
      </w:r>
      <w:r w:rsidR="002A2F58" w:rsidRPr="00104DDD">
        <w:t xml:space="preserve">: </w:t>
      </w:r>
      <w:r w:rsidR="0007380F">
        <w:t>decreases</w:t>
      </w:r>
      <w:r w:rsidR="0007380F" w:rsidRPr="00104DDD">
        <w:t xml:space="preserve"> </w:t>
      </w:r>
      <w:r w:rsidR="002A2F58" w:rsidRPr="00104DDD">
        <w:t xml:space="preserve">in disposable income, higher </w:t>
      </w:r>
      <w:r w:rsidR="00A65B8D">
        <w:t>i</w:t>
      </w:r>
      <w:r w:rsidR="002A2F58" w:rsidRPr="00104DDD">
        <w:t xml:space="preserve">nterest rates, slower population growth, falls in building costs as supply disruptions started to dissipate, lower levels of consumer confidence and </w:t>
      </w:r>
      <w:r w:rsidR="00AD15E6" w:rsidRPr="00104DDD">
        <w:t xml:space="preserve">changes in </w:t>
      </w:r>
      <w:r w:rsidR="002A2F58" w:rsidRPr="00104DDD">
        <w:t>the price of a substitute (e.g. apartments)</w:t>
      </w:r>
      <w:r w:rsidR="00AD15E6" w:rsidRPr="00104DDD">
        <w:t>.</w:t>
      </w:r>
    </w:p>
    <w:p w14:paraId="10E3A54B" w14:textId="4E5FF58F" w:rsidR="00AD15E6" w:rsidRPr="00104DDD" w:rsidRDefault="00AD15E6" w:rsidP="00104DDD">
      <w:pPr>
        <w:pStyle w:val="VCAAbody"/>
      </w:pPr>
      <w:r w:rsidRPr="00104DDD">
        <w:t xml:space="preserve">This question was generally well handled by students, with most being able to identify a relevant factor before explaining how </w:t>
      </w:r>
      <w:r w:rsidR="00CB5DDF">
        <w:t xml:space="preserve">this </w:t>
      </w:r>
      <w:r w:rsidRPr="00104DDD">
        <w:t>reduced house prices via a fall in the demand for houses or an increase in the supply of houses.</w:t>
      </w:r>
      <w:r w:rsidR="00F87ED6">
        <w:t xml:space="preserve"> </w:t>
      </w:r>
    </w:p>
    <w:p w14:paraId="1F1DAF31" w14:textId="7E248AEB" w:rsidR="0033404B" w:rsidRDefault="0007380F" w:rsidP="0033404B">
      <w:pPr>
        <w:pStyle w:val="VCAAbody"/>
      </w:pPr>
      <w:r>
        <w:t>Common</w:t>
      </w:r>
      <w:r w:rsidR="0033404B">
        <w:t xml:space="preserve"> errors included:</w:t>
      </w:r>
    </w:p>
    <w:p w14:paraId="2772605F" w14:textId="23D7C2F2" w:rsidR="0033404B" w:rsidRPr="00727C94" w:rsidRDefault="0033404B" w:rsidP="00D75026">
      <w:pPr>
        <w:pStyle w:val="VCAAbullet"/>
      </w:pPr>
      <w:r w:rsidRPr="00727C94">
        <w:t>confus</w:t>
      </w:r>
      <w:r w:rsidR="00CB5DDF">
        <w:t>ing</w:t>
      </w:r>
      <w:r w:rsidRPr="00727C94">
        <w:t xml:space="preserve"> macro and micro effects by referring to declines in </w:t>
      </w:r>
      <w:r w:rsidRPr="00F64C16">
        <w:t>AD</w:t>
      </w:r>
      <w:r w:rsidRPr="00727C94">
        <w:t xml:space="preserve"> or rises in </w:t>
      </w:r>
      <w:r w:rsidRPr="00F64C16">
        <w:t>AS</w:t>
      </w:r>
      <w:r w:rsidRPr="00727C94">
        <w:t xml:space="preserve"> when describing demand or supply factors </w:t>
      </w:r>
      <w:r w:rsidR="0007380F">
        <w:t xml:space="preserve">as </w:t>
      </w:r>
      <w:r w:rsidRPr="00727C94">
        <w:t>contributing to the fall in house prices</w:t>
      </w:r>
    </w:p>
    <w:p w14:paraId="17DABCDD" w14:textId="71594599" w:rsidR="00390376" w:rsidRPr="00727C94" w:rsidRDefault="00CB5DDF" w:rsidP="00D75026">
      <w:pPr>
        <w:pStyle w:val="VCAAbullet"/>
      </w:pPr>
      <w:r>
        <w:t>confusing</w:t>
      </w:r>
      <w:r w:rsidR="0033404B" w:rsidRPr="00727C94">
        <w:t xml:space="preserve"> parts a</w:t>
      </w:r>
      <w:r>
        <w:t>.</w:t>
      </w:r>
      <w:r w:rsidR="0033404B" w:rsidRPr="00727C94">
        <w:t xml:space="preserve"> and b</w:t>
      </w:r>
      <w:r>
        <w:t>.</w:t>
      </w:r>
      <w:r w:rsidR="0033404B" w:rsidRPr="00727C94">
        <w:t xml:space="preserve"> of Question 4 by </w:t>
      </w:r>
      <w:r>
        <w:t xml:space="preserve">erroneously focusing in </w:t>
      </w:r>
      <w:r w:rsidR="0036007E">
        <w:t>p</w:t>
      </w:r>
      <w:r w:rsidR="0033404B" w:rsidRPr="00727C94">
        <w:t>art a</w:t>
      </w:r>
      <w:r>
        <w:t>.</w:t>
      </w:r>
      <w:r w:rsidR="0033404B" w:rsidRPr="00727C94">
        <w:t xml:space="preserve"> on factors that cause an increase in the price of (new) houses.</w:t>
      </w:r>
    </w:p>
    <w:p w14:paraId="28B647C9" w14:textId="77777777" w:rsidR="00AD15E6" w:rsidRPr="00104DDD" w:rsidRDefault="00AD15E6" w:rsidP="00104DDD">
      <w:pPr>
        <w:pStyle w:val="VCAAbody"/>
      </w:pPr>
      <w:r w:rsidRPr="00104DDD">
        <w:t xml:space="preserve">The following is an example of a high-scoring response. </w:t>
      </w:r>
    </w:p>
    <w:p w14:paraId="6B8D1C42" w14:textId="7394C381" w:rsidR="00390376" w:rsidRPr="00727C94" w:rsidRDefault="002C3BDD" w:rsidP="00727C94">
      <w:pPr>
        <w:pStyle w:val="VCAAstudentresponse"/>
      </w:pPr>
      <w:r w:rsidRPr="00727C94">
        <w:t xml:space="preserve">House prices may have fallen partly due to higher interest rates. An increase in interest rates would increase the cost of credit, and reduce the affordability of borrowing, which makes households much less willing to take out home loans and thus purchase houses, as mortgage rates would have increased. This reduces the ability and/or willingness of consumers to purchase houses at </w:t>
      </w:r>
      <w:proofErr w:type="gramStart"/>
      <w:r w:rsidRPr="00727C94">
        <w:t>each and every</w:t>
      </w:r>
      <w:proofErr w:type="gramEnd"/>
      <w:r w:rsidRPr="00727C94">
        <w:t xml:space="preserve"> price level, thus shifting the demand curve to the left, creating a surplus that exerts downward pressure on housing prices. The fall could also have been caused by </w:t>
      </w:r>
      <w:r w:rsidR="00FE44BD">
        <w:t>a</w:t>
      </w:r>
      <w:r w:rsidRPr="00727C94">
        <w:t xml:space="preserve">n increase in the capital productivity of certain tools used in the building of houses, whereby more output is produced from each hour of capital used in building houses, the cost per unit of output of houses reduces. Thus, the production of houses is more profitable, which leads to producers of houses to increase their willingness and/or ability to supply houses at </w:t>
      </w:r>
      <w:proofErr w:type="gramStart"/>
      <w:r w:rsidRPr="00727C94">
        <w:t>each and every</w:t>
      </w:r>
      <w:proofErr w:type="gramEnd"/>
      <w:r w:rsidRPr="00727C94">
        <w:t xml:space="preserve"> price, shifting the supply curve to the right and creating a surplus of houses, which exerts downward pressure on the price of houses.</w:t>
      </w:r>
    </w:p>
    <w:p w14:paraId="64FA5190" w14:textId="098E7020" w:rsidR="005132E4" w:rsidRPr="003C0A2F" w:rsidRDefault="005132E4" w:rsidP="009914F6">
      <w:pPr>
        <w:pStyle w:val="VCAAHeading3"/>
      </w:pPr>
      <w:r w:rsidRPr="003C0A2F">
        <w:lastRenderedPageBreak/>
        <w:t xml:space="preserve">Question </w:t>
      </w:r>
      <w:r>
        <w:t>4b</w:t>
      </w:r>
      <w:r w:rsidRPr="003C0A2F">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5132E4" w:rsidRPr="003C0A2F" w14:paraId="7F4D96D0"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7217FFDD" w14:textId="77777777" w:rsidR="005132E4" w:rsidRPr="003C0A2F" w:rsidRDefault="005132E4" w:rsidP="00AE7682">
            <w:pPr>
              <w:pStyle w:val="VCAAtablecondensedheading"/>
              <w:rPr>
                <w:lang w:val="en-AU"/>
              </w:rPr>
            </w:pPr>
            <w:r w:rsidRPr="003C0A2F">
              <w:rPr>
                <w:lang w:val="en-AU"/>
              </w:rPr>
              <w:t>Marks</w:t>
            </w:r>
          </w:p>
        </w:tc>
        <w:tc>
          <w:tcPr>
            <w:tcW w:w="576" w:type="dxa"/>
          </w:tcPr>
          <w:p w14:paraId="1DBFB979" w14:textId="77777777" w:rsidR="005132E4" w:rsidRPr="003C0A2F" w:rsidRDefault="005132E4" w:rsidP="00AE7682">
            <w:pPr>
              <w:pStyle w:val="VCAAtablecondensedheading"/>
              <w:rPr>
                <w:lang w:val="en-AU"/>
              </w:rPr>
            </w:pPr>
            <w:r w:rsidRPr="003C0A2F">
              <w:rPr>
                <w:lang w:val="en-AU"/>
              </w:rPr>
              <w:t>0</w:t>
            </w:r>
          </w:p>
        </w:tc>
        <w:tc>
          <w:tcPr>
            <w:tcW w:w="576" w:type="dxa"/>
          </w:tcPr>
          <w:p w14:paraId="5F3B17EB" w14:textId="77777777" w:rsidR="005132E4" w:rsidRPr="003C0A2F" w:rsidRDefault="005132E4" w:rsidP="00AE7682">
            <w:pPr>
              <w:pStyle w:val="VCAAtablecondensedheading"/>
              <w:rPr>
                <w:lang w:val="en-AU"/>
              </w:rPr>
            </w:pPr>
            <w:r w:rsidRPr="003C0A2F">
              <w:rPr>
                <w:lang w:val="en-AU"/>
              </w:rPr>
              <w:t>1</w:t>
            </w:r>
          </w:p>
        </w:tc>
        <w:tc>
          <w:tcPr>
            <w:tcW w:w="576" w:type="dxa"/>
          </w:tcPr>
          <w:p w14:paraId="79117EB7" w14:textId="77777777" w:rsidR="005132E4" w:rsidRPr="003C0A2F" w:rsidRDefault="005132E4" w:rsidP="00AE7682">
            <w:pPr>
              <w:pStyle w:val="VCAAtablecondensedheading"/>
              <w:rPr>
                <w:lang w:val="en-AU"/>
              </w:rPr>
            </w:pPr>
            <w:r w:rsidRPr="003C0A2F">
              <w:rPr>
                <w:lang w:val="en-AU"/>
              </w:rPr>
              <w:t>2</w:t>
            </w:r>
          </w:p>
        </w:tc>
        <w:tc>
          <w:tcPr>
            <w:tcW w:w="576" w:type="dxa"/>
          </w:tcPr>
          <w:p w14:paraId="2F372559" w14:textId="77777777" w:rsidR="005132E4" w:rsidRPr="003C0A2F" w:rsidRDefault="005132E4" w:rsidP="00AE7682">
            <w:pPr>
              <w:pStyle w:val="VCAAtablecondensedheading"/>
              <w:rPr>
                <w:lang w:val="en-AU"/>
              </w:rPr>
            </w:pPr>
            <w:r w:rsidRPr="003C0A2F">
              <w:rPr>
                <w:lang w:val="en-AU"/>
              </w:rPr>
              <w:t>3</w:t>
            </w:r>
          </w:p>
        </w:tc>
        <w:tc>
          <w:tcPr>
            <w:tcW w:w="576" w:type="dxa"/>
          </w:tcPr>
          <w:p w14:paraId="71A08C57" w14:textId="77777777" w:rsidR="005132E4" w:rsidRPr="003C0A2F" w:rsidRDefault="005132E4" w:rsidP="00AE7682">
            <w:pPr>
              <w:pStyle w:val="VCAAtablecondensedheading"/>
              <w:rPr>
                <w:lang w:val="en-AU"/>
              </w:rPr>
            </w:pPr>
            <w:r w:rsidRPr="003C0A2F">
              <w:rPr>
                <w:lang w:val="en-AU"/>
              </w:rPr>
              <w:t>4</w:t>
            </w:r>
          </w:p>
        </w:tc>
        <w:tc>
          <w:tcPr>
            <w:tcW w:w="1008" w:type="dxa"/>
          </w:tcPr>
          <w:p w14:paraId="3734CA9C" w14:textId="77777777" w:rsidR="005132E4" w:rsidRPr="003C0A2F" w:rsidRDefault="005132E4" w:rsidP="00AE7682">
            <w:pPr>
              <w:pStyle w:val="VCAAtablecondensedheading"/>
              <w:rPr>
                <w:lang w:val="en-AU"/>
              </w:rPr>
            </w:pPr>
            <w:r w:rsidRPr="003C0A2F">
              <w:rPr>
                <w:lang w:val="en-AU"/>
              </w:rPr>
              <w:t>Average</w:t>
            </w:r>
          </w:p>
        </w:tc>
      </w:tr>
      <w:tr w:rsidR="00FC7491" w:rsidRPr="003C0A2F" w14:paraId="7B09027B" w14:textId="77777777" w:rsidTr="0052782F">
        <w:tc>
          <w:tcPr>
            <w:tcW w:w="720" w:type="dxa"/>
          </w:tcPr>
          <w:p w14:paraId="5E9FA917" w14:textId="77777777" w:rsidR="00FC7491" w:rsidRPr="003C0A2F" w:rsidRDefault="00FC7491" w:rsidP="00FC7491">
            <w:pPr>
              <w:pStyle w:val="VCAAtablecondensed"/>
              <w:rPr>
                <w:lang w:val="en-AU"/>
              </w:rPr>
            </w:pPr>
            <w:r w:rsidRPr="003C0A2F">
              <w:rPr>
                <w:lang w:val="en-AU"/>
              </w:rPr>
              <w:t>%</w:t>
            </w:r>
          </w:p>
        </w:tc>
        <w:tc>
          <w:tcPr>
            <w:tcW w:w="576" w:type="dxa"/>
          </w:tcPr>
          <w:p w14:paraId="2E26B731" w14:textId="2A3FC5AD" w:rsidR="00FC7491" w:rsidRPr="003C0A2F" w:rsidRDefault="00FC7491" w:rsidP="00FC7491">
            <w:pPr>
              <w:pStyle w:val="VCAAtablecondensed"/>
              <w:rPr>
                <w:lang w:val="en-AU"/>
              </w:rPr>
            </w:pPr>
            <w:r w:rsidRPr="00E57771">
              <w:t>13</w:t>
            </w:r>
          </w:p>
        </w:tc>
        <w:tc>
          <w:tcPr>
            <w:tcW w:w="576" w:type="dxa"/>
          </w:tcPr>
          <w:p w14:paraId="1E4E927E" w14:textId="6B8F39B7" w:rsidR="00FC7491" w:rsidRPr="003C0A2F" w:rsidRDefault="00FC7491" w:rsidP="00FC7491">
            <w:pPr>
              <w:pStyle w:val="VCAAtablecondensed"/>
              <w:rPr>
                <w:lang w:val="en-AU"/>
              </w:rPr>
            </w:pPr>
            <w:r w:rsidRPr="00E57771">
              <w:t>4</w:t>
            </w:r>
            <w:r w:rsidR="003C5FD2">
              <w:t>3</w:t>
            </w:r>
          </w:p>
        </w:tc>
        <w:tc>
          <w:tcPr>
            <w:tcW w:w="576" w:type="dxa"/>
          </w:tcPr>
          <w:p w14:paraId="4756AE62" w14:textId="70A60056" w:rsidR="00FC7491" w:rsidRPr="003C0A2F" w:rsidRDefault="00FC7491" w:rsidP="00FC7491">
            <w:pPr>
              <w:pStyle w:val="VCAAtablecondensed"/>
              <w:rPr>
                <w:lang w:val="en-AU"/>
              </w:rPr>
            </w:pPr>
            <w:r w:rsidRPr="00E57771">
              <w:t>10</w:t>
            </w:r>
          </w:p>
        </w:tc>
        <w:tc>
          <w:tcPr>
            <w:tcW w:w="576" w:type="dxa"/>
          </w:tcPr>
          <w:p w14:paraId="636CD1CC" w14:textId="2B67E1F3" w:rsidR="00FC7491" w:rsidRPr="003C0A2F" w:rsidRDefault="00FC7491" w:rsidP="00FC7491">
            <w:pPr>
              <w:pStyle w:val="VCAAtablecondensed"/>
              <w:rPr>
                <w:lang w:val="en-AU"/>
              </w:rPr>
            </w:pPr>
            <w:r w:rsidRPr="00E57771">
              <w:t>11</w:t>
            </w:r>
          </w:p>
        </w:tc>
        <w:tc>
          <w:tcPr>
            <w:tcW w:w="576" w:type="dxa"/>
          </w:tcPr>
          <w:p w14:paraId="60B96409" w14:textId="4B53E0BF" w:rsidR="00FC7491" w:rsidRPr="003C0A2F" w:rsidRDefault="00FC7491" w:rsidP="00FC7491">
            <w:pPr>
              <w:pStyle w:val="VCAAtablecondensed"/>
              <w:rPr>
                <w:lang w:val="en-AU"/>
              </w:rPr>
            </w:pPr>
            <w:r w:rsidRPr="00E57771">
              <w:t>22</w:t>
            </w:r>
          </w:p>
        </w:tc>
        <w:tc>
          <w:tcPr>
            <w:tcW w:w="1008" w:type="dxa"/>
          </w:tcPr>
          <w:p w14:paraId="433FA0CF" w14:textId="3AB62B6D" w:rsidR="00FC7491" w:rsidRPr="003C0A2F" w:rsidRDefault="00FC7491" w:rsidP="00FC7491">
            <w:pPr>
              <w:pStyle w:val="VCAAtablecondensed"/>
              <w:rPr>
                <w:lang w:val="en-AU"/>
              </w:rPr>
            </w:pPr>
            <w:r w:rsidRPr="00E57771">
              <w:t>1.9</w:t>
            </w:r>
          </w:p>
        </w:tc>
      </w:tr>
    </w:tbl>
    <w:p w14:paraId="11F89A6A" w14:textId="08CFE204" w:rsidR="00AD15E6" w:rsidRPr="00104DDD" w:rsidRDefault="0033404B" w:rsidP="00104DDD">
      <w:pPr>
        <w:pStyle w:val="VCAAbody"/>
      </w:pPr>
      <w:r w:rsidRPr="00104DDD">
        <w:t xml:space="preserve">To achieve full marks, students </w:t>
      </w:r>
      <w:r w:rsidR="0007380F">
        <w:t>were required</w:t>
      </w:r>
      <w:r w:rsidR="0007380F" w:rsidRPr="00104DDD">
        <w:t xml:space="preserve"> </w:t>
      </w:r>
      <w:r w:rsidRPr="00104DDD">
        <w:t>to</w:t>
      </w:r>
      <w:r w:rsidR="00AD15E6" w:rsidRPr="00104DDD">
        <w:t xml:space="preserve"> identify </w:t>
      </w:r>
      <w:r w:rsidR="0007380F">
        <w:t>one</w:t>
      </w:r>
      <w:r w:rsidR="0007380F" w:rsidRPr="00104DDD">
        <w:t xml:space="preserve"> </w:t>
      </w:r>
      <w:r w:rsidR="00AD15E6" w:rsidRPr="00104DDD">
        <w:t xml:space="preserve">relevant </w:t>
      </w:r>
      <w:r w:rsidR="0007380F">
        <w:t>non</w:t>
      </w:r>
      <w:r w:rsidR="0036007E">
        <w:t>-</w:t>
      </w:r>
      <w:r w:rsidR="0007380F">
        <w:t>price</w:t>
      </w:r>
      <w:r w:rsidR="0007380F" w:rsidRPr="00104DDD">
        <w:t xml:space="preserve"> </w:t>
      </w:r>
      <w:r w:rsidR="00AD15E6" w:rsidRPr="00104DDD">
        <w:t xml:space="preserve">factor that </w:t>
      </w:r>
      <w:r w:rsidR="0007380F">
        <w:t>causes</w:t>
      </w:r>
      <w:r w:rsidR="00AD15E6" w:rsidRPr="00104DDD">
        <w:t xml:space="preserve"> the supply curve </w:t>
      </w:r>
      <w:r w:rsidR="0007380F">
        <w:t>to shift</w:t>
      </w:r>
      <w:r w:rsidR="00AD15E6" w:rsidRPr="00104DDD">
        <w:t xml:space="preserve"> left and explain how this leads to </w:t>
      </w:r>
      <w:r w:rsidR="0007380F">
        <w:t xml:space="preserve">both </w:t>
      </w:r>
      <w:r w:rsidR="00AD15E6" w:rsidRPr="00104DDD">
        <w:t>a higher price and a corresponding decrease in the quantity demanded (i.e. a contraction of demand/leftward movement along the demand curve).</w:t>
      </w:r>
      <w:r w:rsidR="00F87ED6">
        <w:t xml:space="preserve"> </w:t>
      </w:r>
      <w:r w:rsidR="0007380F">
        <w:t>Students were expected to</w:t>
      </w:r>
      <w:r w:rsidR="00AD15E6" w:rsidRPr="00104DDD">
        <w:t xml:space="preserve"> support this explanation via construction of a fully labelled demand and supply diagram.</w:t>
      </w:r>
      <w:r w:rsidR="00F87ED6">
        <w:t xml:space="preserve"> </w:t>
      </w:r>
      <w:r w:rsidR="00AD15E6" w:rsidRPr="00104DDD">
        <w:t xml:space="preserve">Students </w:t>
      </w:r>
      <w:r w:rsidR="0007380F">
        <w:t>were expected</w:t>
      </w:r>
      <w:r w:rsidR="0007380F" w:rsidRPr="00104DDD">
        <w:t xml:space="preserve"> </w:t>
      </w:r>
      <w:r w:rsidR="00AD15E6" w:rsidRPr="00104DDD">
        <w:t xml:space="preserve">to correctly label </w:t>
      </w:r>
      <w:r w:rsidR="00AD15E6" w:rsidRPr="00270206">
        <w:rPr>
          <w:rStyle w:val="VCAAitalics"/>
        </w:rPr>
        <w:t>y</w:t>
      </w:r>
      <w:r w:rsidR="00AD15E6" w:rsidRPr="00104DDD">
        <w:t xml:space="preserve"> and </w:t>
      </w:r>
      <w:r w:rsidR="00AD15E6" w:rsidRPr="00270206">
        <w:rPr>
          <w:rStyle w:val="VCAAitalics"/>
        </w:rPr>
        <w:t>x</w:t>
      </w:r>
      <w:r w:rsidR="00AD15E6" w:rsidRPr="00104DDD">
        <w:t xml:space="preserve"> ax</w:t>
      </w:r>
      <w:r w:rsidR="003D45AB">
        <w:t>e</w:t>
      </w:r>
      <w:r w:rsidR="00AD15E6" w:rsidRPr="00104DDD">
        <w:t xml:space="preserve">s, </w:t>
      </w:r>
      <w:r w:rsidR="0007380F">
        <w:t>construct</w:t>
      </w:r>
      <w:r w:rsidR="0007380F" w:rsidRPr="00104DDD">
        <w:t xml:space="preserve"> </w:t>
      </w:r>
      <w:r w:rsidR="0007380F">
        <w:t xml:space="preserve">both </w:t>
      </w:r>
      <w:r w:rsidR="00AD15E6" w:rsidRPr="00104DDD">
        <w:t xml:space="preserve">a downward sloping demand curve and </w:t>
      </w:r>
      <w:r w:rsidR="0036007E">
        <w:t xml:space="preserve">an </w:t>
      </w:r>
      <w:r w:rsidR="00AD15E6" w:rsidRPr="00104DDD">
        <w:t>upward sloping supply curve, before shifting the supply curve to the left and indicat</w:t>
      </w:r>
      <w:r w:rsidR="0007380F">
        <w:t>ing</w:t>
      </w:r>
      <w:r w:rsidR="00AD15E6" w:rsidRPr="00104DDD">
        <w:t xml:space="preserve"> a higher price and lower quantity. </w:t>
      </w:r>
    </w:p>
    <w:p w14:paraId="0EBBF3DD" w14:textId="2A1E686E" w:rsidR="0033404B" w:rsidRPr="00104DDD" w:rsidRDefault="003D45AB" w:rsidP="00104DDD">
      <w:pPr>
        <w:pStyle w:val="VCAAbody"/>
      </w:pPr>
      <w:r w:rsidRPr="00104DDD">
        <w:t xml:space="preserve">This question was </w:t>
      </w:r>
      <w:r w:rsidR="0007380F">
        <w:t xml:space="preserve">generally </w:t>
      </w:r>
      <w:r w:rsidRPr="00104DDD">
        <w:t xml:space="preserve">not handled well by </w:t>
      </w:r>
      <w:r w:rsidR="0007380F">
        <w:t>most</w:t>
      </w:r>
      <w:r w:rsidRPr="00104DDD">
        <w:t xml:space="preserve"> students.</w:t>
      </w:r>
      <w:r>
        <w:t xml:space="preserve"> </w:t>
      </w:r>
      <w:r w:rsidR="0033404B" w:rsidRPr="00104DDD">
        <w:t xml:space="preserve">Many students misinterpreted the question and </w:t>
      </w:r>
      <w:proofErr w:type="spellStart"/>
      <w:r w:rsidR="0033404B" w:rsidRPr="00104DDD">
        <w:t>analysed</w:t>
      </w:r>
      <w:proofErr w:type="spellEnd"/>
      <w:r w:rsidR="0033404B" w:rsidRPr="00104DDD">
        <w:t xml:space="preserve"> a non-price factor </w:t>
      </w:r>
      <w:r w:rsidR="0007380F">
        <w:t>causing</w:t>
      </w:r>
      <w:r w:rsidR="0033404B" w:rsidRPr="00104DDD">
        <w:t xml:space="preserve"> a leftward shift of the demand curve.</w:t>
      </w:r>
      <w:r w:rsidR="00F87ED6">
        <w:t xml:space="preserve"> </w:t>
      </w:r>
      <w:r w:rsidR="0033404B" w:rsidRPr="00104DDD">
        <w:t>This resulted</w:t>
      </w:r>
      <w:r w:rsidR="00A65B8D">
        <w:t xml:space="preserve"> in</w:t>
      </w:r>
      <w:r w:rsidR="0033404B" w:rsidRPr="00104DDD">
        <w:t xml:space="preserve"> the demand curve </w:t>
      </w:r>
      <w:r w:rsidR="00A65B8D">
        <w:t>shifting</w:t>
      </w:r>
      <w:r w:rsidR="00A65B8D" w:rsidRPr="00104DDD">
        <w:t xml:space="preserve"> </w:t>
      </w:r>
      <w:r w:rsidR="0033404B" w:rsidRPr="00104DDD">
        <w:t xml:space="preserve">left and exploring the dynamics of adjustment from the old </w:t>
      </w:r>
      <w:r w:rsidR="006271DE" w:rsidRPr="00104DDD">
        <w:t xml:space="preserve">equilibrium </w:t>
      </w:r>
      <w:r w:rsidR="0033404B" w:rsidRPr="00104DDD">
        <w:t xml:space="preserve">to </w:t>
      </w:r>
      <w:r w:rsidR="006271DE" w:rsidRPr="00104DDD">
        <w:t xml:space="preserve">the </w:t>
      </w:r>
      <w:r w:rsidR="0033404B" w:rsidRPr="00104DDD">
        <w:t>new equilibrium.</w:t>
      </w:r>
      <w:r w:rsidR="00F87ED6">
        <w:t xml:space="preserve"> </w:t>
      </w:r>
      <w:r w:rsidR="000D054E">
        <w:t>As a result these students</w:t>
      </w:r>
      <w:r w:rsidR="0033404B" w:rsidRPr="00104DDD">
        <w:t xml:space="preserve"> were unable to effectively analyse ‘the leftward movement along the demand curve’</w:t>
      </w:r>
      <w:r w:rsidR="00D4608B">
        <w:t xml:space="preserve"> </w:t>
      </w:r>
      <w:r w:rsidR="0033404B" w:rsidRPr="00104DDD">
        <w:t>(i.e. the contraction along the demand curve) that would be caused by a shift to the left of the supply curve.</w:t>
      </w:r>
    </w:p>
    <w:p w14:paraId="375DB31A" w14:textId="68C3598D" w:rsidR="00F4673E" w:rsidRPr="00F4673E" w:rsidRDefault="0036007E" w:rsidP="0033404B">
      <w:pPr>
        <w:pStyle w:val="VCAAbody"/>
      </w:pPr>
      <w:r>
        <w:t>The h</w:t>
      </w:r>
      <w:r w:rsidR="000D054E">
        <w:t>ighest</w:t>
      </w:r>
      <w:r w:rsidR="00D4608B">
        <w:t>-scoring responses</w:t>
      </w:r>
      <w:r w:rsidR="003D45AB" w:rsidRPr="00104DDD">
        <w:t xml:space="preserve"> correctly interpreted the question </w:t>
      </w:r>
      <w:r w:rsidR="000D054E">
        <w:t>and focused</w:t>
      </w:r>
      <w:r w:rsidR="003D45AB" w:rsidRPr="00104DDD">
        <w:t xml:space="preserve"> on a </w:t>
      </w:r>
      <w:r w:rsidR="000D054E">
        <w:t>non</w:t>
      </w:r>
      <w:r>
        <w:t>-</w:t>
      </w:r>
      <w:r w:rsidR="000D054E">
        <w:t xml:space="preserve">price </w:t>
      </w:r>
      <w:r w:rsidR="003D45AB" w:rsidRPr="00104DDD">
        <w:t>factor that shifted the supply curve to the left.</w:t>
      </w:r>
      <w:r w:rsidR="003D45AB">
        <w:t xml:space="preserve"> </w:t>
      </w:r>
      <w:r w:rsidR="003D45AB" w:rsidRPr="00104DDD">
        <w:t xml:space="preserve">They were </w:t>
      </w:r>
      <w:r w:rsidR="000D054E">
        <w:t>consequently</w:t>
      </w:r>
      <w:r w:rsidR="000D054E" w:rsidRPr="00104DDD">
        <w:t xml:space="preserve"> </w:t>
      </w:r>
      <w:r w:rsidR="003D45AB" w:rsidRPr="00104DDD">
        <w:t xml:space="preserve">able to analyse how the higher price for new houses caused </w:t>
      </w:r>
      <w:r w:rsidR="000D054E">
        <w:t xml:space="preserve">a reduction in </w:t>
      </w:r>
      <w:r w:rsidR="003D45AB" w:rsidRPr="00104DDD">
        <w:t xml:space="preserve">demand for houses, represented by a contraction along the demand curve or ‘the leftward movement along the demand curve’ referred to </w:t>
      </w:r>
      <w:r w:rsidR="000D054E">
        <w:t>with</w:t>
      </w:r>
      <w:r w:rsidR="003D45AB" w:rsidRPr="00104DDD">
        <w:t>in the question.</w:t>
      </w:r>
      <w:r w:rsidR="003D45AB">
        <w:t xml:space="preserve"> </w:t>
      </w:r>
      <w:r w:rsidR="00F4673E">
        <w:t xml:space="preserve">Some astute students picked up on the clues contained in the stimulus material </w:t>
      </w:r>
      <w:r w:rsidR="00D4608B">
        <w:t xml:space="preserve">in part a. of the </w:t>
      </w:r>
      <w:r w:rsidR="00D4608B" w:rsidRPr="00D4608B">
        <w:t xml:space="preserve">question </w:t>
      </w:r>
      <w:r w:rsidR="00F4673E" w:rsidRPr="00D4608B">
        <w:t>and</w:t>
      </w:r>
      <w:r w:rsidR="00F4673E" w:rsidRPr="002C3BDD">
        <w:t xml:space="preserve"> recognised that this is a non-price supply factor resulting in a shift of the </w:t>
      </w:r>
      <w:r w:rsidR="00F4673E">
        <w:t xml:space="preserve">whole </w:t>
      </w:r>
      <w:r w:rsidR="00F4673E" w:rsidRPr="002C3BDD">
        <w:t xml:space="preserve">supply curve to the left </w:t>
      </w:r>
      <w:r w:rsidR="00626403">
        <w:t>and higher house prices.</w:t>
      </w:r>
    </w:p>
    <w:p w14:paraId="6C4E9A29" w14:textId="4B961847" w:rsidR="0033404B" w:rsidRDefault="000D054E" w:rsidP="0033404B">
      <w:pPr>
        <w:pStyle w:val="VCAAbody"/>
      </w:pPr>
      <w:r>
        <w:t>Common</w:t>
      </w:r>
      <w:r w:rsidR="00D4608B">
        <w:t xml:space="preserve"> errors </w:t>
      </w:r>
      <w:r w:rsidR="0033404B">
        <w:t>when constructing demand and supply diagrams</w:t>
      </w:r>
      <w:r w:rsidR="00D4608B">
        <w:t xml:space="preserve"> included</w:t>
      </w:r>
      <w:r w:rsidR="0033404B">
        <w:t>:</w:t>
      </w:r>
    </w:p>
    <w:p w14:paraId="3CE3CEBF" w14:textId="60A570FC" w:rsidR="0033404B" w:rsidRPr="00727C94" w:rsidRDefault="00D4608B" w:rsidP="00D75026">
      <w:pPr>
        <w:pStyle w:val="VCAAbullet"/>
      </w:pPr>
      <w:r>
        <w:t>s</w:t>
      </w:r>
      <w:r w:rsidR="0033404B" w:rsidRPr="00727C94">
        <w:t>hifting the demand curve to the left</w:t>
      </w:r>
    </w:p>
    <w:p w14:paraId="0A7F55E6" w14:textId="45EC5BD9" w:rsidR="0033404B" w:rsidRPr="00727C94" w:rsidRDefault="00D4608B" w:rsidP="00D75026">
      <w:pPr>
        <w:pStyle w:val="VCAAbullet"/>
      </w:pPr>
      <w:r>
        <w:t>d</w:t>
      </w:r>
      <w:r w:rsidR="0033404B" w:rsidRPr="00727C94">
        <w:t>rawing AD and AS curves</w:t>
      </w:r>
    </w:p>
    <w:p w14:paraId="520F0A3B" w14:textId="294F7261" w:rsidR="0033404B" w:rsidRPr="00727C94" w:rsidRDefault="00D4608B" w:rsidP="00D75026">
      <w:pPr>
        <w:pStyle w:val="VCAAbullet"/>
      </w:pPr>
      <w:r>
        <w:t>m</w:t>
      </w:r>
      <w:r w:rsidR="0033404B" w:rsidRPr="00727C94">
        <w:t xml:space="preserve">islabelling the </w:t>
      </w:r>
      <w:r>
        <w:rPr>
          <w:rStyle w:val="VCAAitalics"/>
        </w:rPr>
        <w:t>x</w:t>
      </w:r>
      <w:r w:rsidR="0033404B" w:rsidRPr="00727C94">
        <w:t xml:space="preserve"> and</w:t>
      </w:r>
      <w:r>
        <w:t xml:space="preserve"> </w:t>
      </w:r>
      <w:r w:rsidRPr="00270206">
        <w:rPr>
          <w:rStyle w:val="VCAAitalics"/>
        </w:rPr>
        <w:t>y</w:t>
      </w:r>
      <w:r w:rsidR="0033404B" w:rsidRPr="00727C94">
        <w:t xml:space="preserve"> ax</w:t>
      </w:r>
      <w:r>
        <w:t>e</w:t>
      </w:r>
      <w:r w:rsidR="0033404B" w:rsidRPr="00727C94">
        <w:t>s (e.g. referring to prices</w:t>
      </w:r>
      <w:r>
        <w:t xml:space="preserve"> or </w:t>
      </w:r>
      <w:r w:rsidR="0033404B" w:rsidRPr="00727C94">
        <w:t xml:space="preserve">inflation on the </w:t>
      </w:r>
      <w:r w:rsidR="0033404B" w:rsidRPr="00270206">
        <w:rPr>
          <w:rStyle w:val="VCAAitalics"/>
        </w:rPr>
        <w:t>y</w:t>
      </w:r>
      <w:r>
        <w:rPr>
          <w:rStyle w:val="VCAAitalics"/>
        </w:rPr>
        <w:t>-</w:t>
      </w:r>
      <w:r w:rsidR="0033404B" w:rsidRPr="00727C94">
        <w:t xml:space="preserve">axis and real GDP on the </w:t>
      </w:r>
      <w:r w:rsidR="0033404B" w:rsidRPr="00270206">
        <w:rPr>
          <w:rStyle w:val="VCAAitalics"/>
        </w:rPr>
        <w:t>x</w:t>
      </w:r>
      <w:r>
        <w:rPr>
          <w:rStyle w:val="VCAAitalics"/>
        </w:rPr>
        <w:noBreakHyphen/>
      </w:r>
      <w:r w:rsidR="0033404B" w:rsidRPr="00727C94">
        <w:t>axis)</w:t>
      </w:r>
    </w:p>
    <w:p w14:paraId="260863AF" w14:textId="67E3CC40" w:rsidR="0033404B" w:rsidRPr="00727C94" w:rsidRDefault="00D4608B" w:rsidP="00D75026">
      <w:pPr>
        <w:pStyle w:val="VCAAbullet"/>
      </w:pPr>
      <w:r>
        <w:t>c</w:t>
      </w:r>
      <w:r w:rsidR="0033404B" w:rsidRPr="00727C94">
        <w:t xml:space="preserve">onfusing the </w:t>
      </w:r>
      <w:r w:rsidRPr="00270206">
        <w:rPr>
          <w:rStyle w:val="VCAAitalics"/>
        </w:rPr>
        <w:t>x</w:t>
      </w:r>
      <w:r w:rsidR="0033404B" w:rsidRPr="00727C94">
        <w:t xml:space="preserve"> and </w:t>
      </w:r>
      <w:r w:rsidRPr="00270206">
        <w:rPr>
          <w:rStyle w:val="VCAAitalics"/>
        </w:rPr>
        <w:t>y</w:t>
      </w:r>
      <w:r w:rsidR="0033404B" w:rsidRPr="00727C94">
        <w:t xml:space="preserve"> axes (e.g. price on the </w:t>
      </w:r>
      <w:r w:rsidR="0033404B" w:rsidRPr="00270206">
        <w:rPr>
          <w:rStyle w:val="VCAAitalics"/>
        </w:rPr>
        <w:t>x</w:t>
      </w:r>
      <w:r>
        <w:rPr>
          <w:rStyle w:val="VCAAitalics"/>
        </w:rPr>
        <w:t>-</w:t>
      </w:r>
      <w:r w:rsidR="0033404B" w:rsidRPr="00727C94">
        <w:t xml:space="preserve">axis and quantity on the </w:t>
      </w:r>
      <w:r w:rsidR="0033404B" w:rsidRPr="00270206">
        <w:rPr>
          <w:rStyle w:val="VCAAitalics"/>
        </w:rPr>
        <w:t>y</w:t>
      </w:r>
      <w:r>
        <w:rPr>
          <w:rStyle w:val="VCAAitalics"/>
        </w:rPr>
        <w:t>-</w:t>
      </w:r>
      <w:r w:rsidR="0033404B" w:rsidRPr="00727C94">
        <w:t>axis)</w:t>
      </w:r>
    </w:p>
    <w:p w14:paraId="2AE4F9C8" w14:textId="752EE3F8" w:rsidR="0033404B" w:rsidRPr="00727C94" w:rsidRDefault="00D4608B" w:rsidP="00D75026">
      <w:pPr>
        <w:pStyle w:val="VCAAbullet"/>
      </w:pPr>
      <w:r>
        <w:t>d</w:t>
      </w:r>
      <w:r w:rsidR="0033404B" w:rsidRPr="00727C94">
        <w:t>rawing upward sloping demand curves and downward sloping supply curves</w:t>
      </w:r>
    </w:p>
    <w:p w14:paraId="2ED474B9" w14:textId="22EC8593" w:rsidR="00390376" w:rsidRPr="00727C94" w:rsidRDefault="00D4608B" w:rsidP="00D75026">
      <w:pPr>
        <w:pStyle w:val="VCAAbullet"/>
      </w:pPr>
      <w:r>
        <w:t>n</w:t>
      </w:r>
      <w:r w:rsidR="0033404B" w:rsidRPr="00727C94">
        <w:t>ot shifting the supply curve to the left and instead simply indicating a point up along the demand curve</w:t>
      </w:r>
      <w:r>
        <w:t>.</w:t>
      </w:r>
    </w:p>
    <w:p w14:paraId="0F7F1F44" w14:textId="77777777" w:rsidR="0033404B" w:rsidRPr="00104DDD" w:rsidRDefault="0033404B" w:rsidP="00104DDD">
      <w:pPr>
        <w:pStyle w:val="VCAAbody"/>
      </w:pPr>
      <w:r w:rsidRPr="00104DDD">
        <w:t xml:space="preserve">The following is an example of a high-scoring response. </w:t>
      </w:r>
    </w:p>
    <w:p w14:paraId="47466F65" w14:textId="582E29DE" w:rsidR="002C3BDD" w:rsidRDefault="00E1317D" w:rsidP="00727C94">
      <w:pPr>
        <w:pStyle w:val="VCAAstudentresponse"/>
      </w:pPr>
      <w:r w:rsidRPr="00727C94">
        <w:t xml:space="preserve">An increase in the cost of construction materials for houses, such as bricks, ultimately increases the overall cost of production for new houses as a key input has become more expensive. This decreases the ability and/or willingness of producers to supply houses at </w:t>
      </w:r>
      <w:proofErr w:type="gramStart"/>
      <w:r w:rsidRPr="00727C94">
        <w:t>each and every</w:t>
      </w:r>
      <w:proofErr w:type="gramEnd"/>
      <w:r w:rsidRPr="00727C94">
        <w:t xml:space="preserve"> price level, reflected by a shift to the left of the supply curve (S to S1). This creates a shortage at the original price, which leads to existing houses suppliers to raise the price of houses to exploit excess demand and maximise profits. The higher price leads to a contraction along the demand curve (leftward movement), as the markets converges to a new higher equilibrium price (PE1 to PE2), and a new lower equilibrium quantity traded (QE1 to QE2).</w:t>
      </w:r>
      <w:r w:rsidR="005132E4" w:rsidRPr="00727C94">
        <w:t xml:space="preserve"> </w:t>
      </w:r>
    </w:p>
    <w:p w14:paraId="1BB98E89" w14:textId="71BE88BE" w:rsidR="00CD588D" w:rsidRDefault="00CD588D">
      <w:pPr>
        <w:rPr>
          <w:rFonts w:ascii="Arial" w:hAnsi="Arial" w:cs="Arial"/>
          <w:color w:val="000000" w:themeColor="text1"/>
          <w:sz w:val="20"/>
        </w:rPr>
      </w:pPr>
      <w:r>
        <w:br w:type="page"/>
      </w:r>
    </w:p>
    <w:p w14:paraId="2D74CD3A" w14:textId="09E6F70E" w:rsidR="00D4608B" w:rsidRPr="00727C94" w:rsidRDefault="00D4608B" w:rsidP="00270206">
      <w:pPr>
        <w:pStyle w:val="VCAAbody"/>
      </w:pPr>
      <w:r w:rsidRPr="00333771">
        <w:rPr>
          <w:noProof/>
        </w:rPr>
        <w:lastRenderedPageBreak/>
        <w:drawing>
          <wp:anchor distT="0" distB="0" distL="114300" distR="114300" simplePos="0" relativeHeight="251664896" behindDoc="0" locked="0" layoutInCell="1" allowOverlap="1" wp14:anchorId="7CA0817D" wp14:editId="791177FE">
            <wp:simplePos x="0" y="0"/>
            <wp:positionH relativeFrom="column">
              <wp:posOffset>0</wp:posOffset>
            </wp:positionH>
            <wp:positionV relativeFrom="paragraph">
              <wp:posOffset>254000</wp:posOffset>
            </wp:positionV>
            <wp:extent cx="3342640" cy="2360930"/>
            <wp:effectExtent l="0" t="0" r="0" b="0"/>
            <wp:wrapSquare wrapText="bothSides"/>
            <wp:docPr id="44813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069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2640" cy="2360930"/>
                    </a:xfrm>
                    <a:prstGeom prst="rect">
                      <a:avLst/>
                    </a:prstGeom>
                  </pic:spPr>
                </pic:pic>
              </a:graphicData>
            </a:graphic>
            <wp14:sizeRelH relativeFrom="margin">
              <wp14:pctWidth>0</wp14:pctWidth>
            </wp14:sizeRelH>
            <wp14:sizeRelV relativeFrom="margin">
              <wp14:pctHeight>0</wp14:pctHeight>
            </wp14:sizeRelV>
          </wp:anchor>
        </w:drawing>
      </w:r>
    </w:p>
    <w:p w14:paraId="42C0FCB2" w14:textId="104B2076" w:rsidR="002C3BDD" w:rsidRDefault="002C3BDD" w:rsidP="00270206">
      <w:pPr>
        <w:pStyle w:val="VCAAbody"/>
      </w:pPr>
    </w:p>
    <w:p w14:paraId="2D28F90E" w14:textId="52D5DE4B" w:rsidR="00D4608B" w:rsidRDefault="00D4608B" w:rsidP="00270206">
      <w:pPr>
        <w:pStyle w:val="VCAAbody"/>
      </w:pPr>
    </w:p>
    <w:p w14:paraId="71BDCC98" w14:textId="07469DEE" w:rsidR="00D4608B" w:rsidRDefault="00D4608B" w:rsidP="00270206">
      <w:pPr>
        <w:pStyle w:val="VCAAbody"/>
      </w:pPr>
    </w:p>
    <w:p w14:paraId="3B256656" w14:textId="1BCEFA78" w:rsidR="00D4608B" w:rsidRDefault="00D4608B" w:rsidP="00270206">
      <w:pPr>
        <w:pStyle w:val="VCAAbody"/>
      </w:pPr>
    </w:p>
    <w:p w14:paraId="6E6B8D5B" w14:textId="0ADA4F39" w:rsidR="00D4608B" w:rsidRDefault="00D4608B" w:rsidP="00270206">
      <w:pPr>
        <w:pStyle w:val="VCAAbody"/>
      </w:pPr>
    </w:p>
    <w:p w14:paraId="741DF2FA" w14:textId="3055CDD0" w:rsidR="00D4608B" w:rsidRDefault="00D4608B" w:rsidP="00270206">
      <w:pPr>
        <w:pStyle w:val="VCAAbody"/>
      </w:pPr>
    </w:p>
    <w:p w14:paraId="66C57B1A" w14:textId="2511ED2A" w:rsidR="00D4608B" w:rsidRDefault="00D4608B" w:rsidP="00270206">
      <w:pPr>
        <w:pStyle w:val="VCAAbody"/>
      </w:pPr>
    </w:p>
    <w:p w14:paraId="3BC43914" w14:textId="206630EA" w:rsidR="00D4608B" w:rsidRDefault="00D4608B" w:rsidP="00270206">
      <w:pPr>
        <w:pStyle w:val="VCAAbody"/>
      </w:pPr>
    </w:p>
    <w:p w14:paraId="0B6F4007" w14:textId="31BC30C0" w:rsidR="00D4608B" w:rsidRDefault="00D4608B" w:rsidP="00270206">
      <w:pPr>
        <w:pStyle w:val="VCAAbody"/>
      </w:pPr>
    </w:p>
    <w:p w14:paraId="1BA70FD1" w14:textId="77777777" w:rsidR="00D4608B" w:rsidRPr="00727C94" w:rsidRDefault="00D4608B" w:rsidP="00270206">
      <w:pPr>
        <w:pStyle w:val="VCAAbody"/>
      </w:pPr>
    </w:p>
    <w:p w14:paraId="10AD924E" w14:textId="53EF733A" w:rsidR="005132E4" w:rsidRPr="003C0A2F" w:rsidRDefault="005132E4" w:rsidP="009914F6">
      <w:pPr>
        <w:pStyle w:val="VCAAHeading3"/>
      </w:pPr>
      <w:r w:rsidRPr="003C0A2F">
        <w:t xml:space="preserve">Question </w:t>
      </w:r>
      <w:r>
        <w:t>4c</w:t>
      </w:r>
      <w:r w:rsidR="0085496D">
        <w:t>.</w:t>
      </w:r>
    </w:p>
    <w:tbl>
      <w:tblPr>
        <w:tblStyle w:val="VCAATableClosed"/>
        <w:tblW w:w="0" w:type="auto"/>
        <w:tblInd w:w="142" w:type="dxa"/>
        <w:tblLook w:val="04A0" w:firstRow="1" w:lastRow="0" w:firstColumn="1" w:lastColumn="0" w:noHBand="0" w:noVBand="1"/>
      </w:tblPr>
      <w:tblGrid>
        <w:gridCol w:w="691"/>
        <w:gridCol w:w="399"/>
        <w:gridCol w:w="399"/>
        <w:gridCol w:w="627"/>
        <w:gridCol w:w="399"/>
        <w:gridCol w:w="864"/>
      </w:tblGrid>
      <w:tr w:rsidR="003C5FD2" w:rsidRPr="003C0A2F" w14:paraId="4C634797" w14:textId="77777777" w:rsidTr="0052782F">
        <w:trPr>
          <w:cnfStyle w:val="100000000000" w:firstRow="1" w:lastRow="0" w:firstColumn="0" w:lastColumn="0" w:oddVBand="0" w:evenVBand="0" w:oddHBand="0" w:evenHBand="0" w:firstRowFirstColumn="0" w:firstRowLastColumn="0" w:lastRowFirstColumn="0" w:lastRowLastColumn="0"/>
        </w:trPr>
        <w:tc>
          <w:tcPr>
            <w:tcW w:w="0" w:type="dxa"/>
          </w:tcPr>
          <w:p w14:paraId="6DD2699D" w14:textId="77777777" w:rsidR="003C5FD2" w:rsidRPr="003C0A2F" w:rsidRDefault="003C5FD2" w:rsidP="00AE7682">
            <w:pPr>
              <w:pStyle w:val="VCAAtablecondensedheading"/>
              <w:rPr>
                <w:lang w:val="en-AU"/>
              </w:rPr>
            </w:pPr>
            <w:r w:rsidRPr="003C0A2F">
              <w:rPr>
                <w:lang w:val="en-AU"/>
              </w:rPr>
              <w:t>Marks</w:t>
            </w:r>
          </w:p>
        </w:tc>
        <w:tc>
          <w:tcPr>
            <w:tcW w:w="0" w:type="dxa"/>
          </w:tcPr>
          <w:p w14:paraId="3C2A9D7A" w14:textId="77777777" w:rsidR="003C5FD2" w:rsidRPr="003C0A2F" w:rsidRDefault="003C5FD2" w:rsidP="00AE7682">
            <w:pPr>
              <w:pStyle w:val="VCAAtablecondensedheading"/>
              <w:rPr>
                <w:lang w:val="en-AU"/>
              </w:rPr>
            </w:pPr>
            <w:r w:rsidRPr="003C0A2F">
              <w:rPr>
                <w:lang w:val="en-AU"/>
              </w:rPr>
              <w:t>0</w:t>
            </w:r>
          </w:p>
        </w:tc>
        <w:tc>
          <w:tcPr>
            <w:tcW w:w="0" w:type="dxa"/>
          </w:tcPr>
          <w:p w14:paraId="49E82B75" w14:textId="77777777" w:rsidR="003C5FD2" w:rsidRPr="003C0A2F" w:rsidRDefault="003C5FD2" w:rsidP="00AE7682">
            <w:pPr>
              <w:pStyle w:val="VCAAtablecondensedheading"/>
              <w:rPr>
                <w:lang w:val="en-AU"/>
              </w:rPr>
            </w:pPr>
            <w:r w:rsidRPr="003C0A2F">
              <w:rPr>
                <w:lang w:val="en-AU"/>
              </w:rPr>
              <w:t>1</w:t>
            </w:r>
          </w:p>
        </w:tc>
        <w:tc>
          <w:tcPr>
            <w:tcW w:w="627" w:type="dxa"/>
          </w:tcPr>
          <w:p w14:paraId="3B283F60" w14:textId="7F3CE237" w:rsidR="003C5FD2" w:rsidRPr="003C0A2F" w:rsidRDefault="003C5FD2" w:rsidP="00AE7682">
            <w:pPr>
              <w:pStyle w:val="VCAAtablecondensedheading"/>
              <w:rPr>
                <w:lang w:val="en-AU"/>
              </w:rPr>
            </w:pPr>
            <w:r>
              <w:rPr>
                <w:lang w:val="en-AU"/>
              </w:rPr>
              <w:t>2</w:t>
            </w:r>
          </w:p>
        </w:tc>
        <w:tc>
          <w:tcPr>
            <w:tcW w:w="0" w:type="dxa"/>
          </w:tcPr>
          <w:p w14:paraId="6AD8150C" w14:textId="2F6158F4" w:rsidR="003C5FD2" w:rsidRPr="003C0A2F" w:rsidRDefault="003C5FD2" w:rsidP="00AE7682">
            <w:pPr>
              <w:pStyle w:val="VCAAtablecondensedheading"/>
              <w:rPr>
                <w:lang w:val="en-AU"/>
              </w:rPr>
            </w:pPr>
            <w:r>
              <w:rPr>
                <w:lang w:val="en-AU"/>
              </w:rPr>
              <w:t>3</w:t>
            </w:r>
          </w:p>
        </w:tc>
        <w:tc>
          <w:tcPr>
            <w:tcW w:w="0" w:type="dxa"/>
          </w:tcPr>
          <w:p w14:paraId="356A5C4A" w14:textId="77777777" w:rsidR="003C5FD2" w:rsidRPr="003C0A2F" w:rsidRDefault="003C5FD2" w:rsidP="00AE7682">
            <w:pPr>
              <w:pStyle w:val="VCAAtablecondensedheading"/>
              <w:rPr>
                <w:lang w:val="en-AU"/>
              </w:rPr>
            </w:pPr>
            <w:r w:rsidRPr="003C0A2F">
              <w:rPr>
                <w:lang w:val="en-AU"/>
              </w:rPr>
              <w:t>Average</w:t>
            </w:r>
          </w:p>
        </w:tc>
      </w:tr>
      <w:tr w:rsidR="003C5FD2" w:rsidRPr="003C0A2F" w14:paraId="0AD14D70" w14:textId="77777777" w:rsidTr="0052782F">
        <w:tc>
          <w:tcPr>
            <w:tcW w:w="0" w:type="dxa"/>
          </w:tcPr>
          <w:p w14:paraId="17BE5B5A" w14:textId="77777777" w:rsidR="003C5FD2" w:rsidRPr="003C0A2F" w:rsidRDefault="003C5FD2" w:rsidP="00FC7491">
            <w:pPr>
              <w:pStyle w:val="VCAAtablecondensed"/>
              <w:rPr>
                <w:lang w:val="en-AU"/>
              </w:rPr>
            </w:pPr>
            <w:r w:rsidRPr="003C0A2F">
              <w:rPr>
                <w:lang w:val="en-AU"/>
              </w:rPr>
              <w:t>%</w:t>
            </w:r>
          </w:p>
        </w:tc>
        <w:tc>
          <w:tcPr>
            <w:tcW w:w="0" w:type="dxa"/>
          </w:tcPr>
          <w:p w14:paraId="7CC349F5" w14:textId="449E566B" w:rsidR="003C5FD2" w:rsidRPr="003C0A2F" w:rsidRDefault="003C5FD2" w:rsidP="00FC7491">
            <w:pPr>
              <w:pStyle w:val="VCAAtablecondensed"/>
              <w:rPr>
                <w:lang w:val="en-AU"/>
              </w:rPr>
            </w:pPr>
            <w:r w:rsidRPr="00362CF3">
              <w:t>29</w:t>
            </w:r>
          </w:p>
        </w:tc>
        <w:tc>
          <w:tcPr>
            <w:tcW w:w="0" w:type="dxa"/>
          </w:tcPr>
          <w:p w14:paraId="6AF93A08" w14:textId="09660F2E" w:rsidR="003C5FD2" w:rsidRPr="003C0A2F" w:rsidRDefault="003C5FD2" w:rsidP="00FC7491">
            <w:pPr>
              <w:pStyle w:val="VCAAtablecondensed"/>
              <w:rPr>
                <w:lang w:val="en-AU"/>
              </w:rPr>
            </w:pPr>
            <w:r w:rsidRPr="00362CF3">
              <w:t>18</w:t>
            </w:r>
          </w:p>
        </w:tc>
        <w:tc>
          <w:tcPr>
            <w:tcW w:w="627" w:type="dxa"/>
          </w:tcPr>
          <w:p w14:paraId="299E5AD1" w14:textId="2B61160E" w:rsidR="003C5FD2" w:rsidRPr="003C0A2F" w:rsidRDefault="003C5FD2" w:rsidP="00FC7491">
            <w:pPr>
              <w:pStyle w:val="VCAAtablecondensed"/>
              <w:rPr>
                <w:lang w:val="en-AU"/>
              </w:rPr>
            </w:pPr>
            <w:r w:rsidRPr="00362CF3">
              <w:t>3</w:t>
            </w:r>
            <w:r>
              <w:t>3</w:t>
            </w:r>
          </w:p>
        </w:tc>
        <w:tc>
          <w:tcPr>
            <w:tcW w:w="0" w:type="dxa"/>
          </w:tcPr>
          <w:p w14:paraId="763432D3" w14:textId="4697CF5B" w:rsidR="003C5FD2" w:rsidRPr="003C0A2F" w:rsidRDefault="003C5FD2" w:rsidP="00FC7491">
            <w:pPr>
              <w:pStyle w:val="VCAAtablecondensed"/>
              <w:rPr>
                <w:lang w:val="en-AU"/>
              </w:rPr>
            </w:pPr>
            <w:r w:rsidRPr="00362CF3">
              <w:t>20</w:t>
            </w:r>
          </w:p>
        </w:tc>
        <w:tc>
          <w:tcPr>
            <w:tcW w:w="0" w:type="dxa"/>
          </w:tcPr>
          <w:p w14:paraId="3CAE6E7C" w14:textId="2041CB00" w:rsidR="003C5FD2" w:rsidRPr="003C0A2F" w:rsidRDefault="003C5FD2" w:rsidP="00FC7491">
            <w:pPr>
              <w:pStyle w:val="VCAAtablecondensed"/>
              <w:rPr>
                <w:lang w:val="en-AU"/>
              </w:rPr>
            </w:pPr>
            <w:r>
              <w:t>1.</w:t>
            </w:r>
            <w:r w:rsidR="0085496D">
              <w:t>5</w:t>
            </w:r>
          </w:p>
        </w:tc>
      </w:tr>
    </w:tbl>
    <w:p w14:paraId="102814A4" w14:textId="5C6886F7" w:rsidR="00D4608B" w:rsidRDefault="002D41DF" w:rsidP="00104DDD">
      <w:pPr>
        <w:pStyle w:val="VCAAbody"/>
      </w:pPr>
      <w:r w:rsidRPr="00104DDD">
        <w:t xml:space="preserve">This question was not handled well by </w:t>
      </w:r>
      <w:proofErr w:type="gramStart"/>
      <w:r w:rsidRPr="00104DDD">
        <w:t>the majority of</w:t>
      </w:r>
      <w:proofErr w:type="gramEnd"/>
      <w:r w:rsidRPr="00104DDD">
        <w:t xml:space="preserve"> students</w:t>
      </w:r>
      <w:r>
        <w:t>.</w:t>
      </w:r>
      <w:r w:rsidR="00F87ED6">
        <w:t xml:space="preserve"> </w:t>
      </w:r>
      <w:r w:rsidR="006271DE" w:rsidRPr="00104DDD">
        <w:t xml:space="preserve">To achieve full marks, students </w:t>
      </w:r>
      <w:r w:rsidR="000D054E">
        <w:t>were expected</w:t>
      </w:r>
      <w:r w:rsidR="000D054E" w:rsidRPr="00104DDD">
        <w:t xml:space="preserve"> </w:t>
      </w:r>
      <w:r w:rsidR="006271DE" w:rsidRPr="00104DDD">
        <w:t>to demonstrate an understanding of a relevant market failure and then link the building of new houses to a failure of an unregulated market to achieve an efficient allocation of resources.</w:t>
      </w:r>
      <w:r w:rsidR="00F87ED6">
        <w:t xml:space="preserve"> </w:t>
      </w:r>
      <w:r w:rsidR="006271DE" w:rsidRPr="00104DDD">
        <w:t xml:space="preserve">Students were expected to focus on negative externalities (e.g. new housing developments and the impact on local amenity, character of </w:t>
      </w:r>
      <w:proofErr w:type="spellStart"/>
      <w:r w:rsidR="006271DE" w:rsidRPr="00104DDD">
        <w:t>neighbourhood</w:t>
      </w:r>
      <w:proofErr w:type="spellEnd"/>
      <w:r w:rsidR="006271DE" w:rsidRPr="00104DDD">
        <w:t>, or the standard social costs connected to overuse of resources such as timber</w:t>
      </w:r>
      <w:r w:rsidR="00626403" w:rsidRPr="00104DDD">
        <w:t xml:space="preserve">, </w:t>
      </w:r>
      <w:r w:rsidR="006271DE" w:rsidRPr="00104DDD">
        <w:t>other building materials, energy etc.)</w:t>
      </w:r>
      <w:r w:rsidR="0036007E">
        <w:t>.</w:t>
      </w:r>
      <w:r w:rsidR="00F87ED6">
        <w:t xml:space="preserve"> </w:t>
      </w:r>
      <w:r w:rsidR="006271DE" w:rsidRPr="00104DDD">
        <w:t>However, they were free to explain other types of market failures, in particular, positive externalities (e.g. external benefits associated with higher density living, enhanced street appeal</w:t>
      </w:r>
      <w:r w:rsidR="00993738" w:rsidRPr="00104DDD">
        <w:t>, greater housing affordability</w:t>
      </w:r>
      <w:r w:rsidR="006271DE" w:rsidRPr="00104DDD">
        <w:t xml:space="preserve">), asymmetric information (e.g. new home buyers being duped into contracts </w:t>
      </w:r>
      <w:proofErr w:type="gramStart"/>
      <w:r w:rsidR="006271DE" w:rsidRPr="00104DDD">
        <w:t>on the basis of</w:t>
      </w:r>
      <w:proofErr w:type="gramEnd"/>
      <w:r w:rsidR="006271DE" w:rsidRPr="00104DDD">
        <w:t xml:space="preserve"> false or misleading information) or even common access resources (e.g. development that encroaches on natural environment and contributes to resource depletion).</w:t>
      </w:r>
      <w:r w:rsidR="00F87ED6">
        <w:t xml:space="preserve"> </w:t>
      </w:r>
    </w:p>
    <w:p w14:paraId="1C9E7648" w14:textId="3BEDCFC4" w:rsidR="006271DE" w:rsidRPr="00104DDD" w:rsidRDefault="00CD44AA" w:rsidP="00104DDD">
      <w:pPr>
        <w:pStyle w:val="VCAAbody"/>
      </w:pPr>
      <w:r>
        <w:t>Students</w:t>
      </w:r>
      <w:r w:rsidR="006271DE" w:rsidRPr="00104DDD">
        <w:t xml:space="preserve"> who selected public goods as </w:t>
      </w:r>
      <w:r w:rsidR="00D57FF6">
        <w:t>a</w:t>
      </w:r>
      <w:r w:rsidR="00996373">
        <w:t xml:space="preserve"> </w:t>
      </w:r>
      <w:r w:rsidR="006271DE" w:rsidRPr="00104DDD">
        <w:t>market failure found it challenging to link the market failure to the construction of new housing.</w:t>
      </w:r>
      <w:r w:rsidR="00F87ED6">
        <w:t xml:space="preserve"> </w:t>
      </w:r>
      <w:r w:rsidR="006271DE" w:rsidRPr="00104DDD">
        <w:t>Interestingly, a few students selected ‘abuse of market power’ as a market failure</w:t>
      </w:r>
      <w:r>
        <w:t>, which was a relevant and acceptable response despite this not being</w:t>
      </w:r>
      <w:r w:rsidR="00993738" w:rsidRPr="00104DDD">
        <w:t xml:space="preserve"> listed in the current </w:t>
      </w:r>
      <w:r w:rsidR="00BA7603">
        <w:t>s</w:t>
      </w:r>
      <w:r w:rsidR="00993738" w:rsidRPr="00104DDD">
        <w:t xml:space="preserve">tudy </w:t>
      </w:r>
      <w:r w:rsidR="00BA7603">
        <w:t>d</w:t>
      </w:r>
      <w:r w:rsidR="00993738" w:rsidRPr="00104DDD">
        <w:t>esign</w:t>
      </w:r>
      <w:r>
        <w:t xml:space="preserve"> as market failure.</w:t>
      </w:r>
      <w:r w:rsidR="00F87ED6">
        <w:t xml:space="preserve"> </w:t>
      </w:r>
      <w:r w:rsidR="00993738" w:rsidRPr="00104DDD">
        <w:t xml:space="preserve">For example, some argued that, to the extent that new housing construction is undertaken by large/dominant construction companies, there is the possibility that they are charging exorbitant prices (making excessive profits) by virtue of the ability to abuse their position of market dominance, </w:t>
      </w:r>
      <w:r>
        <w:t>leading</w:t>
      </w:r>
      <w:r w:rsidR="00993738" w:rsidRPr="00104DDD">
        <w:t xml:space="preserve"> to an under</w:t>
      </w:r>
      <w:r w:rsidR="00996373">
        <w:t xml:space="preserve"> </w:t>
      </w:r>
      <w:r w:rsidR="00993738" w:rsidRPr="00104DDD">
        <w:t>allocation of resources devoted to construction of new housing.</w:t>
      </w:r>
      <w:r w:rsidR="00F87ED6">
        <w:t xml:space="preserve"> </w:t>
      </w:r>
      <w:r w:rsidR="00993738" w:rsidRPr="00104DDD">
        <w:t xml:space="preserve">This approach </w:t>
      </w:r>
      <w:r>
        <w:t>had potential of achieving</w:t>
      </w:r>
      <w:r w:rsidR="00993738" w:rsidRPr="00104DDD">
        <w:t xml:space="preserve"> full marks.</w:t>
      </w:r>
    </w:p>
    <w:p w14:paraId="062C7350" w14:textId="310EA08D" w:rsidR="006271DE" w:rsidRPr="00104DDD" w:rsidRDefault="006271DE" w:rsidP="00104DDD">
      <w:pPr>
        <w:pStyle w:val="VCAAbody"/>
      </w:pPr>
      <w:r w:rsidRPr="00104DDD">
        <w:t xml:space="preserve">Some students </w:t>
      </w:r>
      <w:r w:rsidR="00993738" w:rsidRPr="00104DDD">
        <w:t>confused</w:t>
      </w:r>
      <w:r w:rsidRPr="00104DDD">
        <w:t xml:space="preserve"> market shortages or surpluses with market failures.</w:t>
      </w:r>
      <w:r w:rsidR="00F87ED6">
        <w:t xml:space="preserve"> </w:t>
      </w:r>
      <w:r w:rsidRPr="00104DDD">
        <w:t xml:space="preserve">For example, </w:t>
      </w:r>
      <w:r w:rsidR="00D57FF6">
        <w:t>arguing</w:t>
      </w:r>
      <w:r w:rsidRPr="00104DDD">
        <w:t xml:space="preserve"> that the construction of too many houses </w:t>
      </w:r>
      <w:r w:rsidR="00D57FF6">
        <w:t>could</w:t>
      </w:r>
      <w:r w:rsidR="00D57FF6" w:rsidRPr="00104DDD">
        <w:t xml:space="preserve"> </w:t>
      </w:r>
      <w:r w:rsidRPr="00104DDD">
        <w:t>lead to an excess supply of houses</w:t>
      </w:r>
      <w:r w:rsidR="00993738" w:rsidRPr="00104DDD">
        <w:t>,</w:t>
      </w:r>
      <w:r w:rsidRPr="00104DDD">
        <w:t xml:space="preserve"> or that the construction of too few houses will lead to shortages, represent</w:t>
      </w:r>
      <w:r w:rsidR="00093028">
        <w:t>ed</w:t>
      </w:r>
      <w:r w:rsidRPr="00104DDD">
        <w:t xml:space="preserve"> a failure of the market to achieve equilibrium.</w:t>
      </w:r>
      <w:r w:rsidR="00F87ED6">
        <w:t xml:space="preserve"> </w:t>
      </w:r>
      <w:r w:rsidR="00993738" w:rsidRPr="00104DDD">
        <w:t xml:space="preserve">Students should be reminded that market disequilibrium is </w:t>
      </w:r>
      <w:r w:rsidR="00210D0B" w:rsidRPr="00104DDD">
        <w:t xml:space="preserve">typically </w:t>
      </w:r>
      <w:r w:rsidR="00993738" w:rsidRPr="00104DDD">
        <w:t xml:space="preserve">a feature of properly functioning </w:t>
      </w:r>
      <w:proofErr w:type="gramStart"/>
      <w:r w:rsidR="00993738" w:rsidRPr="00104DDD">
        <w:t>markets</w:t>
      </w:r>
      <w:proofErr w:type="gramEnd"/>
      <w:r w:rsidR="00993738" w:rsidRPr="00104DDD">
        <w:t xml:space="preserve"> and it does </w:t>
      </w:r>
      <w:r w:rsidR="002C0BFF">
        <w:t xml:space="preserve">not </w:t>
      </w:r>
      <w:r w:rsidR="00993738" w:rsidRPr="00104DDD">
        <w:t>represent market failure.</w:t>
      </w:r>
      <w:r w:rsidR="00F87ED6">
        <w:t xml:space="preserve"> </w:t>
      </w:r>
      <w:r w:rsidR="00993738" w:rsidRPr="00104DDD">
        <w:t xml:space="preserve">Instead, </w:t>
      </w:r>
      <w:r w:rsidR="00D57FF6">
        <w:t>a</w:t>
      </w:r>
      <w:r w:rsidRPr="00104DDD">
        <w:t xml:space="preserve"> focus </w:t>
      </w:r>
      <w:r w:rsidR="002C0BFF">
        <w:t xml:space="preserve">was required </w:t>
      </w:r>
      <w:r w:rsidRPr="00104DDD">
        <w:t xml:space="preserve">on problems </w:t>
      </w:r>
      <w:r w:rsidR="00D57FF6">
        <w:t>potentially occurring</w:t>
      </w:r>
      <w:r w:rsidRPr="00104DDD">
        <w:t xml:space="preserve"> in markets </w:t>
      </w:r>
      <w:r w:rsidR="002C0BFF">
        <w:t xml:space="preserve">that lead </w:t>
      </w:r>
      <w:r w:rsidRPr="00104DDD">
        <w:t xml:space="preserve">to inefficient outcomes </w:t>
      </w:r>
      <w:r w:rsidR="002C0BFF">
        <w:t>that need</w:t>
      </w:r>
      <w:r w:rsidRPr="00104DDD">
        <w:t xml:space="preserve"> some form of government intervention.</w:t>
      </w:r>
      <w:r w:rsidR="00F87ED6">
        <w:t xml:space="preserve"> </w:t>
      </w:r>
      <w:r w:rsidR="00993738" w:rsidRPr="00104DDD">
        <w:t>For future reference, t</w:t>
      </w:r>
      <w:r w:rsidRPr="00104DDD">
        <w:t xml:space="preserve">he safest approach is to focus on the market failures listed in the </w:t>
      </w:r>
      <w:r w:rsidR="00BA7603">
        <w:t>s</w:t>
      </w:r>
      <w:r w:rsidRPr="00104DDD">
        <w:t xml:space="preserve">tudy </w:t>
      </w:r>
      <w:r w:rsidR="00BA7603">
        <w:t>d</w:t>
      </w:r>
      <w:r w:rsidRPr="00104DDD">
        <w:t>esign</w:t>
      </w:r>
      <w:r w:rsidR="00BA7603">
        <w:t>.</w:t>
      </w:r>
    </w:p>
    <w:p w14:paraId="1616DC60" w14:textId="77777777" w:rsidR="00993738" w:rsidRPr="00104DDD" w:rsidRDefault="00993738" w:rsidP="00104DDD">
      <w:pPr>
        <w:pStyle w:val="VCAAbody"/>
      </w:pPr>
      <w:r w:rsidRPr="00104DDD">
        <w:t xml:space="preserve">The following is an example of a high-scoring response. </w:t>
      </w:r>
    </w:p>
    <w:p w14:paraId="495048E3" w14:textId="19320D81" w:rsidR="00E1317D" w:rsidRDefault="00E1317D" w:rsidP="00E1317D">
      <w:pPr>
        <w:pStyle w:val="VCAAstudentresponse"/>
      </w:pPr>
      <w:r w:rsidRPr="00E1317D">
        <w:t xml:space="preserve">Market failure occurs when the normal, free operation of the market forces of demand and supply lead to an inefficient allocation of resources that doesn’t maximise living standards. The construction of new </w:t>
      </w:r>
      <w:r w:rsidRPr="00E1317D">
        <w:lastRenderedPageBreak/>
        <w:t xml:space="preserve">housing may lead to market failure in the form of negative externalities in production, whereby the production of new houses imposes a cost on a third party not involved in the original transaction, which would take form in noise pollution for those who live close to the construction site. As the market does not </w:t>
      </w:r>
      <w:proofErr w:type="gramStart"/>
      <w:r w:rsidRPr="00E1317D">
        <w:t>take into account</w:t>
      </w:r>
      <w:proofErr w:type="gramEnd"/>
      <w:r w:rsidRPr="00E1317D">
        <w:t xml:space="preserve"> the external costs, and only the private costs, in an unregulated market there would likely be an overallocation of resources towards the construction of new houses compared to the socially optimal allocation, reducing allocative efficiency.</w:t>
      </w:r>
      <w:r w:rsidR="00F87ED6">
        <w:t xml:space="preserve"> </w:t>
      </w:r>
    </w:p>
    <w:p w14:paraId="6A3D0A96" w14:textId="1715813D" w:rsidR="005132E4" w:rsidRPr="003C0A2F" w:rsidRDefault="005132E4" w:rsidP="009914F6">
      <w:pPr>
        <w:pStyle w:val="VCAAHeading3"/>
      </w:pPr>
      <w:r w:rsidRPr="003C0A2F">
        <w:t xml:space="preserve">Question </w:t>
      </w:r>
      <w:r>
        <w:t>4d</w:t>
      </w:r>
      <w:r w:rsidR="0085496D">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5132E4" w:rsidRPr="003C0A2F" w14:paraId="09EC1D63"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42CC05EB" w14:textId="77777777" w:rsidR="005132E4" w:rsidRPr="003C0A2F" w:rsidRDefault="005132E4" w:rsidP="00AE7682">
            <w:pPr>
              <w:pStyle w:val="VCAAtablecondensedheading"/>
              <w:rPr>
                <w:lang w:val="en-AU"/>
              </w:rPr>
            </w:pPr>
            <w:r w:rsidRPr="003C0A2F">
              <w:rPr>
                <w:lang w:val="en-AU"/>
              </w:rPr>
              <w:t>Marks</w:t>
            </w:r>
          </w:p>
        </w:tc>
        <w:tc>
          <w:tcPr>
            <w:tcW w:w="576" w:type="dxa"/>
          </w:tcPr>
          <w:p w14:paraId="280BD1A7" w14:textId="77777777" w:rsidR="005132E4" w:rsidRPr="003C0A2F" w:rsidRDefault="005132E4" w:rsidP="00AE7682">
            <w:pPr>
              <w:pStyle w:val="VCAAtablecondensedheading"/>
              <w:rPr>
                <w:lang w:val="en-AU"/>
              </w:rPr>
            </w:pPr>
            <w:r w:rsidRPr="003C0A2F">
              <w:rPr>
                <w:lang w:val="en-AU"/>
              </w:rPr>
              <w:t>0</w:t>
            </w:r>
          </w:p>
        </w:tc>
        <w:tc>
          <w:tcPr>
            <w:tcW w:w="576" w:type="dxa"/>
          </w:tcPr>
          <w:p w14:paraId="6876BFDE" w14:textId="77777777" w:rsidR="005132E4" w:rsidRPr="003C0A2F" w:rsidRDefault="005132E4" w:rsidP="00AE7682">
            <w:pPr>
              <w:pStyle w:val="VCAAtablecondensedheading"/>
              <w:rPr>
                <w:lang w:val="en-AU"/>
              </w:rPr>
            </w:pPr>
            <w:r w:rsidRPr="003C0A2F">
              <w:rPr>
                <w:lang w:val="en-AU"/>
              </w:rPr>
              <w:t>1</w:t>
            </w:r>
          </w:p>
        </w:tc>
        <w:tc>
          <w:tcPr>
            <w:tcW w:w="576" w:type="dxa"/>
          </w:tcPr>
          <w:p w14:paraId="2EAB9D70" w14:textId="77777777" w:rsidR="005132E4" w:rsidRPr="003C0A2F" w:rsidRDefault="005132E4" w:rsidP="00AE7682">
            <w:pPr>
              <w:pStyle w:val="VCAAtablecondensedheading"/>
              <w:rPr>
                <w:lang w:val="en-AU"/>
              </w:rPr>
            </w:pPr>
            <w:r w:rsidRPr="003C0A2F">
              <w:rPr>
                <w:lang w:val="en-AU"/>
              </w:rPr>
              <w:t>2</w:t>
            </w:r>
          </w:p>
        </w:tc>
        <w:tc>
          <w:tcPr>
            <w:tcW w:w="576" w:type="dxa"/>
          </w:tcPr>
          <w:p w14:paraId="08C399D9" w14:textId="77777777" w:rsidR="005132E4" w:rsidRPr="003C0A2F" w:rsidRDefault="005132E4" w:rsidP="00AE7682">
            <w:pPr>
              <w:pStyle w:val="VCAAtablecondensedheading"/>
              <w:rPr>
                <w:lang w:val="en-AU"/>
              </w:rPr>
            </w:pPr>
            <w:r w:rsidRPr="003C0A2F">
              <w:rPr>
                <w:lang w:val="en-AU"/>
              </w:rPr>
              <w:t>3</w:t>
            </w:r>
          </w:p>
        </w:tc>
        <w:tc>
          <w:tcPr>
            <w:tcW w:w="576" w:type="dxa"/>
          </w:tcPr>
          <w:p w14:paraId="52F1CA3C" w14:textId="77777777" w:rsidR="005132E4" w:rsidRPr="003C0A2F" w:rsidRDefault="005132E4" w:rsidP="00AE7682">
            <w:pPr>
              <w:pStyle w:val="VCAAtablecondensedheading"/>
              <w:rPr>
                <w:lang w:val="en-AU"/>
              </w:rPr>
            </w:pPr>
            <w:r w:rsidRPr="003C0A2F">
              <w:rPr>
                <w:lang w:val="en-AU"/>
              </w:rPr>
              <w:t>4</w:t>
            </w:r>
          </w:p>
        </w:tc>
        <w:tc>
          <w:tcPr>
            <w:tcW w:w="1008" w:type="dxa"/>
          </w:tcPr>
          <w:p w14:paraId="20E846AD" w14:textId="77777777" w:rsidR="005132E4" w:rsidRPr="003C0A2F" w:rsidRDefault="005132E4" w:rsidP="00AE7682">
            <w:pPr>
              <w:pStyle w:val="VCAAtablecondensedheading"/>
              <w:rPr>
                <w:lang w:val="en-AU"/>
              </w:rPr>
            </w:pPr>
            <w:r w:rsidRPr="003C0A2F">
              <w:rPr>
                <w:lang w:val="en-AU"/>
              </w:rPr>
              <w:t>Average</w:t>
            </w:r>
          </w:p>
        </w:tc>
      </w:tr>
      <w:tr w:rsidR="00FC7491" w:rsidRPr="003C0A2F" w14:paraId="00613BFE" w14:textId="77777777" w:rsidTr="0052782F">
        <w:tc>
          <w:tcPr>
            <w:tcW w:w="720" w:type="dxa"/>
          </w:tcPr>
          <w:p w14:paraId="42301DD4" w14:textId="77777777" w:rsidR="00FC7491" w:rsidRPr="003C0A2F" w:rsidRDefault="00FC7491" w:rsidP="00FC7491">
            <w:pPr>
              <w:pStyle w:val="VCAAtablecondensed"/>
              <w:rPr>
                <w:lang w:val="en-AU"/>
              </w:rPr>
            </w:pPr>
            <w:r w:rsidRPr="003C0A2F">
              <w:rPr>
                <w:lang w:val="en-AU"/>
              </w:rPr>
              <w:t>%</w:t>
            </w:r>
          </w:p>
        </w:tc>
        <w:tc>
          <w:tcPr>
            <w:tcW w:w="576" w:type="dxa"/>
          </w:tcPr>
          <w:p w14:paraId="4AF53711" w14:textId="076877FE" w:rsidR="00FC7491" w:rsidRPr="003C0A2F" w:rsidRDefault="00FC7491" w:rsidP="00FC7491">
            <w:pPr>
              <w:pStyle w:val="VCAAtablecondensed"/>
              <w:rPr>
                <w:lang w:val="en-AU"/>
              </w:rPr>
            </w:pPr>
            <w:r w:rsidRPr="00075F92">
              <w:t>27</w:t>
            </w:r>
          </w:p>
        </w:tc>
        <w:tc>
          <w:tcPr>
            <w:tcW w:w="576" w:type="dxa"/>
          </w:tcPr>
          <w:p w14:paraId="3C4E53FA" w14:textId="4DD00977" w:rsidR="00FC7491" w:rsidRPr="003C0A2F" w:rsidRDefault="00FC7491" w:rsidP="00FC7491">
            <w:pPr>
              <w:pStyle w:val="VCAAtablecondensed"/>
              <w:rPr>
                <w:lang w:val="en-AU"/>
              </w:rPr>
            </w:pPr>
            <w:r w:rsidRPr="00075F92">
              <w:t>17</w:t>
            </w:r>
          </w:p>
        </w:tc>
        <w:tc>
          <w:tcPr>
            <w:tcW w:w="576" w:type="dxa"/>
          </w:tcPr>
          <w:p w14:paraId="23F87EA1" w14:textId="4107EAEE" w:rsidR="00FC7491" w:rsidRPr="003C0A2F" w:rsidRDefault="00FC7491" w:rsidP="00FC7491">
            <w:pPr>
              <w:pStyle w:val="VCAAtablecondensed"/>
              <w:rPr>
                <w:lang w:val="en-AU"/>
              </w:rPr>
            </w:pPr>
            <w:r w:rsidRPr="00075F92">
              <w:t>1</w:t>
            </w:r>
            <w:r w:rsidR="003C5FD2">
              <w:t>9</w:t>
            </w:r>
          </w:p>
        </w:tc>
        <w:tc>
          <w:tcPr>
            <w:tcW w:w="576" w:type="dxa"/>
          </w:tcPr>
          <w:p w14:paraId="0F1EB40B" w14:textId="67CC77FD" w:rsidR="00FC7491" w:rsidRPr="003C0A2F" w:rsidRDefault="00FC7491" w:rsidP="00FC7491">
            <w:pPr>
              <w:pStyle w:val="VCAAtablecondensed"/>
              <w:rPr>
                <w:lang w:val="en-AU"/>
              </w:rPr>
            </w:pPr>
            <w:r w:rsidRPr="00075F92">
              <w:t>23</w:t>
            </w:r>
          </w:p>
        </w:tc>
        <w:tc>
          <w:tcPr>
            <w:tcW w:w="576" w:type="dxa"/>
          </w:tcPr>
          <w:p w14:paraId="27EDBD66" w14:textId="2A240259" w:rsidR="00FC7491" w:rsidRPr="003C0A2F" w:rsidRDefault="00FC7491" w:rsidP="00FC7491">
            <w:pPr>
              <w:pStyle w:val="VCAAtablecondensed"/>
              <w:rPr>
                <w:lang w:val="en-AU"/>
              </w:rPr>
            </w:pPr>
            <w:r w:rsidRPr="00075F92">
              <w:t>1</w:t>
            </w:r>
            <w:r w:rsidR="003C5FD2">
              <w:t>4</w:t>
            </w:r>
          </w:p>
        </w:tc>
        <w:tc>
          <w:tcPr>
            <w:tcW w:w="1008" w:type="dxa"/>
          </w:tcPr>
          <w:p w14:paraId="6687BCC2" w14:textId="7597F48E" w:rsidR="00FC7491" w:rsidRPr="003C0A2F" w:rsidRDefault="00FC7491" w:rsidP="00FC7491">
            <w:pPr>
              <w:pStyle w:val="VCAAtablecondensed"/>
              <w:rPr>
                <w:lang w:val="en-AU"/>
              </w:rPr>
            </w:pPr>
            <w:r w:rsidRPr="00075F92">
              <w:t>1.8</w:t>
            </w:r>
          </w:p>
        </w:tc>
      </w:tr>
    </w:tbl>
    <w:p w14:paraId="5472E8D1" w14:textId="7EA50F57" w:rsidR="00BA7603" w:rsidRDefault="00993738" w:rsidP="00104DDD">
      <w:pPr>
        <w:pStyle w:val="VCAAbody"/>
        <w:rPr>
          <w:rStyle w:val="VCAAbodyChar"/>
        </w:rPr>
      </w:pPr>
      <w:r w:rsidRPr="00104DDD">
        <w:rPr>
          <w:rStyle w:val="VCAAbodyChar"/>
        </w:rPr>
        <w:t xml:space="preserve">To achieve full marks, students </w:t>
      </w:r>
      <w:r w:rsidR="00F64C16">
        <w:rPr>
          <w:rStyle w:val="VCAAbodyChar"/>
        </w:rPr>
        <w:t>needed</w:t>
      </w:r>
      <w:r w:rsidR="00D57FF6" w:rsidRPr="00104DDD">
        <w:rPr>
          <w:rStyle w:val="VCAAbodyChar"/>
        </w:rPr>
        <w:t xml:space="preserve"> </w:t>
      </w:r>
      <w:r w:rsidRPr="00104DDD">
        <w:rPr>
          <w:rStyle w:val="VCAAbodyChar"/>
        </w:rPr>
        <w:t xml:space="preserve">to </w:t>
      </w:r>
      <w:r w:rsidR="00210D0B" w:rsidRPr="00104DDD">
        <w:rPr>
          <w:rStyle w:val="VCAAbodyChar"/>
        </w:rPr>
        <w:t xml:space="preserve">make accurate reference to the asset prices and wealth channel in terms of it stemming from a tighter </w:t>
      </w:r>
      <w:r w:rsidR="00210D0B" w:rsidRPr="00785D3D">
        <w:rPr>
          <w:rStyle w:val="VCAAbodyChar"/>
        </w:rPr>
        <w:t>M</w:t>
      </w:r>
      <w:r w:rsidR="00996373" w:rsidRPr="00785D3D">
        <w:rPr>
          <w:rStyle w:val="VCAAbodyChar"/>
        </w:rPr>
        <w:t xml:space="preserve">onetary </w:t>
      </w:r>
      <w:r w:rsidR="00210D0B" w:rsidRPr="00F64C16">
        <w:rPr>
          <w:rStyle w:val="VCAAbodyChar"/>
        </w:rPr>
        <w:t>P</w:t>
      </w:r>
      <w:r w:rsidR="00996373">
        <w:rPr>
          <w:rStyle w:val="VCAAbodyChar"/>
        </w:rPr>
        <w:t>olicy (MP)</w:t>
      </w:r>
      <w:r w:rsidR="00210D0B" w:rsidRPr="00104DDD">
        <w:rPr>
          <w:rStyle w:val="VCAAbodyChar"/>
        </w:rPr>
        <w:t xml:space="preserve"> (or higher interest rates)</w:t>
      </w:r>
      <w:r w:rsidR="00CC7A3F">
        <w:rPr>
          <w:rStyle w:val="VCAAbodyChar"/>
        </w:rPr>
        <w:t xml:space="preserve"> and t</w:t>
      </w:r>
      <w:r w:rsidR="00D57FF6">
        <w:rPr>
          <w:rStyle w:val="VCAAbodyChar"/>
        </w:rPr>
        <w:t>hen</w:t>
      </w:r>
      <w:r w:rsidR="00210D0B" w:rsidRPr="00104DDD">
        <w:rPr>
          <w:rStyle w:val="VCAAbodyChar"/>
        </w:rPr>
        <w:t xml:space="preserve"> link falling asset prices and wealth to a reduction </w:t>
      </w:r>
      <w:r w:rsidR="00D57FF6">
        <w:rPr>
          <w:rStyle w:val="VCAAbodyChar"/>
        </w:rPr>
        <w:t xml:space="preserve">in </w:t>
      </w:r>
      <w:r w:rsidR="00210D0B" w:rsidRPr="00F64C16">
        <w:rPr>
          <w:rStyle w:val="VCAAbodyChar"/>
        </w:rPr>
        <w:t>AD</w:t>
      </w:r>
      <w:r w:rsidR="00210D0B" w:rsidRPr="00104DDD">
        <w:rPr>
          <w:rStyle w:val="VCAAbodyChar"/>
        </w:rPr>
        <w:t xml:space="preserve"> (via lower </w:t>
      </w:r>
      <w:r w:rsidR="00BA7603">
        <w:rPr>
          <w:rStyle w:val="VCAAbodyChar"/>
        </w:rPr>
        <w:t>c</w:t>
      </w:r>
      <w:r w:rsidR="00210D0B" w:rsidRPr="00104DDD">
        <w:rPr>
          <w:rStyle w:val="VCAAbodyChar"/>
        </w:rPr>
        <w:t xml:space="preserve">onsumption in particular), a higher unemployment rate and the achievement of full employment. </w:t>
      </w:r>
    </w:p>
    <w:p w14:paraId="544D971A" w14:textId="78FF3A69" w:rsidR="00210D0B" w:rsidRPr="00104DDD" w:rsidRDefault="00210D0B" w:rsidP="00104DDD">
      <w:pPr>
        <w:pStyle w:val="VCAAbody"/>
        <w:rPr>
          <w:rStyle w:val="VCAAbodyChar"/>
        </w:rPr>
      </w:pPr>
      <w:r w:rsidRPr="00104DDD">
        <w:rPr>
          <w:rStyle w:val="VCAAbodyChar"/>
        </w:rPr>
        <w:t>With respect to the impact on full employment</w:t>
      </w:r>
      <w:r w:rsidR="00CC7A3F">
        <w:rPr>
          <w:rStyle w:val="VCAAbodyChar"/>
        </w:rPr>
        <w:t xml:space="preserve"> (FE)</w:t>
      </w:r>
      <w:r w:rsidRPr="00104DDD">
        <w:rPr>
          <w:rStyle w:val="VCAAbodyChar"/>
        </w:rPr>
        <w:t>, some flexibility was afforded</w:t>
      </w:r>
      <w:r w:rsidR="00D57FF6">
        <w:rPr>
          <w:rStyle w:val="VCAAbodyChar"/>
        </w:rPr>
        <w:t>.</w:t>
      </w:r>
      <w:r w:rsidR="00F87ED6">
        <w:rPr>
          <w:rStyle w:val="VCAAbodyChar"/>
        </w:rPr>
        <w:t xml:space="preserve"> </w:t>
      </w:r>
      <w:r w:rsidRPr="00104DDD">
        <w:rPr>
          <w:rStyle w:val="VCAAbodyChar"/>
        </w:rPr>
        <w:t xml:space="preserve">Full marks </w:t>
      </w:r>
      <w:r w:rsidR="00D57FF6">
        <w:rPr>
          <w:rStyle w:val="VCAAbodyChar"/>
        </w:rPr>
        <w:t>were possible</w:t>
      </w:r>
      <w:r w:rsidRPr="00104DDD">
        <w:rPr>
          <w:rStyle w:val="VCAAbodyChar"/>
        </w:rPr>
        <w:t xml:space="preserve"> for arguing that </w:t>
      </w:r>
      <w:r w:rsidRPr="00F64C16">
        <w:rPr>
          <w:rStyle w:val="VCAAbodyChar"/>
        </w:rPr>
        <w:t>FE</w:t>
      </w:r>
      <w:r w:rsidRPr="00104DDD">
        <w:rPr>
          <w:rStyle w:val="VCAAbodyChar"/>
        </w:rPr>
        <w:t xml:space="preserve"> is more likely to be achieved (e.g. arguing that a rise in unemployment in the 2023 context helped with the achievement of </w:t>
      </w:r>
      <w:r w:rsidRPr="00F64C16">
        <w:rPr>
          <w:rStyle w:val="VCAAbodyChar"/>
        </w:rPr>
        <w:t>FE</w:t>
      </w:r>
      <w:r w:rsidRPr="00104DDD">
        <w:rPr>
          <w:rStyle w:val="VCAAbodyChar"/>
        </w:rPr>
        <w:t xml:space="preserve"> in light of the </w:t>
      </w:r>
      <w:r w:rsidRPr="00F64C16">
        <w:rPr>
          <w:rStyle w:val="VCAAbodyChar"/>
        </w:rPr>
        <w:t>UE</w:t>
      </w:r>
      <w:r w:rsidRPr="00104DDD">
        <w:rPr>
          <w:rStyle w:val="VCAAbodyChar"/>
        </w:rPr>
        <w:t xml:space="preserve"> rate being ‘too low’ such that experienced over full employment) or less likely to be achieved (e</w:t>
      </w:r>
      <w:r w:rsidR="00BA7603">
        <w:rPr>
          <w:rStyle w:val="VCAAbodyChar"/>
        </w:rPr>
        <w:t>.</w:t>
      </w:r>
      <w:r w:rsidRPr="00104DDD">
        <w:rPr>
          <w:rStyle w:val="VCAAbodyChar"/>
        </w:rPr>
        <w:t xml:space="preserve">g. approaching the question from a theoretical position or arguing that further rises in </w:t>
      </w:r>
      <w:r w:rsidR="00BA7603">
        <w:rPr>
          <w:rStyle w:val="VCAAbodyChar"/>
        </w:rPr>
        <w:t>i</w:t>
      </w:r>
      <w:r w:rsidRPr="00104DDD">
        <w:rPr>
          <w:rStyle w:val="VCAAbodyChar"/>
        </w:rPr>
        <w:t>nterest rates are inconsistent with the achievement of FE goal to the extent that fewer people who want a job are able to attain one in a short period of time).</w:t>
      </w:r>
    </w:p>
    <w:p w14:paraId="2280A921" w14:textId="303CBDE5" w:rsidR="00210D0B" w:rsidRPr="00104DDD" w:rsidRDefault="00BA7603" w:rsidP="00104DDD">
      <w:pPr>
        <w:pStyle w:val="VCAAbody"/>
      </w:pPr>
      <w:r w:rsidRPr="00104DDD">
        <w:t xml:space="preserve">This question was </w:t>
      </w:r>
      <w:r w:rsidR="00D57FF6">
        <w:t xml:space="preserve">generally </w:t>
      </w:r>
      <w:r w:rsidRPr="00104DDD">
        <w:t xml:space="preserve">not handled well by </w:t>
      </w:r>
      <w:r w:rsidR="00D57FF6">
        <w:t>most</w:t>
      </w:r>
      <w:r w:rsidRPr="00104DDD">
        <w:t xml:space="preserve"> students</w:t>
      </w:r>
      <w:r>
        <w:t xml:space="preserve">. </w:t>
      </w:r>
      <w:r w:rsidR="00D57FF6">
        <w:t>With many ignoring</w:t>
      </w:r>
      <w:r w:rsidR="00210D0B" w:rsidRPr="00104DDD">
        <w:t xml:space="preserve"> the need to link </w:t>
      </w:r>
      <w:r w:rsidR="00D57FF6">
        <w:t>a</w:t>
      </w:r>
      <w:r w:rsidR="00D57FF6" w:rsidRPr="00104DDD">
        <w:t xml:space="preserve"> </w:t>
      </w:r>
      <w:r w:rsidR="00210D0B" w:rsidRPr="00104DDD">
        <w:t xml:space="preserve">fall in house prices to the tightening of </w:t>
      </w:r>
      <w:r w:rsidR="00210D0B" w:rsidRPr="00F64C16">
        <w:t>MP</w:t>
      </w:r>
      <w:r w:rsidR="00210D0B" w:rsidRPr="00104DDD">
        <w:t xml:space="preserve"> or </w:t>
      </w:r>
      <w:r w:rsidR="00D57FF6">
        <w:t xml:space="preserve">the </w:t>
      </w:r>
      <w:r w:rsidR="00210D0B" w:rsidRPr="00104DDD">
        <w:t xml:space="preserve">rise in interest rates and therefore </w:t>
      </w:r>
      <w:r w:rsidR="00D8296E">
        <w:t>not achieving</w:t>
      </w:r>
      <w:r w:rsidR="00210D0B" w:rsidRPr="00104DDD">
        <w:t xml:space="preserve"> full marks.</w:t>
      </w:r>
      <w:r w:rsidR="00F87ED6">
        <w:t xml:space="preserve"> </w:t>
      </w:r>
    </w:p>
    <w:p w14:paraId="3CE51508" w14:textId="254DBE3A" w:rsidR="00210D0B" w:rsidRPr="00104DDD" w:rsidRDefault="00210D0B" w:rsidP="00104DDD">
      <w:pPr>
        <w:pStyle w:val="VCAAbody"/>
      </w:pPr>
      <w:r w:rsidRPr="00104DDD">
        <w:t xml:space="preserve">Many students also attempted to explain the channel via the </w:t>
      </w:r>
      <w:r w:rsidR="00D8296E">
        <w:t>decrease</w:t>
      </w:r>
      <w:r w:rsidR="00D8296E" w:rsidRPr="00104DDD">
        <w:t xml:space="preserve"> </w:t>
      </w:r>
      <w:r w:rsidRPr="00104DDD">
        <w:t xml:space="preserve">in </w:t>
      </w:r>
      <w:r w:rsidR="008E1AD4">
        <w:t xml:space="preserve">the </w:t>
      </w:r>
      <w:r w:rsidRPr="00104DDD">
        <w:t>construction of houses.</w:t>
      </w:r>
      <w:r w:rsidR="00F87ED6">
        <w:t xml:space="preserve"> </w:t>
      </w:r>
      <w:r w:rsidRPr="00104DDD">
        <w:t xml:space="preserve">For example, that lower house prices </w:t>
      </w:r>
      <w:r w:rsidR="00C66555" w:rsidRPr="00104DDD">
        <w:t>discourage</w:t>
      </w:r>
      <w:r w:rsidRPr="00104DDD">
        <w:t xml:space="preserve"> further investment in houses </w:t>
      </w:r>
      <w:r w:rsidR="00D8296E">
        <w:t>therefore decreasing</w:t>
      </w:r>
      <w:r w:rsidRPr="00104DDD">
        <w:t xml:space="preserve"> </w:t>
      </w:r>
      <w:r w:rsidRPr="00F64C16">
        <w:t>AD</w:t>
      </w:r>
      <w:r w:rsidRPr="00104DDD">
        <w:t xml:space="preserve"> via </w:t>
      </w:r>
      <w:r w:rsidR="00D8296E">
        <w:t>a</w:t>
      </w:r>
      <w:r w:rsidR="00D8296E" w:rsidRPr="00104DDD">
        <w:t xml:space="preserve"> </w:t>
      </w:r>
      <w:r w:rsidRPr="00104DDD">
        <w:t>reduction in housing construction.</w:t>
      </w:r>
      <w:r w:rsidR="00F87ED6">
        <w:t xml:space="preserve"> </w:t>
      </w:r>
      <w:r w:rsidRPr="00104DDD">
        <w:t>This approach was too micro focused</w:t>
      </w:r>
      <w:r w:rsidR="00D8296E">
        <w:t>,</w:t>
      </w:r>
      <w:r w:rsidRPr="00104DDD">
        <w:t xml:space="preserve"> instead students </w:t>
      </w:r>
      <w:r w:rsidR="00D8296E">
        <w:t>were required</w:t>
      </w:r>
      <w:r w:rsidR="00D8296E" w:rsidRPr="00104DDD">
        <w:t xml:space="preserve"> </w:t>
      </w:r>
      <w:r w:rsidRPr="00104DDD">
        <w:t xml:space="preserve">to explore the link via the reduction in </w:t>
      </w:r>
      <w:r w:rsidRPr="00F64C16">
        <w:t>AD</w:t>
      </w:r>
      <w:r w:rsidRPr="00104DDD">
        <w:t xml:space="preserve"> (e.g. </w:t>
      </w:r>
      <w:r w:rsidR="00BA7603">
        <w:t>c</w:t>
      </w:r>
      <w:r w:rsidRPr="00104DDD">
        <w:t xml:space="preserve">onsumption demand) </w:t>
      </w:r>
      <w:r w:rsidR="00D8296E">
        <w:t>occurring</w:t>
      </w:r>
      <w:r w:rsidRPr="00104DDD">
        <w:t xml:space="preserve"> </w:t>
      </w:r>
      <w:proofErr w:type="gramStart"/>
      <w:r w:rsidRPr="00104DDD">
        <w:t>as a consequence of</w:t>
      </w:r>
      <w:proofErr w:type="gramEnd"/>
      <w:r w:rsidRPr="00104DDD">
        <w:t xml:space="preserve"> homeowners/mortgage holders feeling less wealthy and </w:t>
      </w:r>
      <w:r w:rsidR="001C5A00" w:rsidRPr="00104DDD">
        <w:t>less inclined to spend money on goods and services.</w:t>
      </w:r>
      <w:r w:rsidR="00F87ED6">
        <w:t xml:space="preserve"> </w:t>
      </w:r>
    </w:p>
    <w:p w14:paraId="1122C098" w14:textId="0CD2CA8A" w:rsidR="00210D0B" w:rsidRPr="00104DDD" w:rsidRDefault="00210D0B" w:rsidP="00104DDD">
      <w:pPr>
        <w:pStyle w:val="VCAAbody"/>
      </w:pPr>
      <w:r w:rsidRPr="00104DDD">
        <w:t>Many students attempt</w:t>
      </w:r>
      <w:r w:rsidR="001C5A00" w:rsidRPr="00104DDD">
        <w:t>ed</w:t>
      </w:r>
      <w:r w:rsidRPr="00104DDD">
        <w:t xml:space="preserve"> to explain the channel via the fall in consumer confidence as house price</w:t>
      </w:r>
      <w:r w:rsidR="001C5A00" w:rsidRPr="00104DDD">
        <w:t>s</w:t>
      </w:r>
      <w:r w:rsidRPr="00104DDD">
        <w:t xml:space="preserve"> fall</w:t>
      </w:r>
      <w:r w:rsidR="001C5A00" w:rsidRPr="00104DDD">
        <w:t>,</w:t>
      </w:r>
      <w:r w:rsidRPr="00104DDD">
        <w:t xml:space="preserve"> instead of focusing on the impact stemming from the decline in </w:t>
      </w:r>
      <w:r w:rsidR="001C5A00" w:rsidRPr="00104DDD">
        <w:t xml:space="preserve">the </w:t>
      </w:r>
      <w:r w:rsidRPr="00104DDD">
        <w:t>value of property (i.e. a decrease in their ‘wealth on paper’)</w:t>
      </w:r>
      <w:r w:rsidR="008E1AD4">
        <w:t>,</w:t>
      </w:r>
      <w:r w:rsidRPr="00104DDD">
        <w:t xml:space="preserve"> which then discourages spending on goods and services.</w:t>
      </w:r>
      <w:r w:rsidR="00F87ED6">
        <w:t xml:space="preserve"> </w:t>
      </w:r>
      <w:r w:rsidRPr="00104DDD">
        <w:t xml:space="preserve">For example, mortgage holders are less likely to tap into the (declining) equity in their home via further borrowing from their bank </w:t>
      </w:r>
      <w:proofErr w:type="gramStart"/>
      <w:r w:rsidRPr="00104DDD">
        <w:t>in order to</w:t>
      </w:r>
      <w:proofErr w:type="gramEnd"/>
      <w:r w:rsidRPr="00104DDD">
        <w:t xml:space="preserve"> finance consumption.</w:t>
      </w:r>
      <w:r w:rsidR="00F87ED6">
        <w:t xml:space="preserve"> </w:t>
      </w:r>
      <w:r w:rsidR="001C5A00" w:rsidRPr="00104DDD">
        <w:t>While the negative impact on consumer confidence is not irrelevant in the context of declining house prices, a broader or more all</w:t>
      </w:r>
      <w:r w:rsidR="00996373">
        <w:t>-</w:t>
      </w:r>
      <w:r w:rsidR="001C5A00" w:rsidRPr="00104DDD">
        <w:t>encompassing explanation was required.</w:t>
      </w:r>
      <w:r w:rsidR="00F87ED6">
        <w:t xml:space="preserve"> </w:t>
      </w:r>
    </w:p>
    <w:p w14:paraId="41629FBA" w14:textId="637890E7" w:rsidR="001C5A00" w:rsidRPr="00104DDD" w:rsidRDefault="001C5A00" w:rsidP="00104DDD">
      <w:pPr>
        <w:pStyle w:val="VCAAbody"/>
      </w:pPr>
      <w:r w:rsidRPr="00104DDD">
        <w:t>Some students were able to explain the link to employment/</w:t>
      </w:r>
      <w:r w:rsidR="007453E2" w:rsidRPr="00104DDD">
        <w:t>unemployment,</w:t>
      </w:r>
      <w:r w:rsidRPr="00104DDD">
        <w:t xml:space="preserve"> but they failed to extend their response by examining the impact on the achievement of ‘the domestic macroeconomic goal of full employment’. This prevented them from achieving full marks.</w:t>
      </w:r>
    </w:p>
    <w:p w14:paraId="534F5950" w14:textId="77777777" w:rsidR="001C5A00" w:rsidRPr="00104DDD" w:rsidRDefault="001C5A00" w:rsidP="00104DDD">
      <w:pPr>
        <w:pStyle w:val="VCAAbody"/>
      </w:pPr>
      <w:r w:rsidRPr="00104DDD">
        <w:t xml:space="preserve">The following is an example of a high-scoring response. </w:t>
      </w:r>
    </w:p>
    <w:p w14:paraId="116BF811" w14:textId="7BDCEBDF" w:rsidR="00E1317D" w:rsidRDefault="00E1317D" w:rsidP="003E213B">
      <w:pPr>
        <w:pStyle w:val="VCAAstudentresponse"/>
      </w:pPr>
      <w:r w:rsidRPr="00E1317D">
        <w:t xml:space="preserve">A tightening of the </w:t>
      </w:r>
      <w:r w:rsidR="008150CC">
        <w:t>TCR</w:t>
      </w:r>
      <w:r w:rsidRPr="00E1317D">
        <w:t xml:space="preserve">, leading to a higher </w:t>
      </w:r>
      <w:r w:rsidR="008150CC">
        <w:t>TCR</w:t>
      </w:r>
      <w:r w:rsidRPr="00E1317D">
        <w:t xml:space="preserve"> flowing onto higher interest rates which thus activates the asset prices/wealth channel, would lead to a reduced demand for various types of assets including houses, as the cost of borrowing increases as does the cost to service home loans. This reduced demand for houses reduces their prices of houses, which thus reduces the average wealth of households, as household wealth is largely tied to property value. The reduced price/value of houses ultimately reduces the paper wealth of property owners, as well as their real wealth, if/when they will sell their property as a lower price for a capital loss. This thus reduces the rate of spending for property owners, which reduces consumption, and thus reduces the level of AD. This leads firms to respond to the reduced sales and </w:t>
      </w:r>
      <w:r w:rsidRPr="00E1317D">
        <w:lastRenderedPageBreak/>
        <w:t xml:space="preserve">rising stock levels with reduced production volumes, thus reducing output and derived demand for labour. This increases unemployment (cyclical) which jeopardises the achievement of full employment, which is to achieve the lowest rate of unemployment possible, with no cyclical </w:t>
      </w:r>
      <w:r w:rsidR="003E213B">
        <w:t>unemployment,</w:t>
      </w:r>
      <w:r w:rsidR="003E213B" w:rsidRPr="003E213B">
        <w:t xml:space="preserve"> </w:t>
      </w:r>
      <w:r w:rsidR="003E213B" w:rsidRPr="00E1317D">
        <w:t>before unsustainable inflation occurs</w:t>
      </w:r>
      <w:r w:rsidR="003E213B">
        <w:t xml:space="preserve"> (</w:t>
      </w:r>
      <w:proofErr w:type="gramStart"/>
      <w:r w:rsidR="003E213B">
        <w:t>i.e.</w:t>
      </w:r>
      <w:proofErr w:type="gramEnd"/>
      <w:r w:rsidR="003E213B">
        <w:t xml:space="preserve"> NAIRU). </w:t>
      </w:r>
      <w:r w:rsidRPr="00E1317D">
        <w:t>This is achieved at an unemployment rate of 4-4.5%.</w:t>
      </w:r>
    </w:p>
    <w:p w14:paraId="5EB23E66" w14:textId="2F0BCA84" w:rsidR="005132E4" w:rsidRPr="003C0A2F" w:rsidRDefault="005132E4" w:rsidP="009914F6">
      <w:pPr>
        <w:pStyle w:val="VCAAHeading3"/>
      </w:pPr>
      <w:r w:rsidRPr="003C0A2F">
        <w:t xml:space="preserve">Question </w:t>
      </w:r>
      <w:r>
        <w:t>5a</w:t>
      </w:r>
      <w:r w:rsidR="0085496D">
        <w:t>.</w:t>
      </w:r>
    </w:p>
    <w:tbl>
      <w:tblPr>
        <w:tblStyle w:val="VCAATableClosed"/>
        <w:tblW w:w="0" w:type="auto"/>
        <w:tblInd w:w="142" w:type="dxa"/>
        <w:tblLook w:val="04A0" w:firstRow="1" w:lastRow="0" w:firstColumn="1" w:lastColumn="0" w:noHBand="0" w:noVBand="1"/>
      </w:tblPr>
      <w:tblGrid>
        <w:gridCol w:w="720"/>
        <w:gridCol w:w="576"/>
        <w:gridCol w:w="576"/>
        <w:gridCol w:w="576"/>
        <w:gridCol w:w="576"/>
        <w:gridCol w:w="1008"/>
      </w:tblGrid>
      <w:tr w:rsidR="003C5FD2" w:rsidRPr="003C0A2F" w14:paraId="3E09F92D"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7710AEA9" w14:textId="77777777" w:rsidR="003C5FD2" w:rsidRPr="003C0A2F" w:rsidRDefault="003C5FD2" w:rsidP="00AE7682">
            <w:pPr>
              <w:pStyle w:val="VCAAtablecondensedheading"/>
              <w:rPr>
                <w:lang w:val="en-AU"/>
              </w:rPr>
            </w:pPr>
            <w:r w:rsidRPr="003C0A2F">
              <w:rPr>
                <w:lang w:val="en-AU"/>
              </w:rPr>
              <w:t>Marks</w:t>
            </w:r>
          </w:p>
        </w:tc>
        <w:tc>
          <w:tcPr>
            <w:tcW w:w="576" w:type="dxa"/>
          </w:tcPr>
          <w:p w14:paraId="560980E7" w14:textId="77777777" w:rsidR="003C5FD2" w:rsidRPr="003C0A2F" w:rsidRDefault="003C5FD2" w:rsidP="00AE7682">
            <w:pPr>
              <w:pStyle w:val="VCAAtablecondensedheading"/>
              <w:rPr>
                <w:lang w:val="en-AU"/>
              </w:rPr>
            </w:pPr>
            <w:r w:rsidRPr="003C0A2F">
              <w:rPr>
                <w:lang w:val="en-AU"/>
              </w:rPr>
              <w:t>0</w:t>
            </w:r>
          </w:p>
        </w:tc>
        <w:tc>
          <w:tcPr>
            <w:tcW w:w="576" w:type="dxa"/>
          </w:tcPr>
          <w:p w14:paraId="45A31355" w14:textId="77777777" w:rsidR="003C5FD2" w:rsidRPr="003C0A2F" w:rsidRDefault="003C5FD2" w:rsidP="00AE7682">
            <w:pPr>
              <w:pStyle w:val="VCAAtablecondensedheading"/>
              <w:rPr>
                <w:lang w:val="en-AU"/>
              </w:rPr>
            </w:pPr>
            <w:r w:rsidRPr="003C0A2F">
              <w:rPr>
                <w:lang w:val="en-AU"/>
              </w:rPr>
              <w:t>1</w:t>
            </w:r>
          </w:p>
        </w:tc>
        <w:tc>
          <w:tcPr>
            <w:tcW w:w="576" w:type="dxa"/>
          </w:tcPr>
          <w:p w14:paraId="1C296F8F" w14:textId="1FF2D67C" w:rsidR="003C5FD2" w:rsidRPr="003C0A2F" w:rsidRDefault="003C5FD2" w:rsidP="00AE7682">
            <w:pPr>
              <w:pStyle w:val="VCAAtablecondensedheading"/>
              <w:rPr>
                <w:lang w:val="en-AU"/>
              </w:rPr>
            </w:pPr>
            <w:r>
              <w:rPr>
                <w:lang w:val="en-AU"/>
              </w:rPr>
              <w:t>2</w:t>
            </w:r>
          </w:p>
        </w:tc>
        <w:tc>
          <w:tcPr>
            <w:tcW w:w="576" w:type="dxa"/>
          </w:tcPr>
          <w:p w14:paraId="7CA985F4" w14:textId="2307C17D" w:rsidR="003C5FD2" w:rsidRPr="003C0A2F" w:rsidRDefault="003C5FD2" w:rsidP="00AE7682">
            <w:pPr>
              <w:pStyle w:val="VCAAtablecondensedheading"/>
              <w:rPr>
                <w:lang w:val="en-AU"/>
              </w:rPr>
            </w:pPr>
            <w:r>
              <w:rPr>
                <w:lang w:val="en-AU"/>
              </w:rPr>
              <w:t>3</w:t>
            </w:r>
          </w:p>
        </w:tc>
        <w:tc>
          <w:tcPr>
            <w:tcW w:w="1008" w:type="dxa"/>
          </w:tcPr>
          <w:p w14:paraId="1C8539E0" w14:textId="77777777" w:rsidR="003C5FD2" w:rsidRPr="003C0A2F" w:rsidRDefault="003C5FD2" w:rsidP="00AE7682">
            <w:pPr>
              <w:pStyle w:val="VCAAtablecondensedheading"/>
              <w:rPr>
                <w:lang w:val="en-AU"/>
              </w:rPr>
            </w:pPr>
            <w:r w:rsidRPr="003C0A2F">
              <w:rPr>
                <w:lang w:val="en-AU"/>
              </w:rPr>
              <w:t>Average</w:t>
            </w:r>
          </w:p>
        </w:tc>
      </w:tr>
      <w:tr w:rsidR="003C5FD2" w:rsidRPr="003C0A2F" w14:paraId="44A6C258" w14:textId="77777777" w:rsidTr="0052782F">
        <w:tc>
          <w:tcPr>
            <w:tcW w:w="720" w:type="dxa"/>
          </w:tcPr>
          <w:p w14:paraId="1FA91309" w14:textId="77777777" w:rsidR="003C5FD2" w:rsidRPr="003C0A2F" w:rsidRDefault="003C5FD2" w:rsidP="00FC7491">
            <w:pPr>
              <w:pStyle w:val="VCAAtablecondensed"/>
              <w:rPr>
                <w:lang w:val="en-AU"/>
              </w:rPr>
            </w:pPr>
            <w:r w:rsidRPr="003C0A2F">
              <w:rPr>
                <w:lang w:val="en-AU"/>
              </w:rPr>
              <w:t>%</w:t>
            </w:r>
          </w:p>
        </w:tc>
        <w:tc>
          <w:tcPr>
            <w:tcW w:w="576" w:type="dxa"/>
          </w:tcPr>
          <w:p w14:paraId="344BF206" w14:textId="7B96B013" w:rsidR="003C5FD2" w:rsidRPr="003C0A2F" w:rsidRDefault="003C5FD2" w:rsidP="00FC7491">
            <w:pPr>
              <w:pStyle w:val="VCAAtablecondensed"/>
              <w:rPr>
                <w:lang w:val="en-AU"/>
              </w:rPr>
            </w:pPr>
            <w:r w:rsidRPr="00DE49C2">
              <w:t>31</w:t>
            </w:r>
          </w:p>
        </w:tc>
        <w:tc>
          <w:tcPr>
            <w:tcW w:w="576" w:type="dxa"/>
          </w:tcPr>
          <w:p w14:paraId="60909B08" w14:textId="5EEDB6AC" w:rsidR="003C5FD2" w:rsidRPr="003C0A2F" w:rsidRDefault="003C5FD2" w:rsidP="00FC7491">
            <w:pPr>
              <w:pStyle w:val="VCAAtablecondensed"/>
              <w:rPr>
                <w:lang w:val="en-AU"/>
              </w:rPr>
            </w:pPr>
            <w:r w:rsidRPr="00DE49C2">
              <w:t>24</w:t>
            </w:r>
          </w:p>
        </w:tc>
        <w:tc>
          <w:tcPr>
            <w:tcW w:w="576" w:type="dxa"/>
          </w:tcPr>
          <w:p w14:paraId="26986D5B" w14:textId="6085C25E" w:rsidR="003C5FD2" w:rsidRPr="003C0A2F" w:rsidRDefault="003C5FD2" w:rsidP="00FC7491">
            <w:pPr>
              <w:pStyle w:val="VCAAtablecondensed"/>
              <w:rPr>
                <w:lang w:val="en-AU"/>
              </w:rPr>
            </w:pPr>
            <w:r w:rsidRPr="00DE49C2">
              <w:t>27</w:t>
            </w:r>
          </w:p>
        </w:tc>
        <w:tc>
          <w:tcPr>
            <w:tcW w:w="576" w:type="dxa"/>
          </w:tcPr>
          <w:p w14:paraId="40A801AB" w14:textId="067E80D8" w:rsidR="003C5FD2" w:rsidRPr="003C0A2F" w:rsidRDefault="003C5FD2" w:rsidP="00FC7491">
            <w:pPr>
              <w:pStyle w:val="VCAAtablecondensed"/>
              <w:rPr>
                <w:lang w:val="en-AU"/>
              </w:rPr>
            </w:pPr>
            <w:r w:rsidRPr="00DE49C2">
              <w:t>18</w:t>
            </w:r>
          </w:p>
        </w:tc>
        <w:tc>
          <w:tcPr>
            <w:tcW w:w="1008" w:type="dxa"/>
          </w:tcPr>
          <w:p w14:paraId="384EDDFB" w14:textId="3E219923" w:rsidR="003C5FD2" w:rsidRPr="003C0A2F" w:rsidRDefault="003C5FD2" w:rsidP="00FC7491">
            <w:pPr>
              <w:pStyle w:val="VCAAtablecondensed"/>
              <w:rPr>
                <w:lang w:val="en-AU"/>
              </w:rPr>
            </w:pPr>
            <w:r>
              <w:t>1.3</w:t>
            </w:r>
          </w:p>
        </w:tc>
      </w:tr>
    </w:tbl>
    <w:p w14:paraId="79FA4D76" w14:textId="6780CE47" w:rsidR="001C5A00" w:rsidRPr="00104DDD" w:rsidRDefault="002D41DF" w:rsidP="00104DDD">
      <w:pPr>
        <w:pStyle w:val="VCAAbody"/>
      </w:pPr>
      <w:r w:rsidRPr="00104DDD">
        <w:t xml:space="preserve">This question was not </w:t>
      </w:r>
      <w:r w:rsidR="00D8296E">
        <w:t xml:space="preserve">generally </w:t>
      </w:r>
      <w:r w:rsidRPr="00104DDD">
        <w:t xml:space="preserve">handled well by </w:t>
      </w:r>
      <w:r w:rsidR="00D8296E">
        <w:t>most</w:t>
      </w:r>
      <w:r w:rsidRPr="00104DDD">
        <w:t xml:space="preserve"> of </w:t>
      </w:r>
      <w:r w:rsidR="008E1AD4">
        <w:t xml:space="preserve">the </w:t>
      </w:r>
      <w:r w:rsidRPr="00104DDD">
        <w:t>students.</w:t>
      </w:r>
      <w:r w:rsidR="00F87ED6">
        <w:t xml:space="preserve"> </w:t>
      </w:r>
      <w:r w:rsidR="001C5A00" w:rsidRPr="00104DDD">
        <w:t xml:space="preserve">To achieve full marks, students </w:t>
      </w:r>
      <w:r w:rsidR="00D8296E">
        <w:t>were expected</w:t>
      </w:r>
      <w:r w:rsidR="00D8296E" w:rsidRPr="00104DDD">
        <w:t xml:space="preserve"> </w:t>
      </w:r>
      <w:r w:rsidR="001C5A00" w:rsidRPr="00104DDD">
        <w:t>to demonstrate an understanding of ‘non-inflationary economic growth’ while explain</w:t>
      </w:r>
      <w:r w:rsidR="0084315E">
        <w:t>ing</w:t>
      </w:r>
      <w:r w:rsidR="001C5A00" w:rsidRPr="00104DDD">
        <w:t xml:space="preserve"> how </w:t>
      </w:r>
      <w:r w:rsidR="001C5A00" w:rsidRPr="00F64C16">
        <w:t>AS</w:t>
      </w:r>
      <w:r w:rsidR="001C5A00" w:rsidRPr="00104DDD">
        <w:t xml:space="preserve"> and </w:t>
      </w:r>
      <w:r w:rsidR="001C5A00" w:rsidRPr="00F64C16">
        <w:t>AD</w:t>
      </w:r>
      <w:r w:rsidR="001C5A00" w:rsidRPr="00104DDD">
        <w:t xml:space="preserve"> policies can be complementary in promoting non-inflationary economic growth.</w:t>
      </w:r>
      <w:r w:rsidR="00F87ED6">
        <w:t xml:space="preserve"> </w:t>
      </w:r>
      <w:r w:rsidR="00D8296E">
        <w:t xml:space="preserve">Many students </w:t>
      </w:r>
      <w:r w:rsidR="001C5A00" w:rsidRPr="00104DDD">
        <w:t xml:space="preserve">misinterpreted the question and provided an explanation of how </w:t>
      </w:r>
      <w:r w:rsidR="001C5A00" w:rsidRPr="00F64C16">
        <w:t>AS</w:t>
      </w:r>
      <w:r w:rsidR="001C5A00" w:rsidRPr="00104DDD">
        <w:t xml:space="preserve"> policies are implemented to achieve a stronger rate of economic growth alongside lower growth in prices</w:t>
      </w:r>
      <w:r w:rsidR="005D58BE" w:rsidRPr="00104DDD">
        <w:t>.</w:t>
      </w:r>
      <w:r w:rsidR="00F87ED6">
        <w:t xml:space="preserve"> </w:t>
      </w:r>
      <w:r w:rsidR="005D58BE" w:rsidRPr="00104DDD">
        <w:t xml:space="preserve">They </w:t>
      </w:r>
      <w:r w:rsidR="00612096">
        <w:t xml:space="preserve">did not </w:t>
      </w:r>
      <w:r w:rsidR="005D58BE" w:rsidRPr="00104DDD">
        <w:t xml:space="preserve">refer to the </w:t>
      </w:r>
      <w:r w:rsidR="001C5A00" w:rsidRPr="00104DDD">
        <w:t>complementar</w:t>
      </w:r>
      <w:r w:rsidR="00D8296E">
        <w:t>y nature</w:t>
      </w:r>
      <w:r w:rsidR="001C5A00" w:rsidRPr="00104DDD">
        <w:t xml:space="preserve"> </w:t>
      </w:r>
      <w:r w:rsidR="005D58BE" w:rsidRPr="00104DDD">
        <w:t>of the</w:t>
      </w:r>
      <w:r w:rsidR="001C5A00" w:rsidRPr="00104DDD">
        <w:t xml:space="preserve"> policies</w:t>
      </w:r>
      <w:r w:rsidR="005D58BE" w:rsidRPr="00104DDD">
        <w:t xml:space="preserve"> and made no reference to the role of </w:t>
      </w:r>
      <w:r w:rsidR="005D58BE" w:rsidRPr="00785D3D">
        <w:t>AD</w:t>
      </w:r>
      <w:r w:rsidR="005D58BE" w:rsidRPr="00104DDD">
        <w:t xml:space="preserve"> policies. </w:t>
      </w:r>
      <w:r w:rsidR="00D8296E">
        <w:t xml:space="preserve">The </w:t>
      </w:r>
      <w:r w:rsidR="00612096">
        <w:t>highest-scoring</w:t>
      </w:r>
      <w:r w:rsidR="005D58BE" w:rsidRPr="00104DDD">
        <w:t xml:space="preserve"> responses identified that implementation of </w:t>
      </w:r>
      <w:r w:rsidR="005D58BE" w:rsidRPr="00785D3D">
        <w:t>AS</w:t>
      </w:r>
      <w:r w:rsidR="005D58BE" w:rsidRPr="00104DDD">
        <w:t xml:space="preserve"> policies complemented expansionary monetary or budgetary policy because the inflationary effects of expansionary </w:t>
      </w:r>
      <w:r w:rsidR="005D58BE" w:rsidRPr="00785D3D">
        <w:t>AD</w:t>
      </w:r>
      <w:r w:rsidR="005D58BE" w:rsidRPr="00104DDD">
        <w:t xml:space="preserve"> policies was countered by the disinflationary effects of </w:t>
      </w:r>
      <w:r w:rsidR="005D58BE" w:rsidRPr="00785D3D">
        <w:t>AS</w:t>
      </w:r>
      <w:r w:rsidR="005D58BE" w:rsidRPr="00104DDD">
        <w:t xml:space="preserve"> policies</w:t>
      </w:r>
      <w:r w:rsidR="00612096">
        <w:t>,</w:t>
      </w:r>
      <w:r w:rsidR="005D58BE" w:rsidRPr="00104DDD">
        <w:t xml:space="preserve"> which together helped to promote a stronger rate of economic growth without an acceleration of inflation (i.e. non-inflationary economic growth). </w:t>
      </w:r>
    </w:p>
    <w:p w14:paraId="57E5410A" w14:textId="0EE23DB1" w:rsidR="005D58BE" w:rsidRPr="00104DDD" w:rsidRDefault="005D58BE" w:rsidP="00104DDD">
      <w:pPr>
        <w:pStyle w:val="VCAAbody"/>
      </w:pPr>
      <w:r w:rsidRPr="00104DDD">
        <w:t xml:space="preserve">Some students simply described how </w:t>
      </w:r>
      <w:r w:rsidRPr="00785D3D">
        <w:t>AS</w:t>
      </w:r>
      <w:r w:rsidRPr="00104DDD">
        <w:t xml:space="preserve"> policies help to expand </w:t>
      </w:r>
      <w:r w:rsidRPr="00785D3D">
        <w:t>AS</w:t>
      </w:r>
      <w:r w:rsidRPr="00104DDD">
        <w:t xml:space="preserve">, while </w:t>
      </w:r>
      <w:r w:rsidRPr="00785D3D">
        <w:t>AD</w:t>
      </w:r>
      <w:r w:rsidRPr="00104DDD">
        <w:t xml:space="preserve"> policies might be simultaneously</w:t>
      </w:r>
      <w:r w:rsidR="00626403" w:rsidRPr="00104DDD">
        <w:t xml:space="preserve"> </w:t>
      </w:r>
      <w:r w:rsidRPr="00104DDD">
        <w:t xml:space="preserve">attempting to restrain growth in </w:t>
      </w:r>
      <w:r w:rsidRPr="00785D3D">
        <w:t>AD</w:t>
      </w:r>
      <w:r w:rsidRPr="00104DDD">
        <w:t>, which can help to achieve higher rates of eco</w:t>
      </w:r>
      <w:r w:rsidR="00626403" w:rsidRPr="00104DDD">
        <w:t>nomic</w:t>
      </w:r>
      <w:r w:rsidRPr="00104DDD">
        <w:t xml:space="preserve"> growth with a large downward impact on prices.</w:t>
      </w:r>
      <w:r w:rsidR="00F87ED6">
        <w:t xml:space="preserve"> </w:t>
      </w:r>
      <w:r w:rsidRPr="00104DDD">
        <w:t>While this approach is not without merit, it misses the point of the question, which require</w:t>
      </w:r>
      <w:r w:rsidR="00612096">
        <w:t>d</w:t>
      </w:r>
      <w:r w:rsidRPr="00104DDD">
        <w:t xml:space="preserve"> the</w:t>
      </w:r>
      <w:r w:rsidR="00612096">
        <w:t xml:space="preserve"> focus </w:t>
      </w:r>
      <w:r w:rsidRPr="00104DDD">
        <w:t>to be on the promotion of non-inflationary economic growth.</w:t>
      </w:r>
    </w:p>
    <w:p w14:paraId="3A408C7D" w14:textId="413174C0" w:rsidR="00626403" w:rsidRPr="00104DDD" w:rsidRDefault="002B2E60" w:rsidP="00104DDD">
      <w:pPr>
        <w:pStyle w:val="VCAAbody"/>
      </w:pPr>
      <w:r w:rsidRPr="00104DDD">
        <w:t xml:space="preserve">Many correctly </w:t>
      </w:r>
      <w:r w:rsidR="00812E76">
        <w:t>noted</w:t>
      </w:r>
      <w:r w:rsidR="00812E76" w:rsidRPr="00104DDD">
        <w:t xml:space="preserve"> </w:t>
      </w:r>
      <w:r w:rsidR="00626403" w:rsidRPr="00104DDD">
        <w:t xml:space="preserve">that aggregate supply policies </w:t>
      </w:r>
      <w:r w:rsidR="00812E76">
        <w:t>increase</w:t>
      </w:r>
      <w:r w:rsidR="00812E76" w:rsidRPr="00104DDD">
        <w:t xml:space="preserve"> </w:t>
      </w:r>
      <w:r w:rsidR="00626403" w:rsidRPr="00104DDD">
        <w:t xml:space="preserve">the supply potential of the economy and permit higher rates of non-inflationary economic growth but made no reference to aggregate demand policies. </w:t>
      </w:r>
      <w:r w:rsidR="008E1AD4">
        <w:t>They si</w:t>
      </w:r>
      <w:r w:rsidR="00812E76">
        <w:t>mply stat</w:t>
      </w:r>
      <w:r w:rsidR="008E1AD4">
        <w:t>ed</w:t>
      </w:r>
      <w:r w:rsidR="00812E76">
        <w:t xml:space="preserve"> </w:t>
      </w:r>
      <w:r w:rsidR="00626403" w:rsidRPr="00104DDD">
        <w:t>that an increase in aggregate supply (from the implementation of aggregate supply policies) simu</w:t>
      </w:r>
      <w:r w:rsidRPr="00104DDD">
        <w:t>ltaneously</w:t>
      </w:r>
      <w:r w:rsidR="00626403" w:rsidRPr="00104DDD">
        <w:t xml:space="preserve"> increases output while ex</w:t>
      </w:r>
      <w:r w:rsidRPr="00104DDD">
        <w:t>e</w:t>
      </w:r>
      <w:r w:rsidR="00626403" w:rsidRPr="00104DDD">
        <w:t>rting downward pressure</w:t>
      </w:r>
      <w:r w:rsidR="00612096">
        <w:t xml:space="preserve"> on</w:t>
      </w:r>
      <w:r w:rsidR="00626403" w:rsidRPr="00104DDD">
        <w:t xml:space="preserve"> </w:t>
      </w:r>
      <w:r w:rsidRPr="00104DDD">
        <w:t xml:space="preserve">prices, and how lower prices act </w:t>
      </w:r>
      <w:r w:rsidR="00612096">
        <w:t xml:space="preserve">to </w:t>
      </w:r>
      <w:r w:rsidRPr="00104DDD">
        <w:t xml:space="preserve">stimulate aggregate demand for the increased output. </w:t>
      </w:r>
      <w:r w:rsidR="00812E76">
        <w:t>Whil</w:t>
      </w:r>
      <w:r w:rsidR="008E1AD4">
        <w:t>e</w:t>
      </w:r>
      <w:r w:rsidR="00812E76" w:rsidRPr="00104DDD">
        <w:t xml:space="preserve"> </w:t>
      </w:r>
      <w:r w:rsidRPr="00104DDD">
        <w:t xml:space="preserve">this is </w:t>
      </w:r>
      <w:r w:rsidR="00812E76">
        <w:t>correct</w:t>
      </w:r>
      <w:r w:rsidRPr="00104DDD">
        <w:t xml:space="preserve">, the absence of any discussion of the complementary role of aggregate demand policies meant that </w:t>
      </w:r>
      <w:r w:rsidR="00812E76">
        <w:t xml:space="preserve">these </w:t>
      </w:r>
      <w:r w:rsidRPr="00104DDD">
        <w:t>students could not access the full range of marks.</w:t>
      </w:r>
    </w:p>
    <w:p w14:paraId="16E7FC67" w14:textId="111A38E9" w:rsidR="005D58BE" w:rsidRPr="00104DDD" w:rsidRDefault="005D58BE" w:rsidP="00104DDD">
      <w:pPr>
        <w:pStyle w:val="VCAAbody"/>
      </w:pPr>
      <w:r w:rsidRPr="00104DDD">
        <w:t xml:space="preserve">While the use of </w:t>
      </w:r>
      <w:r w:rsidRPr="00785D3D">
        <w:t>AD/AS</w:t>
      </w:r>
      <w:r w:rsidRPr="00104DDD">
        <w:t xml:space="preserve"> diagrams is no longer </w:t>
      </w:r>
      <w:r w:rsidR="00812E76">
        <w:t xml:space="preserve">specified as key knowledge </w:t>
      </w:r>
      <w:r w:rsidRPr="00104DDD">
        <w:t xml:space="preserve">in the </w:t>
      </w:r>
      <w:r w:rsidR="00BA7603">
        <w:t>s</w:t>
      </w:r>
      <w:r w:rsidRPr="00104DDD">
        <w:t xml:space="preserve">tudy </w:t>
      </w:r>
      <w:r w:rsidR="00BA7603">
        <w:t>d</w:t>
      </w:r>
      <w:r w:rsidRPr="00104DDD">
        <w:t>esign</w:t>
      </w:r>
      <w:r w:rsidR="00612096">
        <w:t xml:space="preserve"> and</w:t>
      </w:r>
      <w:r w:rsidRPr="00104DDD">
        <w:t xml:space="preserve"> </w:t>
      </w:r>
      <w:r w:rsidR="00812E76">
        <w:t xml:space="preserve">this </w:t>
      </w:r>
      <w:r w:rsidRPr="00104DDD">
        <w:t>was not required for full marks</w:t>
      </w:r>
      <w:r w:rsidR="00B73BA7" w:rsidRPr="00104DDD">
        <w:t xml:space="preserve">, </w:t>
      </w:r>
      <w:proofErr w:type="gramStart"/>
      <w:r w:rsidR="00B73BA7" w:rsidRPr="00104DDD">
        <w:t>a number of</w:t>
      </w:r>
      <w:proofErr w:type="gramEnd"/>
      <w:r w:rsidR="00B73BA7" w:rsidRPr="00104DDD">
        <w:t xml:space="preserve"> students added value by including an AD/AS diagram to illustrate their response, shifting both the AD and AS curves to the right to illustrate the growth in real GDP (</w:t>
      </w:r>
      <w:r w:rsidR="00B73BA7" w:rsidRPr="00270206">
        <w:rPr>
          <w:rStyle w:val="VCAAitalics"/>
        </w:rPr>
        <w:t>x</w:t>
      </w:r>
      <w:r w:rsidR="00BA7603">
        <w:t>-</w:t>
      </w:r>
      <w:r w:rsidR="00B73BA7" w:rsidRPr="00104DDD">
        <w:t>axis) occurring alongside low growth in prices (</w:t>
      </w:r>
      <w:r w:rsidR="00B73BA7" w:rsidRPr="00270206">
        <w:rPr>
          <w:rStyle w:val="VCAAitalics"/>
        </w:rPr>
        <w:t>y</w:t>
      </w:r>
      <w:r w:rsidR="00B73BA7" w:rsidRPr="00104DDD">
        <w:t>-axis).</w:t>
      </w:r>
    </w:p>
    <w:p w14:paraId="1D4743F8" w14:textId="0AB6B51D" w:rsidR="001C5A00" w:rsidRDefault="00812E76" w:rsidP="001C5A00">
      <w:pPr>
        <w:pStyle w:val="VCAAbody"/>
      </w:pPr>
      <w:r>
        <w:t>Several</w:t>
      </w:r>
      <w:r w:rsidR="00B73BA7">
        <w:t xml:space="preserve"> </w:t>
      </w:r>
      <w:r w:rsidR="001C5A00">
        <w:t>students</w:t>
      </w:r>
      <w:r w:rsidR="005D58BE">
        <w:t xml:space="preserve"> erred by</w:t>
      </w:r>
      <w:r w:rsidR="001C5A00">
        <w:t xml:space="preserve"> adopt</w:t>
      </w:r>
      <w:r w:rsidR="005D58BE">
        <w:t>ing</w:t>
      </w:r>
      <w:r w:rsidR="001C5A00">
        <w:t xml:space="preserve"> a micro focus to this question, addressing the balance between demand and supply for a good when attempting to explain non-inflationary growth.</w:t>
      </w:r>
      <w:r w:rsidR="00156E24">
        <w:t xml:space="preserve"> Full marks could not be awarded for this approach.</w:t>
      </w:r>
    </w:p>
    <w:p w14:paraId="4FC616AF" w14:textId="77777777" w:rsidR="00B73BA7" w:rsidRPr="00104DDD" w:rsidRDefault="00B73BA7" w:rsidP="00104DDD">
      <w:pPr>
        <w:pStyle w:val="VCAAbody"/>
      </w:pPr>
      <w:r w:rsidRPr="00104DDD">
        <w:t xml:space="preserve">The following is an example of a high-scoring response. </w:t>
      </w:r>
    </w:p>
    <w:p w14:paraId="7C4D4972" w14:textId="0F85BBEA" w:rsidR="001C5A00" w:rsidRPr="00727C94" w:rsidRDefault="00E1317D" w:rsidP="00727C94">
      <w:pPr>
        <w:pStyle w:val="VCAAstudentresponse"/>
      </w:pPr>
      <w:r w:rsidRPr="00727C94">
        <w:t>Aggregate supply policies are government initiatives designed to improve supply side conditions and reduce business costs for firms, to ultimately enhance productive capacity and living standards over time. They complement AD policies, which work in the short term to stimulate AD and spending, by ultimately enhancing and increasing the maximum possible level of output/production that can be produced using all available resources (i.e.</w:t>
      </w:r>
      <w:r w:rsidR="005C3DD6">
        <w:t>,</w:t>
      </w:r>
      <w:r w:rsidRPr="00727C94">
        <w:t xml:space="preserve"> productive capacity). Training and education spending ultimately improves the quality of human </w:t>
      </w:r>
      <w:proofErr w:type="gramStart"/>
      <w:r w:rsidRPr="00727C94">
        <w:t>capital, and</w:t>
      </w:r>
      <w:proofErr w:type="gramEnd"/>
      <w:r w:rsidRPr="00727C94">
        <w:t xml:space="preserve"> increases labour productivity such that more output can be produced from each hour of labour worked. Thus, these AS policies work in the longer term, and enable AD policies to stimulate spending, whereby greater levels of AD can be matched with increases in output, without running into excessive demand inflationary pressures from capacity constraints or shortages, due to the </w:t>
      </w:r>
      <w:r w:rsidRPr="00727C94">
        <w:lastRenderedPageBreak/>
        <w:t>expanded productive capacity of the economy. Thus</w:t>
      </w:r>
      <w:r w:rsidR="005C3DD6">
        <w:t>,</w:t>
      </w:r>
      <w:r w:rsidRPr="00727C94">
        <w:t xml:space="preserve"> enabling non-inflationary economic growth over time to be achieved.</w:t>
      </w:r>
    </w:p>
    <w:p w14:paraId="6C9AB6A6" w14:textId="29DE9731" w:rsidR="005132E4" w:rsidRPr="003C0A2F" w:rsidRDefault="005132E4" w:rsidP="009914F6">
      <w:pPr>
        <w:pStyle w:val="VCAAHeading3"/>
      </w:pPr>
      <w:r w:rsidRPr="003C0A2F">
        <w:t xml:space="preserve">Question </w:t>
      </w:r>
      <w:r>
        <w:t>5b</w:t>
      </w:r>
      <w:r w:rsidRPr="003C0A2F">
        <w:t>.</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1008"/>
      </w:tblGrid>
      <w:tr w:rsidR="005132E4" w:rsidRPr="003C0A2F" w14:paraId="465E4AFC"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065DE27D" w14:textId="77777777" w:rsidR="005132E4" w:rsidRPr="003C0A2F" w:rsidRDefault="005132E4" w:rsidP="00AE7682">
            <w:pPr>
              <w:pStyle w:val="VCAAtablecondensedheading"/>
              <w:rPr>
                <w:lang w:val="en-AU"/>
              </w:rPr>
            </w:pPr>
            <w:r w:rsidRPr="003C0A2F">
              <w:rPr>
                <w:lang w:val="en-AU"/>
              </w:rPr>
              <w:t>Marks</w:t>
            </w:r>
          </w:p>
        </w:tc>
        <w:tc>
          <w:tcPr>
            <w:tcW w:w="576" w:type="dxa"/>
          </w:tcPr>
          <w:p w14:paraId="5AC68357" w14:textId="77777777" w:rsidR="005132E4" w:rsidRPr="003C0A2F" w:rsidRDefault="005132E4" w:rsidP="00AE7682">
            <w:pPr>
              <w:pStyle w:val="VCAAtablecondensedheading"/>
              <w:rPr>
                <w:lang w:val="en-AU"/>
              </w:rPr>
            </w:pPr>
            <w:r w:rsidRPr="003C0A2F">
              <w:rPr>
                <w:lang w:val="en-AU"/>
              </w:rPr>
              <w:t>0</w:t>
            </w:r>
          </w:p>
        </w:tc>
        <w:tc>
          <w:tcPr>
            <w:tcW w:w="576" w:type="dxa"/>
          </w:tcPr>
          <w:p w14:paraId="0CA987B6" w14:textId="77777777" w:rsidR="005132E4" w:rsidRPr="003C0A2F" w:rsidRDefault="005132E4" w:rsidP="00AE7682">
            <w:pPr>
              <w:pStyle w:val="VCAAtablecondensedheading"/>
              <w:rPr>
                <w:lang w:val="en-AU"/>
              </w:rPr>
            </w:pPr>
            <w:r w:rsidRPr="003C0A2F">
              <w:rPr>
                <w:lang w:val="en-AU"/>
              </w:rPr>
              <w:t>1</w:t>
            </w:r>
          </w:p>
        </w:tc>
        <w:tc>
          <w:tcPr>
            <w:tcW w:w="576" w:type="dxa"/>
          </w:tcPr>
          <w:p w14:paraId="5EC80232" w14:textId="77777777" w:rsidR="005132E4" w:rsidRPr="003C0A2F" w:rsidRDefault="005132E4" w:rsidP="00AE7682">
            <w:pPr>
              <w:pStyle w:val="VCAAtablecondensedheading"/>
              <w:rPr>
                <w:lang w:val="en-AU"/>
              </w:rPr>
            </w:pPr>
            <w:r w:rsidRPr="003C0A2F">
              <w:rPr>
                <w:lang w:val="en-AU"/>
              </w:rPr>
              <w:t>2</w:t>
            </w:r>
          </w:p>
        </w:tc>
        <w:tc>
          <w:tcPr>
            <w:tcW w:w="576" w:type="dxa"/>
          </w:tcPr>
          <w:p w14:paraId="3A091108" w14:textId="77777777" w:rsidR="005132E4" w:rsidRPr="003C0A2F" w:rsidRDefault="005132E4" w:rsidP="00AE7682">
            <w:pPr>
              <w:pStyle w:val="VCAAtablecondensedheading"/>
              <w:rPr>
                <w:lang w:val="en-AU"/>
              </w:rPr>
            </w:pPr>
            <w:r w:rsidRPr="003C0A2F">
              <w:rPr>
                <w:lang w:val="en-AU"/>
              </w:rPr>
              <w:t>3</w:t>
            </w:r>
          </w:p>
        </w:tc>
        <w:tc>
          <w:tcPr>
            <w:tcW w:w="576" w:type="dxa"/>
          </w:tcPr>
          <w:p w14:paraId="08DF23B8" w14:textId="77777777" w:rsidR="005132E4" w:rsidRPr="003C0A2F" w:rsidRDefault="005132E4" w:rsidP="00AE7682">
            <w:pPr>
              <w:pStyle w:val="VCAAtablecondensedheading"/>
              <w:rPr>
                <w:lang w:val="en-AU"/>
              </w:rPr>
            </w:pPr>
            <w:r w:rsidRPr="003C0A2F">
              <w:rPr>
                <w:lang w:val="en-AU"/>
              </w:rPr>
              <w:t>4</w:t>
            </w:r>
          </w:p>
        </w:tc>
        <w:tc>
          <w:tcPr>
            <w:tcW w:w="1008" w:type="dxa"/>
          </w:tcPr>
          <w:p w14:paraId="736A0C14" w14:textId="77777777" w:rsidR="005132E4" w:rsidRPr="003C0A2F" w:rsidRDefault="005132E4" w:rsidP="00AE7682">
            <w:pPr>
              <w:pStyle w:val="VCAAtablecondensedheading"/>
              <w:rPr>
                <w:lang w:val="en-AU"/>
              </w:rPr>
            </w:pPr>
            <w:r w:rsidRPr="003C0A2F">
              <w:rPr>
                <w:lang w:val="en-AU"/>
              </w:rPr>
              <w:t>Average</w:t>
            </w:r>
          </w:p>
        </w:tc>
      </w:tr>
      <w:tr w:rsidR="00FC7491" w:rsidRPr="003C0A2F" w14:paraId="7C81BC4A" w14:textId="77777777" w:rsidTr="0052782F">
        <w:tc>
          <w:tcPr>
            <w:tcW w:w="720" w:type="dxa"/>
          </w:tcPr>
          <w:p w14:paraId="2A6F78CB" w14:textId="77777777" w:rsidR="00FC7491" w:rsidRPr="003C0A2F" w:rsidRDefault="00FC7491" w:rsidP="00FC7491">
            <w:pPr>
              <w:pStyle w:val="VCAAtablecondensed"/>
              <w:rPr>
                <w:lang w:val="en-AU"/>
              </w:rPr>
            </w:pPr>
            <w:r w:rsidRPr="003C0A2F">
              <w:rPr>
                <w:lang w:val="en-AU"/>
              </w:rPr>
              <w:t>%</w:t>
            </w:r>
          </w:p>
        </w:tc>
        <w:tc>
          <w:tcPr>
            <w:tcW w:w="576" w:type="dxa"/>
          </w:tcPr>
          <w:p w14:paraId="1179D605" w14:textId="6C502EB9" w:rsidR="00FC7491" w:rsidRPr="003C0A2F" w:rsidRDefault="00FC7491" w:rsidP="00FC7491">
            <w:pPr>
              <w:pStyle w:val="VCAAtablecondensed"/>
              <w:rPr>
                <w:lang w:val="en-AU"/>
              </w:rPr>
            </w:pPr>
            <w:r w:rsidRPr="003A3BAD">
              <w:t>5</w:t>
            </w:r>
          </w:p>
        </w:tc>
        <w:tc>
          <w:tcPr>
            <w:tcW w:w="576" w:type="dxa"/>
          </w:tcPr>
          <w:p w14:paraId="0A14423B" w14:textId="5B1D5961" w:rsidR="00FC7491" w:rsidRPr="003C0A2F" w:rsidRDefault="00FC7491" w:rsidP="00FC7491">
            <w:pPr>
              <w:pStyle w:val="VCAAtablecondensed"/>
              <w:rPr>
                <w:lang w:val="en-AU"/>
              </w:rPr>
            </w:pPr>
            <w:r w:rsidRPr="003A3BAD">
              <w:t>1</w:t>
            </w:r>
            <w:r w:rsidR="003C5FD2">
              <w:t>7</w:t>
            </w:r>
          </w:p>
        </w:tc>
        <w:tc>
          <w:tcPr>
            <w:tcW w:w="576" w:type="dxa"/>
          </w:tcPr>
          <w:p w14:paraId="463D7EB1" w14:textId="0FFAC6EB" w:rsidR="00FC7491" w:rsidRPr="003C0A2F" w:rsidRDefault="00FC7491" w:rsidP="00FC7491">
            <w:pPr>
              <w:pStyle w:val="VCAAtablecondensed"/>
              <w:rPr>
                <w:lang w:val="en-AU"/>
              </w:rPr>
            </w:pPr>
            <w:r w:rsidRPr="003A3BAD">
              <w:t>2</w:t>
            </w:r>
            <w:r w:rsidR="003C5FD2">
              <w:t>7</w:t>
            </w:r>
          </w:p>
        </w:tc>
        <w:tc>
          <w:tcPr>
            <w:tcW w:w="576" w:type="dxa"/>
          </w:tcPr>
          <w:p w14:paraId="40321B0D" w14:textId="22ADCF55" w:rsidR="00FC7491" w:rsidRPr="003C0A2F" w:rsidRDefault="00FC7491" w:rsidP="00FC7491">
            <w:pPr>
              <w:pStyle w:val="VCAAtablecondensed"/>
              <w:rPr>
                <w:lang w:val="en-AU"/>
              </w:rPr>
            </w:pPr>
            <w:r w:rsidRPr="003A3BAD">
              <w:t>28</w:t>
            </w:r>
          </w:p>
        </w:tc>
        <w:tc>
          <w:tcPr>
            <w:tcW w:w="576" w:type="dxa"/>
          </w:tcPr>
          <w:p w14:paraId="5D4497E4" w14:textId="00F7BEEF" w:rsidR="00FC7491" w:rsidRPr="003C0A2F" w:rsidRDefault="00FC7491" w:rsidP="00FC7491">
            <w:pPr>
              <w:pStyle w:val="VCAAtablecondensed"/>
              <w:rPr>
                <w:lang w:val="en-AU"/>
              </w:rPr>
            </w:pPr>
            <w:r w:rsidRPr="003A3BAD">
              <w:t>2</w:t>
            </w:r>
            <w:r w:rsidR="003C5FD2">
              <w:t>3</w:t>
            </w:r>
          </w:p>
        </w:tc>
        <w:tc>
          <w:tcPr>
            <w:tcW w:w="1008" w:type="dxa"/>
          </w:tcPr>
          <w:p w14:paraId="2B83DB53" w14:textId="7FD9F848" w:rsidR="00FC7491" w:rsidRPr="003C0A2F" w:rsidRDefault="00FC7491" w:rsidP="00FC7491">
            <w:pPr>
              <w:pStyle w:val="VCAAtablecondensed"/>
              <w:rPr>
                <w:lang w:val="en-AU"/>
              </w:rPr>
            </w:pPr>
            <w:r w:rsidRPr="003A3BAD">
              <w:t>2.5</w:t>
            </w:r>
          </w:p>
        </w:tc>
      </w:tr>
    </w:tbl>
    <w:p w14:paraId="1A8E8BDA" w14:textId="2C44D015" w:rsidR="004648D4" w:rsidRPr="00104DDD" w:rsidRDefault="004648D4" w:rsidP="00104DDD">
      <w:pPr>
        <w:pStyle w:val="VCAAbody"/>
      </w:pPr>
      <w:r w:rsidRPr="00104DDD">
        <w:t xml:space="preserve">To achieve full marks, students </w:t>
      </w:r>
      <w:r w:rsidR="00812E76">
        <w:t>were required</w:t>
      </w:r>
      <w:r w:rsidR="00812E76" w:rsidRPr="00104DDD">
        <w:t xml:space="preserve"> </w:t>
      </w:r>
      <w:r w:rsidRPr="00104DDD">
        <w:t xml:space="preserve">to demonstrate an understanding of skilled immigration, productivity and international competitiveness </w:t>
      </w:r>
      <w:r w:rsidR="00812E76">
        <w:t>whil</w:t>
      </w:r>
      <w:r w:rsidR="002C7461">
        <w:t>e</w:t>
      </w:r>
      <w:r w:rsidR="00812E76">
        <w:t xml:space="preserve"> establishing</w:t>
      </w:r>
      <w:r w:rsidRPr="00104DDD">
        <w:t xml:space="preserve"> a link between skilled immigration (e.g. reference to improved quality of human capital/labour) and productivity (e.g. reference to output/inputs).</w:t>
      </w:r>
      <w:r w:rsidR="00F87ED6">
        <w:t xml:space="preserve"> </w:t>
      </w:r>
      <w:r w:rsidRPr="00104DDD">
        <w:t xml:space="preserve">They </w:t>
      </w:r>
      <w:r w:rsidR="00812E76">
        <w:t>also</w:t>
      </w:r>
      <w:r w:rsidR="00812E76" w:rsidRPr="00104DDD">
        <w:t xml:space="preserve"> </w:t>
      </w:r>
      <w:r w:rsidRPr="00104DDD">
        <w:t>need</w:t>
      </w:r>
      <w:r w:rsidR="00612096">
        <w:t>ed</w:t>
      </w:r>
      <w:r w:rsidRPr="00104DDD">
        <w:t xml:space="preserve"> to explain the link between productivity and international competitiveness.</w:t>
      </w:r>
    </w:p>
    <w:p w14:paraId="5E381A43" w14:textId="6C1A2F52" w:rsidR="00B40A0A" w:rsidRPr="00104DDD" w:rsidRDefault="004648D4" w:rsidP="00B40A0A">
      <w:pPr>
        <w:pStyle w:val="VCAAbody"/>
      </w:pPr>
      <w:r w:rsidRPr="00104DDD">
        <w:t>Many students were able to link increased skilled migration to an increase in the quantity of human capital (or labour supply) and then explain how this reduces pressure on wages and costs of production, before going on to link this to lower prices and an increase in international competitiveness.</w:t>
      </w:r>
      <w:r w:rsidR="00F87ED6">
        <w:t xml:space="preserve"> </w:t>
      </w:r>
      <w:r w:rsidRPr="00104DDD">
        <w:t>While this is indeed an avenue by which an increase in migration helps to boost international competitiveness, it ma</w:t>
      </w:r>
      <w:r w:rsidR="00812E76">
        <w:t>de</w:t>
      </w:r>
      <w:r w:rsidRPr="00104DDD">
        <w:t xml:space="preserve"> no reference to the important role played by productivity in the context of ‘skilled’ immigration.</w:t>
      </w:r>
      <w:r w:rsidR="00F87ED6">
        <w:t xml:space="preserve"> </w:t>
      </w:r>
      <w:r w:rsidR="00B40A0A" w:rsidRPr="00104DDD">
        <w:t>Many students provid</w:t>
      </w:r>
      <w:r w:rsidR="00B40A0A">
        <w:t>ed</w:t>
      </w:r>
      <w:r w:rsidR="00B40A0A" w:rsidRPr="00104DDD">
        <w:t xml:space="preserve"> insufficient detail and ma</w:t>
      </w:r>
      <w:r w:rsidR="00B40A0A">
        <w:t>de</w:t>
      </w:r>
      <w:r w:rsidR="00B40A0A" w:rsidRPr="00104DDD">
        <w:t xml:space="preserve"> broad references to skilled migration lifting labour productivity and boosting international competitiveness via a reduction in prices or an increase in the quality of goods and services produced in Australia.</w:t>
      </w:r>
      <w:r w:rsidR="00B40A0A" w:rsidRPr="00B40A0A">
        <w:t xml:space="preserve"> </w:t>
      </w:r>
      <w:r w:rsidR="00B40A0A" w:rsidRPr="00104DDD">
        <w:t>To achieve full marks, students needed to establish clear and meaningful links between the key terms in the question.</w:t>
      </w:r>
    </w:p>
    <w:p w14:paraId="7481BEDD" w14:textId="77777777" w:rsidR="004648D4" w:rsidRPr="00104DDD" w:rsidRDefault="004648D4" w:rsidP="00104DDD">
      <w:pPr>
        <w:pStyle w:val="VCAAbody"/>
      </w:pPr>
      <w:r w:rsidRPr="00104DDD">
        <w:t xml:space="preserve">The following is an example of a high-scoring response. </w:t>
      </w:r>
    </w:p>
    <w:p w14:paraId="31BE43E3" w14:textId="6ECAB212" w:rsidR="00B73BA7" w:rsidRPr="00727C94" w:rsidRDefault="00C37361" w:rsidP="00727C94">
      <w:pPr>
        <w:pStyle w:val="VCAAstudentresponse"/>
      </w:pPr>
      <w:r w:rsidRPr="00727C94">
        <w:t>An increase in skilled migration means that the inflow of skilled foreign workers into Australia has increased. Their entry is primarily based on their ability to fill a gap in the economy which is created by a skills shortage, their selection and allowance into Australia would have been based on their exceptional skills and knowledge. To the extent that their performed role would otherwise be left unfilled, or by someone with an inferior work skill set, their increased entry boosts the quality of human capital and increases labour productivity, increasing output produced per hour of labour worked. This boosts the overall productivity of the economy, while reducing the costs per unit of output, which thus increases the ability for firms to offer their products at lower prices. This increases the ability of Australia’s tradables sector to compete/match with foreign firms producing the same goods/services, in terms of lower or the same prices, and the same/higher quality, boosting international competitiveness.</w:t>
      </w:r>
    </w:p>
    <w:p w14:paraId="16B65A45" w14:textId="4E816C51" w:rsidR="005132E4" w:rsidRPr="003C0A2F" w:rsidRDefault="005132E4" w:rsidP="009914F6">
      <w:pPr>
        <w:pStyle w:val="VCAAHeading3"/>
      </w:pPr>
      <w:r w:rsidRPr="003C0A2F">
        <w:t xml:space="preserve">Question </w:t>
      </w:r>
      <w:r>
        <w:t>5</w:t>
      </w:r>
      <w:r w:rsidRPr="003C0A2F">
        <w:t>c.</w:t>
      </w:r>
    </w:p>
    <w:tbl>
      <w:tblPr>
        <w:tblStyle w:val="VCAATableClosed"/>
        <w:tblW w:w="0" w:type="auto"/>
        <w:tblInd w:w="142" w:type="dxa"/>
        <w:tblLayout w:type="fixed"/>
        <w:tblLook w:val="04A0" w:firstRow="1" w:lastRow="0" w:firstColumn="1" w:lastColumn="0" w:noHBand="0" w:noVBand="1"/>
      </w:tblPr>
      <w:tblGrid>
        <w:gridCol w:w="720"/>
        <w:gridCol w:w="576"/>
        <w:gridCol w:w="576"/>
        <w:gridCol w:w="576"/>
        <w:gridCol w:w="576"/>
        <w:gridCol w:w="576"/>
        <w:gridCol w:w="648"/>
        <w:gridCol w:w="1134"/>
      </w:tblGrid>
      <w:tr w:rsidR="005132E4" w:rsidRPr="003C0A2F" w14:paraId="059C4149" w14:textId="77777777" w:rsidTr="0052782F">
        <w:trPr>
          <w:cnfStyle w:val="100000000000" w:firstRow="1" w:lastRow="0" w:firstColumn="0" w:lastColumn="0" w:oddVBand="0" w:evenVBand="0" w:oddHBand="0" w:evenHBand="0" w:firstRowFirstColumn="0" w:firstRowLastColumn="0" w:lastRowFirstColumn="0" w:lastRowLastColumn="0"/>
        </w:trPr>
        <w:tc>
          <w:tcPr>
            <w:tcW w:w="720" w:type="dxa"/>
          </w:tcPr>
          <w:p w14:paraId="6CB1C229" w14:textId="77777777" w:rsidR="005132E4" w:rsidRPr="003C0A2F" w:rsidRDefault="005132E4" w:rsidP="00AE7682">
            <w:pPr>
              <w:pStyle w:val="VCAAtablecondensedheading"/>
              <w:rPr>
                <w:lang w:val="en-AU"/>
              </w:rPr>
            </w:pPr>
            <w:r w:rsidRPr="003C0A2F">
              <w:rPr>
                <w:lang w:val="en-AU"/>
              </w:rPr>
              <w:t>Marks</w:t>
            </w:r>
          </w:p>
        </w:tc>
        <w:tc>
          <w:tcPr>
            <w:tcW w:w="576" w:type="dxa"/>
          </w:tcPr>
          <w:p w14:paraId="7A728877" w14:textId="77777777" w:rsidR="005132E4" w:rsidRPr="003C0A2F" w:rsidRDefault="005132E4" w:rsidP="00AE7682">
            <w:pPr>
              <w:pStyle w:val="VCAAtablecondensedheading"/>
              <w:rPr>
                <w:lang w:val="en-AU"/>
              </w:rPr>
            </w:pPr>
            <w:r w:rsidRPr="003C0A2F">
              <w:rPr>
                <w:lang w:val="en-AU"/>
              </w:rPr>
              <w:t>0</w:t>
            </w:r>
          </w:p>
        </w:tc>
        <w:tc>
          <w:tcPr>
            <w:tcW w:w="576" w:type="dxa"/>
          </w:tcPr>
          <w:p w14:paraId="16EA3AE3" w14:textId="77777777" w:rsidR="005132E4" w:rsidRPr="003C0A2F" w:rsidRDefault="005132E4" w:rsidP="00AE7682">
            <w:pPr>
              <w:pStyle w:val="VCAAtablecondensedheading"/>
              <w:rPr>
                <w:lang w:val="en-AU"/>
              </w:rPr>
            </w:pPr>
            <w:r w:rsidRPr="003C0A2F">
              <w:rPr>
                <w:lang w:val="en-AU"/>
              </w:rPr>
              <w:t>1</w:t>
            </w:r>
          </w:p>
        </w:tc>
        <w:tc>
          <w:tcPr>
            <w:tcW w:w="576" w:type="dxa"/>
          </w:tcPr>
          <w:p w14:paraId="32E1E178" w14:textId="77777777" w:rsidR="005132E4" w:rsidRPr="003C0A2F" w:rsidRDefault="005132E4" w:rsidP="00AE7682">
            <w:pPr>
              <w:pStyle w:val="VCAAtablecondensedheading"/>
              <w:rPr>
                <w:lang w:val="en-AU"/>
              </w:rPr>
            </w:pPr>
            <w:r w:rsidRPr="003C0A2F">
              <w:rPr>
                <w:lang w:val="en-AU"/>
              </w:rPr>
              <w:t>2</w:t>
            </w:r>
          </w:p>
        </w:tc>
        <w:tc>
          <w:tcPr>
            <w:tcW w:w="576" w:type="dxa"/>
          </w:tcPr>
          <w:p w14:paraId="1E938B9E" w14:textId="77777777" w:rsidR="005132E4" w:rsidRPr="003C0A2F" w:rsidRDefault="005132E4" w:rsidP="00AE7682">
            <w:pPr>
              <w:pStyle w:val="VCAAtablecondensedheading"/>
              <w:rPr>
                <w:lang w:val="en-AU"/>
              </w:rPr>
            </w:pPr>
            <w:r w:rsidRPr="003C0A2F">
              <w:rPr>
                <w:lang w:val="en-AU"/>
              </w:rPr>
              <w:t>3</w:t>
            </w:r>
          </w:p>
        </w:tc>
        <w:tc>
          <w:tcPr>
            <w:tcW w:w="576" w:type="dxa"/>
          </w:tcPr>
          <w:p w14:paraId="1D5FE9C4" w14:textId="77777777" w:rsidR="005132E4" w:rsidRPr="003C0A2F" w:rsidRDefault="005132E4" w:rsidP="00AE7682">
            <w:pPr>
              <w:pStyle w:val="VCAAtablecondensedheading"/>
              <w:rPr>
                <w:lang w:val="en-AU"/>
              </w:rPr>
            </w:pPr>
            <w:r w:rsidRPr="003C0A2F">
              <w:rPr>
                <w:lang w:val="en-AU"/>
              </w:rPr>
              <w:t>4</w:t>
            </w:r>
          </w:p>
        </w:tc>
        <w:tc>
          <w:tcPr>
            <w:tcW w:w="648" w:type="dxa"/>
          </w:tcPr>
          <w:p w14:paraId="0397D4FB" w14:textId="77777777" w:rsidR="005132E4" w:rsidRPr="002023D9" w:rsidRDefault="005132E4" w:rsidP="002023D9">
            <w:pPr>
              <w:pStyle w:val="VCAAtablecondensedheading"/>
            </w:pPr>
            <w:r w:rsidRPr="002023D9">
              <w:t>5</w:t>
            </w:r>
          </w:p>
        </w:tc>
        <w:tc>
          <w:tcPr>
            <w:tcW w:w="1134" w:type="dxa"/>
          </w:tcPr>
          <w:p w14:paraId="08ECF5BE" w14:textId="77777777" w:rsidR="005132E4" w:rsidRPr="002023D9" w:rsidRDefault="005132E4" w:rsidP="002023D9">
            <w:pPr>
              <w:pStyle w:val="VCAAtablecondensedheading"/>
            </w:pPr>
            <w:r w:rsidRPr="002023D9">
              <w:t>Average</w:t>
            </w:r>
          </w:p>
        </w:tc>
      </w:tr>
      <w:tr w:rsidR="00FC7491" w:rsidRPr="003C0A2F" w14:paraId="59D63DF5" w14:textId="77777777" w:rsidTr="0052782F">
        <w:tc>
          <w:tcPr>
            <w:tcW w:w="720" w:type="dxa"/>
          </w:tcPr>
          <w:p w14:paraId="56813707" w14:textId="77777777" w:rsidR="00FC7491" w:rsidRPr="003C0A2F" w:rsidRDefault="00FC7491" w:rsidP="00FC7491">
            <w:pPr>
              <w:pStyle w:val="VCAAtablecondensed"/>
              <w:rPr>
                <w:lang w:val="en-AU"/>
              </w:rPr>
            </w:pPr>
            <w:r w:rsidRPr="003C0A2F">
              <w:rPr>
                <w:lang w:val="en-AU"/>
              </w:rPr>
              <w:t>%</w:t>
            </w:r>
          </w:p>
        </w:tc>
        <w:tc>
          <w:tcPr>
            <w:tcW w:w="576" w:type="dxa"/>
          </w:tcPr>
          <w:p w14:paraId="3628F983" w14:textId="15E89AF2" w:rsidR="00FC7491" w:rsidRPr="003C0A2F" w:rsidRDefault="00FC7491" w:rsidP="00FC7491">
            <w:pPr>
              <w:pStyle w:val="VCAAtablecondensed"/>
              <w:rPr>
                <w:lang w:val="en-AU"/>
              </w:rPr>
            </w:pPr>
            <w:r w:rsidRPr="00F41485">
              <w:t>1</w:t>
            </w:r>
            <w:r w:rsidR="003C5FD2">
              <w:t>1</w:t>
            </w:r>
          </w:p>
        </w:tc>
        <w:tc>
          <w:tcPr>
            <w:tcW w:w="576" w:type="dxa"/>
          </w:tcPr>
          <w:p w14:paraId="5CF8D4A1" w14:textId="178CE6B2" w:rsidR="00FC7491" w:rsidRPr="003C0A2F" w:rsidRDefault="00FC7491" w:rsidP="00FC7491">
            <w:pPr>
              <w:pStyle w:val="VCAAtablecondensed"/>
              <w:rPr>
                <w:lang w:val="en-AU"/>
              </w:rPr>
            </w:pPr>
            <w:r w:rsidRPr="00F41485">
              <w:t>7</w:t>
            </w:r>
          </w:p>
        </w:tc>
        <w:tc>
          <w:tcPr>
            <w:tcW w:w="576" w:type="dxa"/>
          </w:tcPr>
          <w:p w14:paraId="51020D9D" w14:textId="137AF7A9" w:rsidR="00FC7491" w:rsidRPr="003C0A2F" w:rsidRDefault="00FC7491" w:rsidP="00FC7491">
            <w:pPr>
              <w:pStyle w:val="VCAAtablecondensed"/>
              <w:rPr>
                <w:lang w:val="en-AU"/>
              </w:rPr>
            </w:pPr>
            <w:r w:rsidRPr="00F41485">
              <w:t>19</w:t>
            </w:r>
          </w:p>
        </w:tc>
        <w:tc>
          <w:tcPr>
            <w:tcW w:w="576" w:type="dxa"/>
          </w:tcPr>
          <w:p w14:paraId="56D113CE" w14:textId="6F7BBC53" w:rsidR="00FC7491" w:rsidRPr="003C0A2F" w:rsidRDefault="00FC7491" w:rsidP="00FC7491">
            <w:pPr>
              <w:pStyle w:val="VCAAtablecondensed"/>
              <w:rPr>
                <w:lang w:val="en-AU"/>
              </w:rPr>
            </w:pPr>
            <w:r w:rsidRPr="00F41485">
              <w:t>2</w:t>
            </w:r>
            <w:r w:rsidR="003C5FD2">
              <w:t>7</w:t>
            </w:r>
          </w:p>
        </w:tc>
        <w:tc>
          <w:tcPr>
            <w:tcW w:w="576" w:type="dxa"/>
          </w:tcPr>
          <w:p w14:paraId="2DF1A286" w14:textId="78F4A340" w:rsidR="00FC7491" w:rsidRPr="003C0A2F" w:rsidRDefault="00FC7491" w:rsidP="00FC7491">
            <w:pPr>
              <w:pStyle w:val="VCAAtablecondensed"/>
              <w:rPr>
                <w:lang w:val="en-AU"/>
              </w:rPr>
            </w:pPr>
            <w:r w:rsidRPr="00F41485">
              <w:t>2</w:t>
            </w:r>
            <w:r w:rsidR="003C5FD2">
              <w:t>2</w:t>
            </w:r>
          </w:p>
        </w:tc>
        <w:tc>
          <w:tcPr>
            <w:tcW w:w="648" w:type="dxa"/>
          </w:tcPr>
          <w:p w14:paraId="29F4BC9B" w14:textId="5C27CC0E" w:rsidR="00FC7491" w:rsidRPr="003C0A2F" w:rsidRDefault="00FC7491" w:rsidP="00FC7491">
            <w:pPr>
              <w:pStyle w:val="VCAAtablecondensed"/>
              <w:rPr>
                <w:lang w:val="en-AU"/>
              </w:rPr>
            </w:pPr>
            <w:r w:rsidRPr="00F41485">
              <w:t>14</w:t>
            </w:r>
          </w:p>
        </w:tc>
        <w:tc>
          <w:tcPr>
            <w:tcW w:w="1134" w:type="dxa"/>
          </w:tcPr>
          <w:p w14:paraId="358F69AF" w14:textId="2FEB9611" w:rsidR="00FC7491" w:rsidRPr="003C0A2F" w:rsidRDefault="00FC7491" w:rsidP="00FC7491">
            <w:pPr>
              <w:pStyle w:val="VCAAtablecondensed"/>
              <w:rPr>
                <w:lang w:val="en-AU"/>
              </w:rPr>
            </w:pPr>
            <w:r w:rsidRPr="00F41485">
              <w:t>2.</w:t>
            </w:r>
            <w:r w:rsidR="0085496D">
              <w:t>9</w:t>
            </w:r>
          </w:p>
        </w:tc>
      </w:tr>
    </w:tbl>
    <w:p w14:paraId="1059D46B" w14:textId="1734AD55" w:rsidR="00156E24" w:rsidRDefault="00156E24" w:rsidP="00156E24">
      <w:pPr>
        <w:pStyle w:val="VCAAbody"/>
      </w:pPr>
      <w:r w:rsidRPr="00156E24">
        <w:t xml:space="preserve">To achieve full marks, students </w:t>
      </w:r>
      <w:r w:rsidR="00E5071D">
        <w:t>were required</w:t>
      </w:r>
      <w:r w:rsidR="00E5071D" w:rsidRPr="00156E24">
        <w:t xml:space="preserve"> </w:t>
      </w:r>
      <w:r w:rsidRPr="00156E24">
        <w:t>to descr</w:t>
      </w:r>
      <w:r>
        <w:t>ibe</w:t>
      </w:r>
      <w:r w:rsidRPr="00156E24">
        <w:t xml:space="preserve"> </w:t>
      </w:r>
      <w:r w:rsidR="00E5071D">
        <w:t>one</w:t>
      </w:r>
      <w:r w:rsidR="00E5071D" w:rsidRPr="00156E24">
        <w:t xml:space="preserve"> </w:t>
      </w:r>
      <w:r w:rsidRPr="00156E24">
        <w:t>relevant market-based environmental policy</w:t>
      </w:r>
      <w:r>
        <w:t xml:space="preserve"> before linking </w:t>
      </w:r>
      <w:r w:rsidR="00E5071D">
        <w:t>this</w:t>
      </w:r>
      <w:r w:rsidR="00E5071D" w:rsidRPr="00156E24">
        <w:t xml:space="preserve"> </w:t>
      </w:r>
      <w:r w:rsidRPr="00156E24">
        <w:t>policy to an improvement in intertemporal efficiency (referring to how resources are reallocated in the economy)</w:t>
      </w:r>
      <w:r>
        <w:t xml:space="preserve"> and </w:t>
      </w:r>
      <w:r w:rsidRPr="00156E24">
        <w:t xml:space="preserve">material </w:t>
      </w:r>
      <w:r>
        <w:t>and/</w:t>
      </w:r>
      <w:r w:rsidRPr="00156E24">
        <w:t>or non-material living standards</w:t>
      </w:r>
      <w:r>
        <w:t xml:space="preserve">. </w:t>
      </w:r>
      <w:r w:rsidR="00E5071D">
        <w:t>Regarding</w:t>
      </w:r>
      <w:r>
        <w:t xml:space="preserve"> the impact on living standards, whil</w:t>
      </w:r>
      <w:r w:rsidR="002C7461">
        <w:t>e</w:t>
      </w:r>
      <w:r>
        <w:t xml:space="preserve"> </w:t>
      </w:r>
      <w:r w:rsidR="002C7461">
        <w:t xml:space="preserve">the </w:t>
      </w:r>
      <w:r w:rsidR="00E87D0E">
        <w:t xml:space="preserve">highest-scoring </w:t>
      </w:r>
      <w:r>
        <w:t xml:space="preserve">responses focused on both the short run impact (e.g. negative) and the long run impact (e.g. positive), full marks were attainable </w:t>
      </w:r>
      <w:r w:rsidR="00E5071D">
        <w:t xml:space="preserve">with </w:t>
      </w:r>
      <w:r>
        <w:t xml:space="preserve">a focus on either </w:t>
      </w:r>
      <w:r w:rsidR="00E87D0E">
        <w:t xml:space="preserve">the </w:t>
      </w:r>
      <w:r>
        <w:t>short run or long run impact.</w:t>
      </w:r>
    </w:p>
    <w:p w14:paraId="5E802CDC" w14:textId="068A0F3E" w:rsidR="00156E24" w:rsidRPr="00104DDD" w:rsidRDefault="00E87D0E" w:rsidP="00104DDD">
      <w:pPr>
        <w:pStyle w:val="VCAAbody"/>
      </w:pPr>
      <w:r>
        <w:t>S</w:t>
      </w:r>
      <w:r w:rsidR="00156E24" w:rsidRPr="00104DDD">
        <w:t xml:space="preserve">tudents </w:t>
      </w:r>
      <w:r>
        <w:t xml:space="preserve">were expected to </w:t>
      </w:r>
      <w:r w:rsidR="00156E24" w:rsidRPr="00104DDD">
        <w:t xml:space="preserve">refer to </w:t>
      </w:r>
      <w:r w:rsidR="00E5071D">
        <w:t xml:space="preserve">one </w:t>
      </w:r>
      <w:r w:rsidR="002C7461">
        <w:t xml:space="preserve">of </w:t>
      </w:r>
      <w:r w:rsidR="00156E24" w:rsidRPr="00104DDD">
        <w:t xml:space="preserve">the following </w:t>
      </w:r>
      <w:r w:rsidR="00E5071D">
        <w:t>policy examples</w:t>
      </w:r>
      <w:r w:rsidR="00156E24" w:rsidRPr="00104DDD">
        <w:t>:</w:t>
      </w:r>
    </w:p>
    <w:p w14:paraId="5A43E21F" w14:textId="4CFFF1E9" w:rsidR="00156E24" w:rsidRPr="00104DDD" w:rsidRDefault="00E87D0E" w:rsidP="00D75026">
      <w:pPr>
        <w:pStyle w:val="VCAAbullet"/>
      </w:pPr>
      <w:r>
        <w:t>e</w:t>
      </w:r>
      <w:r w:rsidR="00156E24" w:rsidRPr="00104DDD">
        <w:t>missions trading scheme</w:t>
      </w:r>
    </w:p>
    <w:p w14:paraId="7946A769" w14:textId="70082391" w:rsidR="00156E24" w:rsidRPr="00104DDD" w:rsidRDefault="00E87D0E" w:rsidP="00D75026">
      <w:pPr>
        <w:pStyle w:val="VCAAbullet"/>
      </w:pPr>
      <w:r>
        <w:t>r</w:t>
      </w:r>
      <w:r w:rsidR="00156E24" w:rsidRPr="00104DDD">
        <w:t xml:space="preserve">enewable </w:t>
      </w:r>
      <w:r>
        <w:t>e</w:t>
      </w:r>
      <w:r w:rsidR="00156E24" w:rsidRPr="00104DDD">
        <w:t xml:space="preserve">nergy </w:t>
      </w:r>
      <w:r>
        <w:t>c</w:t>
      </w:r>
      <w:r w:rsidR="00156E24" w:rsidRPr="00104DDD">
        <w:t>redits (RECs)</w:t>
      </w:r>
    </w:p>
    <w:p w14:paraId="2691536B" w14:textId="03496D50" w:rsidR="00156E24" w:rsidRPr="00104DDD" w:rsidRDefault="00E87D0E" w:rsidP="00D75026">
      <w:pPr>
        <w:pStyle w:val="VCAAbullet"/>
      </w:pPr>
      <w:r>
        <w:t>c</w:t>
      </w:r>
      <w:r w:rsidR="00156E24" w:rsidRPr="00104DDD">
        <w:t>arbon taxes</w:t>
      </w:r>
    </w:p>
    <w:p w14:paraId="3039F57B" w14:textId="38AF97F3" w:rsidR="00156E24" w:rsidRPr="00104DDD" w:rsidRDefault="00E87D0E" w:rsidP="00D75026">
      <w:pPr>
        <w:pStyle w:val="VCAAbullet"/>
      </w:pPr>
      <w:r>
        <w:lastRenderedPageBreak/>
        <w:t>c</w:t>
      </w:r>
      <w:r w:rsidR="00156E24" w:rsidRPr="00104DDD">
        <w:t xml:space="preserve">arbon </w:t>
      </w:r>
      <w:r>
        <w:t>o</w:t>
      </w:r>
      <w:r w:rsidR="00156E24" w:rsidRPr="00104DDD">
        <w:t>ffsets</w:t>
      </w:r>
    </w:p>
    <w:p w14:paraId="3A8B3FB5" w14:textId="16739596" w:rsidR="00156E24" w:rsidRPr="00104DDD" w:rsidRDefault="00E87D0E" w:rsidP="00D75026">
      <w:pPr>
        <w:pStyle w:val="VCAAbullet"/>
      </w:pPr>
      <w:r>
        <w:t>s</w:t>
      </w:r>
      <w:r w:rsidR="00156E24" w:rsidRPr="00104DDD">
        <w:t>ubsidisation of renewable energy s</w:t>
      </w:r>
      <w:r>
        <w:t>ources</w:t>
      </w:r>
    </w:p>
    <w:p w14:paraId="0B17DC4C" w14:textId="6B3E582F" w:rsidR="00156E24" w:rsidRPr="00104DDD" w:rsidRDefault="00E87D0E" w:rsidP="00D75026">
      <w:pPr>
        <w:pStyle w:val="VCAAbullet"/>
      </w:pPr>
      <w:r>
        <w:t>t</w:t>
      </w:r>
      <w:r w:rsidR="00156E24" w:rsidRPr="00104DDD">
        <w:t>ax concessions for the purchase of electric vehicles</w:t>
      </w:r>
    </w:p>
    <w:p w14:paraId="24F29BF9" w14:textId="235BD53F" w:rsidR="00156E24" w:rsidRPr="00104DDD" w:rsidRDefault="00E87D0E" w:rsidP="00D75026">
      <w:pPr>
        <w:pStyle w:val="VCAAbullet"/>
      </w:pPr>
      <w:r>
        <w:t>g</w:t>
      </w:r>
      <w:r w:rsidR="00156E24" w:rsidRPr="00104DDD">
        <w:t>eneral pollution/congestion charges</w:t>
      </w:r>
      <w:r w:rsidR="007453E2">
        <w:t>.</w:t>
      </w:r>
    </w:p>
    <w:p w14:paraId="42D06D1D" w14:textId="389F1284" w:rsidR="00156E24" w:rsidRPr="00104DDD" w:rsidRDefault="0052782F" w:rsidP="00104DDD">
      <w:pPr>
        <w:pStyle w:val="VCAAbody"/>
      </w:pPr>
      <w:r>
        <w:t>The h</w:t>
      </w:r>
      <w:r w:rsidR="00E87D0E">
        <w:t>ighest-scoring responses</w:t>
      </w:r>
      <w:r w:rsidR="00156E24" w:rsidRPr="00104DDD">
        <w:t xml:space="preserve"> made valid reference to the role played by relative prices in the reallocation of resources, </w:t>
      </w:r>
      <w:proofErr w:type="gramStart"/>
      <w:r w:rsidR="00E5071D">
        <w:t>and</w:t>
      </w:r>
      <w:r w:rsidR="00E5071D" w:rsidRPr="00104DDD">
        <w:t xml:space="preserve"> </w:t>
      </w:r>
      <w:r w:rsidR="00E87D0E">
        <w:t>also</w:t>
      </w:r>
      <w:proofErr w:type="gramEnd"/>
      <w:r w:rsidR="00E87D0E">
        <w:t xml:space="preserve"> </w:t>
      </w:r>
      <w:r w:rsidR="00156E24" w:rsidRPr="00104DDD">
        <w:t>ma</w:t>
      </w:r>
      <w:r w:rsidR="00E87D0E">
        <w:t>de</w:t>
      </w:r>
      <w:r w:rsidR="00156E24" w:rsidRPr="00104DDD">
        <w:t xml:space="preserve"> meaningful reference to both short </w:t>
      </w:r>
      <w:r w:rsidR="00E87D0E">
        <w:t xml:space="preserve">term </w:t>
      </w:r>
      <w:r w:rsidR="00156E24" w:rsidRPr="00104DDD">
        <w:t>and long</w:t>
      </w:r>
      <w:r w:rsidR="007453E2">
        <w:t>-</w:t>
      </w:r>
      <w:r w:rsidR="00E87D0E">
        <w:t>term</w:t>
      </w:r>
      <w:r w:rsidR="00156E24" w:rsidRPr="00104DDD">
        <w:t xml:space="preserve"> impact.</w:t>
      </w:r>
      <w:r w:rsidR="00F87ED6">
        <w:t xml:space="preserve"> </w:t>
      </w:r>
      <w:r w:rsidR="00156E24" w:rsidRPr="00104DDD">
        <w:t xml:space="preserve">For example, </w:t>
      </w:r>
      <w:r>
        <w:t>they pointed</w:t>
      </w:r>
      <w:r w:rsidR="00156E24" w:rsidRPr="00104DDD">
        <w:t xml:space="preserve"> to the higher relative price of dirtier forms of production (e.g. traditional means of electricity generation) causing short term pai</w:t>
      </w:r>
      <w:r w:rsidR="00E17D48">
        <w:t>n</w:t>
      </w:r>
      <w:r w:rsidR="00156E24" w:rsidRPr="00104DDD">
        <w:t xml:space="preserve"> for households and businesses (e.g. via higher energy prices), </w:t>
      </w:r>
      <w:r w:rsidR="00E17D48">
        <w:t xml:space="preserve">then </w:t>
      </w:r>
      <w:r w:rsidR="00156E24" w:rsidRPr="00104DDD">
        <w:t>explain</w:t>
      </w:r>
      <w:r>
        <w:t>ed</w:t>
      </w:r>
      <w:r w:rsidR="00156E24" w:rsidRPr="00104DDD">
        <w:t xml:space="preserve"> that the lower relative price of cleaner forms of production attracted resources into its production</w:t>
      </w:r>
      <w:r w:rsidR="004C0993" w:rsidRPr="00104DDD">
        <w:t>.</w:t>
      </w:r>
      <w:r w:rsidR="00F87ED6">
        <w:t xml:space="preserve"> </w:t>
      </w:r>
      <w:r w:rsidR="004C0993" w:rsidRPr="00104DDD">
        <w:t xml:space="preserve">They </w:t>
      </w:r>
      <w:r w:rsidR="00E5071D">
        <w:t>explained</w:t>
      </w:r>
      <w:r w:rsidR="004C0993" w:rsidRPr="00104DDD">
        <w:t xml:space="preserve"> how this</w:t>
      </w:r>
      <w:r w:rsidR="00156E24" w:rsidRPr="00104DDD">
        <w:t xml:space="preserve"> resulted in </w:t>
      </w:r>
      <w:r w:rsidR="004C0993" w:rsidRPr="00104DDD">
        <w:t>a more intertemporally efficient allocation of resources</w:t>
      </w:r>
      <w:r w:rsidR="00E17D48">
        <w:t>,</w:t>
      </w:r>
      <w:r w:rsidR="004C0993" w:rsidRPr="00104DDD">
        <w:t xml:space="preserve"> as</w:t>
      </w:r>
      <w:r w:rsidR="00324ECA" w:rsidRPr="00104DDD">
        <w:t xml:space="preserve"> fewer resources are devoted to production that negatively impacts on future generations (and/or</w:t>
      </w:r>
      <w:r w:rsidR="004C0993" w:rsidRPr="00104DDD">
        <w:t xml:space="preserve"> </w:t>
      </w:r>
      <w:r w:rsidR="00324ECA" w:rsidRPr="00104DDD">
        <w:t>more resources are used in ways that protect future production and future generations)</w:t>
      </w:r>
      <w:r w:rsidR="00E17D48">
        <w:t>,</w:t>
      </w:r>
      <w:r w:rsidR="00324ECA" w:rsidRPr="00104DDD">
        <w:t xml:space="preserve"> and in </w:t>
      </w:r>
      <w:r w:rsidR="00156E24" w:rsidRPr="00104DDD">
        <w:t>living standards being protected in the long run (e.g. via mitigation of climate change and protection of future productive capacity).</w:t>
      </w:r>
    </w:p>
    <w:p w14:paraId="2E7A8F6B" w14:textId="705A114D" w:rsidR="00156E24" w:rsidRPr="00104DDD" w:rsidRDefault="00156E24" w:rsidP="00104DDD">
      <w:pPr>
        <w:pStyle w:val="VCAAbody"/>
      </w:pPr>
      <w:r w:rsidRPr="00104DDD">
        <w:t xml:space="preserve">A common </w:t>
      </w:r>
      <w:r w:rsidR="00E5071D">
        <w:t>error</w:t>
      </w:r>
      <w:r w:rsidR="00E5071D" w:rsidRPr="00104DDD">
        <w:t xml:space="preserve"> </w:t>
      </w:r>
      <w:r w:rsidRPr="00104DDD">
        <w:t xml:space="preserve">was </w:t>
      </w:r>
      <w:r w:rsidR="00E5071D">
        <w:t>ignoring</w:t>
      </w:r>
      <w:r w:rsidRPr="00104DDD">
        <w:t xml:space="preserve"> any reference to the power </w:t>
      </w:r>
      <w:r w:rsidR="00324ECA" w:rsidRPr="00104DDD">
        <w:t xml:space="preserve">of markets </w:t>
      </w:r>
      <w:r w:rsidRPr="00104DDD">
        <w:t>(i.e. the price mechanism) to reallocate resources away from the production</w:t>
      </w:r>
      <w:r w:rsidR="00324ECA" w:rsidRPr="00104DDD">
        <w:t>/consumption</w:t>
      </w:r>
      <w:r w:rsidRPr="00104DDD">
        <w:t xml:space="preserve"> of less environmentally friendly forms of production/consumption (those using dirty energy) and towards ones that are cleaner or more renewable.</w:t>
      </w:r>
      <w:r w:rsidR="00F87ED6">
        <w:t xml:space="preserve"> </w:t>
      </w:r>
      <w:r w:rsidR="00324ECA" w:rsidRPr="00104DDD">
        <w:t xml:space="preserve">This was an important part of the question </w:t>
      </w:r>
      <w:r w:rsidR="00E5071D">
        <w:t xml:space="preserve">that was required </w:t>
      </w:r>
      <w:r w:rsidR="00324ECA" w:rsidRPr="00104DDD">
        <w:t>to be addressed given the reference to ‘market based’ environmental policy</w:t>
      </w:r>
      <w:r w:rsidR="004C54C6" w:rsidRPr="00104DDD">
        <w:t xml:space="preserve"> in the question.</w:t>
      </w:r>
    </w:p>
    <w:p w14:paraId="3C2D0FA7" w14:textId="77777777" w:rsidR="00324ECA" w:rsidRPr="00104DDD" w:rsidRDefault="00324ECA" w:rsidP="00104DDD">
      <w:pPr>
        <w:pStyle w:val="VCAAbody"/>
      </w:pPr>
      <w:r w:rsidRPr="00104DDD">
        <w:t xml:space="preserve">The following is an example of a high-scoring response. </w:t>
      </w:r>
    </w:p>
    <w:p w14:paraId="76690E01" w14:textId="66CFFF39" w:rsidR="005132E4" w:rsidRPr="00270206" w:rsidRDefault="00C37361" w:rsidP="00270206">
      <w:pPr>
        <w:pStyle w:val="VCAAstudentresponse"/>
      </w:pPr>
      <w:r w:rsidRPr="00270206">
        <w:t xml:space="preserve">The carbon offsets scheme involves voluntary participation by firms, who earn Australian carbon credit units (ACCUs), for the removal of one tonne of carbon dioxide. This creates a market for carbon emissions, whereby firms have an incentive to undertake greater investment in sustainable business practices and to earn ACCUs and sell them back to the government or to other firms for greater revenue. This creates an incentive for firms to adopt the use of more energy efficient materials and substitution to renewable sources of energy. This leads to a reduced current use of fossil fuels by current firms, which leads to more non-renewable energy sources for future generations to use in their production processes, which thus improves the balance of resource use between current and future generations, improving inter-temporal efficiency. Although in the short run, firms may experience increased costs from their intentional adjustment to renewable energy which may cause them increase prices. In the short run, this may reduce material living standards as consumers purchasing power will be eroded. However, in the long run with lower levels of greenhouse gases in the atmosphere, the consequences of climate change will be lower with reduced severity of weather events. This preserves the quantity of natural resources and growth in AS and hence output, improving material standards of living in the long run. In both the short and long run, more sustainable business practices </w:t>
      </w:r>
      <w:proofErr w:type="gramStart"/>
      <w:r w:rsidRPr="00270206">
        <w:t>reduces</w:t>
      </w:r>
      <w:proofErr w:type="gramEnd"/>
      <w:r w:rsidRPr="00270206">
        <w:t xml:space="preserve"> pollutants, improving air quality and thus non-material living standards.</w:t>
      </w:r>
    </w:p>
    <w:p w14:paraId="59F83419" w14:textId="547F23B8" w:rsidR="005132E4" w:rsidRPr="00270206" w:rsidRDefault="005132E4" w:rsidP="00270206"/>
    <w:sectPr w:rsidR="005132E4" w:rsidRPr="00270206"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70C4" w14:textId="77777777" w:rsidR="00780834" w:rsidRDefault="00780834" w:rsidP="00304EA1">
      <w:pPr>
        <w:spacing w:after="0" w:line="240" w:lineRule="auto"/>
      </w:pPr>
      <w:r>
        <w:separator/>
      </w:r>
    </w:p>
  </w:endnote>
  <w:endnote w:type="continuationSeparator" w:id="0">
    <w:p w14:paraId="152D843F" w14:textId="77777777" w:rsidR="00780834" w:rsidRDefault="0078083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80834" w:rsidRPr="00D06414" w14:paraId="6474FD3B" w14:textId="77777777" w:rsidTr="00BB3BAB">
      <w:trPr>
        <w:trHeight w:val="476"/>
      </w:trPr>
      <w:tc>
        <w:tcPr>
          <w:tcW w:w="1667" w:type="pct"/>
          <w:tcMar>
            <w:left w:w="0" w:type="dxa"/>
            <w:right w:w="0" w:type="dxa"/>
          </w:tcMar>
        </w:tcPr>
        <w:p w14:paraId="0EC15F2D" w14:textId="77777777" w:rsidR="00780834" w:rsidRPr="00D06414" w:rsidRDefault="0078083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4CC0684" w:rsidR="00780834" w:rsidRPr="00D06414" w:rsidRDefault="0078083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723AB21" w14:textId="77777777" w:rsidR="00780834" w:rsidRPr="00D06414" w:rsidRDefault="007808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7E4B2602">
          <wp:simplePos x="0" y="0"/>
          <wp:positionH relativeFrom="column">
            <wp:posOffset>-713105</wp:posOffset>
          </wp:positionH>
          <wp:positionV relativeFrom="page">
            <wp:posOffset>10142220</wp:posOffset>
          </wp:positionV>
          <wp:extent cx="7589520" cy="53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829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80834" w:rsidRPr="00D06414" w14:paraId="36A4ADC1" w14:textId="77777777" w:rsidTr="000F5AAF">
      <w:tc>
        <w:tcPr>
          <w:tcW w:w="1459" w:type="pct"/>
          <w:tcMar>
            <w:left w:w="0" w:type="dxa"/>
            <w:right w:w="0" w:type="dxa"/>
          </w:tcMar>
        </w:tcPr>
        <w:p w14:paraId="74DB1FC2"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780834" w:rsidRPr="00D06414" w:rsidRDefault="0078083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780834" w:rsidRPr="00D06414" w:rsidRDefault="007808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1BE7" w14:textId="77777777" w:rsidR="00780834" w:rsidRDefault="00780834" w:rsidP="00304EA1">
      <w:pPr>
        <w:spacing w:after="0" w:line="240" w:lineRule="auto"/>
      </w:pPr>
      <w:r>
        <w:separator/>
      </w:r>
    </w:p>
  </w:footnote>
  <w:footnote w:type="continuationSeparator" w:id="0">
    <w:p w14:paraId="0F7AE891" w14:textId="77777777" w:rsidR="00780834" w:rsidRDefault="0078083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428E672" w:rsidR="00780834" w:rsidRPr="00D86DE4" w:rsidRDefault="00780834" w:rsidP="00D86DE4">
    <w:pPr>
      <w:pStyle w:val="VCAAbody"/>
      <w:rPr>
        <w:color w:val="999999" w:themeColor="accent2"/>
      </w:rPr>
    </w:pPr>
    <w:r w:rsidRPr="00FC0C7D">
      <w:t>202</w:t>
    </w:r>
    <w:r w:rsidR="00347700">
      <w:t>3</w:t>
    </w:r>
    <w:r w:rsidRPr="00FC0C7D">
      <w:t xml:space="preserve"> VCE Economics </w:t>
    </w:r>
    <w:r>
      <w:t>external assessment</w:t>
    </w:r>
    <w:r w:rsidRPr="00FC0C7D">
      <w:t xml:space="preserve"> report</w:t>
    </w:r>
    <w:r w:rsidDel="00A32948">
      <w:rPr>
        <w:color w:val="999999"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780834" w:rsidRPr="009370BC" w:rsidRDefault="00780834"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97E830A">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22"/>
    <w:multiLevelType w:val="hybridMultilevel"/>
    <w:tmpl w:val="D5D2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D0DFC"/>
    <w:multiLevelType w:val="hybridMultilevel"/>
    <w:tmpl w:val="FE9C3E7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B07CE1"/>
    <w:multiLevelType w:val="hybridMultilevel"/>
    <w:tmpl w:val="401611B2"/>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E61F4"/>
    <w:multiLevelType w:val="hybridMultilevel"/>
    <w:tmpl w:val="2D1CF174"/>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84B4B"/>
    <w:multiLevelType w:val="hybridMultilevel"/>
    <w:tmpl w:val="3BBAD62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C80962"/>
    <w:multiLevelType w:val="hybridMultilevel"/>
    <w:tmpl w:val="46A0F4CA"/>
    <w:lvl w:ilvl="0" w:tplc="FE98DB00">
      <w:numFmt w:val="bullet"/>
      <w:lvlText w:val="•"/>
      <w:lvlJc w:val="left"/>
      <w:pPr>
        <w:ind w:left="1364" w:hanging="720"/>
      </w:pPr>
      <w:rPr>
        <w:rFonts w:ascii="Arial" w:eastAsiaTheme="minorHAns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54B09"/>
    <w:multiLevelType w:val="hybridMultilevel"/>
    <w:tmpl w:val="7F64A65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775B7A"/>
    <w:multiLevelType w:val="hybridMultilevel"/>
    <w:tmpl w:val="358A35EC"/>
    <w:lvl w:ilvl="0" w:tplc="E512719A">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48F38DB"/>
    <w:multiLevelType w:val="hybridMultilevel"/>
    <w:tmpl w:val="D0CA8C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5392236"/>
    <w:multiLevelType w:val="hybridMultilevel"/>
    <w:tmpl w:val="666E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B68DC"/>
    <w:multiLevelType w:val="hybridMultilevel"/>
    <w:tmpl w:val="35CE8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11179"/>
    <w:multiLevelType w:val="hybridMultilevel"/>
    <w:tmpl w:val="E9F60A60"/>
    <w:lvl w:ilvl="0" w:tplc="FE98DB0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134E14"/>
    <w:multiLevelType w:val="hybridMultilevel"/>
    <w:tmpl w:val="54E8D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0049A"/>
    <w:multiLevelType w:val="hybridMultilevel"/>
    <w:tmpl w:val="52D66406"/>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7206B5"/>
    <w:multiLevelType w:val="hybridMultilevel"/>
    <w:tmpl w:val="00FABF86"/>
    <w:lvl w:ilvl="0" w:tplc="FE98DB0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B6F0044"/>
    <w:multiLevelType w:val="hybridMultilevel"/>
    <w:tmpl w:val="D22C6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51AE5"/>
    <w:multiLevelType w:val="hybridMultilevel"/>
    <w:tmpl w:val="1CBCBF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5FC4268"/>
    <w:multiLevelType w:val="hybridMultilevel"/>
    <w:tmpl w:val="9E3E24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74C1974"/>
    <w:multiLevelType w:val="hybridMultilevel"/>
    <w:tmpl w:val="41DAA65A"/>
    <w:lvl w:ilvl="0" w:tplc="FE98DB0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1D0DA1"/>
    <w:multiLevelType w:val="hybridMultilevel"/>
    <w:tmpl w:val="49CA5AF2"/>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D3A23"/>
    <w:multiLevelType w:val="hybridMultilevel"/>
    <w:tmpl w:val="08C013A6"/>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77009D"/>
    <w:multiLevelType w:val="hybridMultilevel"/>
    <w:tmpl w:val="4F6091E4"/>
    <w:lvl w:ilvl="0" w:tplc="FE98DB0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86222"/>
    <w:multiLevelType w:val="hybridMultilevel"/>
    <w:tmpl w:val="F60E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500E96"/>
    <w:multiLevelType w:val="hybridMultilevel"/>
    <w:tmpl w:val="7D92DD0A"/>
    <w:lvl w:ilvl="0" w:tplc="FE98DB0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6182588">
    <w:abstractNumId w:val="17"/>
  </w:num>
  <w:num w:numId="2" w16cid:durableId="1043989197">
    <w:abstractNumId w:val="13"/>
  </w:num>
  <w:num w:numId="3" w16cid:durableId="1392462281">
    <w:abstractNumId w:val="6"/>
  </w:num>
  <w:num w:numId="4" w16cid:durableId="1294867728">
    <w:abstractNumId w:val="20"/>
  </w:num>
  <w:num w:numId="5" w16cid:durableId="1866400661">
    <w:abstractNumId w:val="8"/>
  </w:num>
  <w:num w:numId="6" w16cid:durableId="718169752">
    <w:abstractNumId w:val="10"/>
  </w:num>
  <w:num w:numId="7" w16cid:durableId="1752314432">
    <w:abstractNumId w:val="1"/>
  </w:num>
  <w:num w:numId="8" w16cid:durableId="1250188943">
    <w:abstractNumId w:val="21"/>
  </w:num>
  <w:num w:numId="9" w16cid:durableId="1005598621">
    <w:abstractNumId w:val="11"/>
  </w:num>
  <w:num w:numId="10" w16cid:durableId="1295018746">
    <w:abstractNumId w:val="4"/>
  </w:num>
  <w:num w:numId="11" w16cid:durableId="1384791883">
    <w:abstractNumId w:val="18"/>
  </w:num>
  <w:num w:numId="12" w16cid:durableId="676687071">
    <w:abstractNumId w:val="26"/>
  </w:num>
  <w:num w:numId="13" w16cid:durableId="890767446">
    <w:abstractNumId w:val="23"/>
  </w:num>
  <w:num w:numId="14" w16cid:durableId="1627924917">
    <w:abstractNumId w:val="12"/>
  </w:num>
  <w:num w:numId="15" w16cid:durableId="189222163">
    <w:abstractNumId w:val="3"/>
  </w:num>
  <w:num w:numId="16" w16cid:durableId="852573560">
    <w:abstractNumId w:val="22"/>
  </w:num>
  <w:num w:numId="17" w16cid:durableId="79643704">
    <w:abstractNumId w:val="19"/>
  </w:num>
  <w:num w:numId="18" w16cid:durableId="482743356">
    <w:abstractNumId w:val="25"/>
  </w:num>
  <w:num w:numId="19" w16cid:durableId="169950675">
    <w:abstractNumId w:val="27"/>
  </w:num>
  <w:num w:numId="20" w16cid:durableId="1474904049">
    <w:abstractNumId w:val="16"/>
  </w:num>
  <w:num w:numId="21" w16cid:durableId="1898586956">
    <w:abstractNumId w:val="14"/>
  </w:num>
  <w:num w:numId="22" w16cid:durableId="1892689709">
    <w:abstractNumId w:val="5"/>
  </w:num>
  <w:num w:numId="23" w16cid:durableId="270629292">
    <w:abstractNumId w:val="0"/>
  </w:num>
  <w:num w:numId="24" w16cid:durableId="318001945">
    <w:abstractNumId w:val="9"/>
  </w:num>
  <w:num w:numId="25" w16cid:durableId="1647398719">
    <w:abstractNumId w:val="24"/>
  </w:num>
  <w:num w:numId="26" w16cid:durableId="262109877">
    <w:abstractNumId w:val="7"/>
  </w:num>
  <w:num w:numId="27" w16cid:durableId="31006765">
    <w:abstractNumId w:val="2"/>
  </w:num>
  <w:num w:numId="28" w16cid:durableId="3014670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BAB"/>
    <w:rsid w:val="00001D0B"/>
    <w:rsid w:val="00003885"/>
    <w:rsid w:val="00003E16"/>
    <w:rsid w:val="00003F76"/>
    <w:rsid w:val="0000446D"/>
    <w:rsid w:val="00005F6C"/>
    <w:rsid w:val="000068B1"/>
    <w:rsid w:val="00006EE9"/>
    <w:rsid w:val="00010F3D"/>
    <w:rsid w:val="00011156"/>
    <w:rsid w:val="000129E7"/>
    <w:rsid w:val="00014DD5"/>
    <w:rsid w:val="00016789"/>
    <w:rsid w:val="00020043"/>
    <w:rsid w:val="00021A58"/>
    <w:rsid w:val="00021C39"/>
    <w:rsid w:val="00030C29"/>
    <w:rsid w:val="00040496"/>
    <w:rsid w:val="00045385"/>
    <w:rsid w:val="000455EC"/>
    <w:rsid w:val="000465E0"/>
    <w:rsid w:val="00046A9D"/>
    <w:rsid w:val="00047240"/>
    <w:rsid w:val="00047B5D"/>
    <w:rsid w:val="00047F79"/>
    <w:rsid w:val="00057069"/>
    <w:rsid w:val="0005739E"/>
    <w:rsid w:val="0005780E"/>
    <w:rsid w:val="000615C0"/>
    <w:rsid w:val="00061EF6"/>
    <w:rsid w:val="0006337C"/>
    <w:rsid w:val="00065143"/>
    <w:rsid w:val="00065CC6"/>
    <w:rsid w:val="00066F18"/>
    <w:rsid w:val="00070BF0"/>
    <w:rsid w:val="00070F77"/>
    <w:rsid w:val="000721AC"/>
    <w:rsid w:val="00073208"/>
    <w:rsid w:val="0007373E"/>
    <w:rsid w:val="0007380F"/>
    <w:rsid w:val="0007457C"/>
    <w:rsid w:val="00080C1C"/>
    <w:rsid w:val="000837E9"/>
    <w:rsid w:val="000846CF"/>
    <w:rsid w:val="00085DA5"/>
    <w:rsid w:val="00093028"/>
    <w:rsid w:val="00093D54"/>
    <w:rsid w:val="00096DEE"/>
    <w:rsid w:val="000A0057"/>
    <w:rsid w:val="000A0CDE"/>
    <w:rsid w:val="000A3092"/>
    <w:rsid w:val="000A4AED"/>
    <w:rsid w:val="000A52E2"/>
    <w:rsid w:val="000A67DB"/>
    <w:rsid w:val="000A71F7"/>
    <w:rsid w:val="000A7289"/>
    <w:rsid w:val="000B0A98"/>
    <w:rsid w:val="000B0E83"/>
    <w:rsid w:val="000B2423"/>
    <w:rsid w:val="000B344B"/>
    <w:rsid w:val="000B345E"/>
    <w:rsid w:val="000B60DB"/>
    <w:rsid w:val="000C1C6C"/>
    <w:rsid w:val="000C7EEE"/>
    <w:rsid w:val="000D054E"/>
    <w:rsid w:val="000E0ED5"/>
    <w:rsid w:val="000E40DB"/>
    <w:rsid w:val="000E48C1"/>
    <w:rsid w:val="000F09E4"/>
    <w:rsid w:val="000F16FD"/>
    <w:rsid w:val="000F2747"/>
    <w:rsid w:val="000F2A15"/>
    <w:rsid w:val="000F2FD8"/>
    <w:rsid w:val="000F5AAF"/>
    <w:rsid w:val="000F7E2E"/>
    <w:rsid w:val="00101AA6"/>
    <w:rsid w:val="001048D8"/>
    <w:rsid w:val="00104DDD"/>
    <w:rsid w:val="001077C2"/>
    <w:rsid w:val="0011587E"/>
    <w:rsid w:val="0011710C"/>
    <w:rsid w:val="001228E1"/>
    <w:rsid w:val="00130490"/>
    <w:rsid w:val="00132B2A"/>
    <w:rsid w:val="00132BCE"/>
    <w:rsid w:val="00133122"/>
    <w:rsid w:val="0013541F"/>
    <w:rsid w:val="001365F1"/>
    <w:rsid w:val="001402D9"/>
    <w:rsid w:val="00142E19"/>
    <w:rsid w:val="00143520"/>
    <w:rsid w:val="00146096"/>
    <w:rsid w:val="00146C66"/>
    <w:rsid w:val="00150B12"/>
    <w:rsid w:val="0015370C"/>
    <w:rsid w:val="00153AD2"/>
    <w:rsid w:val="0015452B"/>
    <w:rsid w:val="00156578"/>
    <w:rsid w:val="00156E24"/>
    <w:rsid w:val="00160ED5"/>
    <w:rsid w:val="00161360"/>
    <w:rsid w:val="00164DC8"/>
    <w:rsid w:val="0016596B"/>
    <w:rsid w:val="00167252"/>
    <w:rsid w:val="001675A3"/>
    <w:rsid w:val="001700B3"/>
    <w:rsid w:val="00171BC2"/>
    <w:rsid w:val="001746D5"/>
    <w:rsid w:val="001779EA"/>
    <w:rsid w:val="00177A47"/>
    <w:rsid w:val="00180B2A"/>
    <w:rsid w:val="00186627"/>
    <w:rsid w:val="001926C5"/>
    <w:rsid w:val="00192833"/>
    <w:rsid w:val="0019473F"/>
    <w:rsid w:val="00195734"/>
    <w:rsid w:val="00197CC7"/>
    <w:rsid w:val="001A1B13"/>
    <w:rsid w:val="001A2AB6"/>
    <w:rsid w:val="001A2C2A"/>
    <w:rsid w:val="001A70C0"/>
    <w:rsid w:val="001B0080"/>
    <w:rsid w:val="001B1E46"/>
    <w:rsid w:val="001B2771"/>
    <w:rsid w:val="001B59B2"/>
    <w:rsid w:val="001C0074"/>
    <w:rsid w:val="001C0B6C"/>
    <w:rsid w:val="001C2BC1"/>
    <w:rsid w:val="001C39BB"/>
    <w:rsid w:val="001C4C87"/>
    <w:rsid w:val="001C5A00"/>
    <w:rsid w:val="001D0D28"/>
    <w:rsid w:val="001D193D"/>
    <w:rsid w:val="001D3246"/>
    <w:rsid w:val="001D3AF3"/>
    <w:rsid w:val="001D4F98"/>
    <w:rsid w:val="001D5C1D"/>
    <w:rsid w:val="001D6CF9"/>
    <w:rsid w:val="001D6FF6"/>
    <w:rsid w:val="001E099C"/>
    <w:rsid w:val="001E40DE"/>
    <w:rsid w:val="001E4D9F"/>
    <w:rsid w:val="001E5815"/>
    <w:rsid w:val="001E780A"/>
    <w:rsid w:val="001E7BFD"/>
    <w:rsid w:val="001F15B5"/>
    <w:rsid w:val="001F25A0"/>
    <w:rsid w:val="001F3D56"/>
    <w:rsid w:val="001F4458"/>
    <w:rsid w:val="001F4AD8"/>
    <w:rsid w:val="001F754D"/>
    <w:rsid w:val="002023D9"/>
    <w:rsid w:val="002032A9"/>
    <w:rsid w:val="002039E8"/>
    <w:rsid w:val="002064D6"/>
    <w:rsid w:val="00206E19"/>
    <w:rsid w:val="00207C63"/>
    <w:rsid w:val="0021052B"/>
    <w:rsid w:val="00210D0B"/>
    <w:rsid w:val="00212DCD"/>
    <w:rsid w:val="002157D2"/>
    <w:rsid w:val="002217A9"/>
    <w:rsid w:val="002235C0"/>
    <w:rsid w:val="002279BA"/>
    <w:rsid w:val="002324C7"/>
    <w:rsid w:val="002329F3"/>
    <w:rsid w:val="002340E6"/>
    <w:rsid w:val="002344BE"/>
    <w:rsid w:val="00235A18"/>
    <w:rsid w:val="00236389"/>
    <w:rsid w:val="00237567"/>
    <w:rsid w:val="00237AB9"/>
    <w:rsid w:val="00240BB3"/>
    <w:rsid w:val="00243F0D"/>
    <w:rsid w:val="002452AB"/>
    <w:rsid w:val="002476D2"/>
    <w:rsid w:val="00251032"/>
    <w:rsid w:val="002530F8"/>
    <w:rsid w:val="00253D63"/>
    <w:rsid w:val="00254368"/>
    <w:rsid w:val="0025622A"/>
    <w:rsid w:val="002573CF"/>
    <w:rsid w:val="00260767"/>
    <w:rsid w:val="002647BB"/>
    <w:rsid w:val="00264A76"/>
    <w:rsid w:val="00270206"/>
    <w:rsid w:val="00273305"/>
    <w:rsid w:val="002737EF"/>
    <w:rsid w:val="002754C1"/>
    <w:rsid w:val="002812A2"/>
    <w:rsid w:val="00284003"/>
    <w:rsid w:val="002841C8"/>
    <w:rsid w:val="0028516B"/>
    <w:rsid w:val="002855CB"/>
    <w:rsid w:val="00287664"/>
    <w:rsid w:val="00290D89"/>
    <w:rsid w:val="00296F36"/>
    <w:rsid w:val="002A04ED"/>
    <w:rsid w:val="002A0FE6"/>
    <w:rsid w:val="002A147C"/>
    <w:rsid w:val="002A2F58"/>
    <w:rsid w:val="002A6BD2"/>
    <w:rsid w:val="002B141D"/>
    <w:rsid w:val="002B1C42"/>
    <w:rsid w:val="002B2A73"/>
    <w:rsid w:val="002B2E60"/>
    <w:rsid w:val="002B6299"/>
    <w:rsid w:val="002C0BFF"/>
    <w:rsid w:val="002C3BDD"/>
    <w:rsid w:val="002C56EB"/>
    <w:rsid w:val="002C6F90"/>
    <w:rsid w:val="002C7461"/>
    <w:rsid w:val="002D0C2D"/>
    <w:rsid w:val="002D0FC5"/>
    <w:rsid w:val="002D10EB"/>
    <w:rsid w:val="002D113A"/>
    <w:rsid w:val="002D41DF"/>
    <w:rsid w:val="002D5249"/>
    <w:rsid w:val="002D58E8"/>
    <w:rsid w:val="002D5DCF"/>
    <w:rsid w:val="002E19A3"/>
    <w:rsid w:val="002E24A2"/>
    <w:rsid w:val="002E300B"/>
    <w:rsid w:val="002E30EE"/>
    <w:rsid w:val="002E33D2"/>
    <w:rsid w:val="002E3A02"/>
    <w:rsid w:val="002E3A97"/>
    <w:rsid w:val="002E4C5C"/>
    <w:rsid w:val="002E4FB5"/>
    <w:rsid w:val="002F295F"/>
    <w:rsid w:val="002F2CF9"/>
    <w:rsid w:val="002F7786"/>
    <w:rsid w:val="00302FB8"/>
    <w:rsid w:val="0030301D"/>
    <w:rsid w:val="00303338"/>
    <w:rsid w:val="00303D4D"/>
    <w:rsid w:val="00304EA1"/>
    <w:rsid w:val="003066B7"/>
    <w:rsid w:val="00314A2E"/>
    <w:rsid w:val="00314AD9"/>
    <w:rsid w:val="00314D81"/>
    <w:rsid w:val="003152DE"/>
    <w:rsid w:val="0031759E"/>
    <w:rsid w:val="00321031"/>
    <w:rsid w:val="00322FC6"/>
    <w:rsid w:val="00323087"/>
    <w:rsid w:val="003233AF"/>
    <w:rsid w:val="00324ECA"/>
    <w:rsid w:val="0032625C"/>
    <w:rsid w:val="00327E8D"/>
    <w:rsid w:val="00331315"/>
    <w:rsid w:val="0033404B"/>
    <w:rsid w:val="00334CBF"/>
    <w:rsid w:val="003434D8"/>
    <w:rsid w:val="00347700"/>
    <w:rsid w:val="0035211E"/>
    <w:rsid w:val="0035293F"/>
    <w:rsid w:val="0035546D"/>
    <w:rsid w:val="003562CB"/>
    <w:rsid w:val="0036007E"/>
    <w:rsid w:val="00360C68"/>
    <w:rsid w:val="00361A97"/>
    <w:rsid w:val="003666E0"/>
    <w:rsid w:val="00367E66"/>
    <w:rsid w:val="0037115E"/>
    <w:rsid w:val="003725F4"/>
    <w:rsid w:val="003742E0"/>
    <w:rsid w:val="0037543D"/>
    <w:rsid w:val="00376BC6"/>
    <w:rsid w:val="003776D3"/>
    <w:rsid w:val="0038026F"/>
    <w:rsid w:val="003833EB"/>
    <w:rsid w:val="00385BCF"/>
    <w:rsid w:val="00390376"/>
    <w:rsid w:val="00391986"/>
    <w:rsid w:val="003954B8"/>
    <w:rsid w:val="003979E5"/>
    <w:rsid w:val="003A00B4"/>
    <w:rsid w:val="003A193B"/>
    <w:rsid w:val="003A3B01"/>
    <w:rsid w:val="003A7218"/>
    <w:rsid w:val="003A7993"/>
    <w:rsid w:val="003B2B17"/>
    <w:rsid w:val="003B5AAC"/>
    <w:rsid w:val="003C0A2F"/>
    <w:rsid w:val="003C5E71"/>
    <w:rsid w:val="003C5FD2"/>
    <w:rsid w:val="003D1F68"/>
    <w:rsid w:val="003D45AB"/>
    <w:rsid w:val="003D484A"/>
    <w:rsid w:val="003D7715"/>
    <w:rsid w:val="003D7C1A"/>
    <w:rsid w:val="003E213B"/>
    <w:rsid w:val="003E37C2"/>
    <w:rsid w:val="003E42AB"/>
    <w:rsid w:val="003F1FCC"/>
    <w:rsid w:val="003F6686"/>
    <w:rsid w:val="00400D5F"/>
    <w:rsid w:val="004049F2"/>
    <w:rsid w:val="004077C6"/>
    <w:rsid w:val="00407C19"/>
    <w:rsid w:val="00413C21"/>
    <w:rsid w:val="0041429C"/>
    <w:rsid w:val="004145CE"/>
    <w:rsid w:val="004146CB"/>
    <w:rsid w:val="00417AA3"/>
    <w:rsid w:val="00425DFE"/>
    <w:rsid w:val="004269E1"/>
    <w:rsid w:val="00426CB3"/>
    <w:rsid w:val="00433753"/>
    <w:rsid w:val="00433C83"/>
    <w:rsid w:val="00434EDB"/>
    <w:rsid w:val="0043624F"/>
    <w:rsid w:val="00440B32"/>
    <w:rsid w:val="00440FEB"/>
    <w:rsid w:val="00441946"/>
    <w:rsid w:val="00441E21"/>
    <w:rsid w:val="0044451D"/>
    <w:rsid w:val="00447884"/>
    <w:rsid w:val="004520D9"/>
    <w:rsid w:val="004529C5"/>
    <w:rsid w:val="0046078D"/>
    <w:rsid w:val="00461ECB"/>
    <w:rsid w:val="004648D4"/>
    <w:rsid w:val="00464F1E"/>
    <w:rsid w:val="00465AF3"/>
    <w:rsid w:val="0046674C"/>
    <w:rsid w:val="00467013"/>
    <w:rsid w:val="0047023A"/>
    <w:rsid w:val="00471182"/>
    <w:rsid w:val="00473EAF"/>
    <w:rsid w:val="00475CB0"/>
    <w:rsid w:val="00475FEA"/>
    <w:rsid w:val="00476811"/>
    <w:rsid w:val="00477BAA"/>
    <w:rsid w:val="0048263F"/>
    <w:rsid w:val="00483BD5"/>
    <w:rsid w:val="004869BA"/>
    <w:rsid w:val="004873DF"/>
    <w:rsid w:val="00487680"/>
    <w:rsid w:val="00491A89"/>
    <w:rsid w:val="004956CA"/>
    <w:rsid w:val="00495C80"/>
    <w:rsid w:val="00496485"/>
    <w:rsid w:val="004A1748"/>
    <w:rsid w:val="004A2ED8"/>
    <w:rsid w:val="004B0662"/>
    <w:rsid w:val="004B2D3D"/>
    <w:rsid w:val="004B5307"/>
    <w:rsid w:val="004C0993"/>
    <w:rsid w:val="004C54C6"/>
    <w:rsid w:val="004C62FC"/>
    <w:rsid w:val="004D19AE"/>
    <w:rsid w:val="004D1C6D"/>
    <w:rsid w:val="004D2B63"/>
    <w:rsid w:val="004E2888"/>
    <w:rsid w:val="004E2E3C"/>
    <w:rsid w:val="004F0E04"/>
    <w:rsid w:val="004F5BDA"/>
    <w:rsid w:val="004F6E8F"/>
    <w:rsid w:val="00503030"/>
    <w:rsid w:val="00504B6E"/>
    <w:rsid w:val="005132E4"/>
    <w:rsid w:val="00515F49"/>
    <w:rsid w:val="0051631E"/>
    <w:rsid w:val="005209D2"/>
    <w:rsid w:val="00521B11"/>
    <w:rsid w:val="00522228"/>
    <w:rsid w:val="00522DBB"/>
    <w:rsid w:val="005233BA"/>
    <w:rsid w:val="005247FA"/>
    <w:rsid w:val="0052782F"/>
    <w:rsid w:val="00532298"/>
    <w:rsid w:val="00535E10"/>
    <w:rsid w:val="005361EF"/>
    <w:rsid w:val="00536B16"/>
    <w:rsid w:val="00537A1F"/>
    <w:rsid w:val="005436E8"/>
    <w:rsid w:val="00543AA1"/>
    <w:rsid w:val="005534B8"/>
    <w:rsid w:val="005566FA"/>
    <w:rsid w:val="005603EF"/>
    <w:rsid w:val="00561198"/>
    <w:rsid w:val="00562729"/>
    <w:rsid w:val="00562A3A"/>
    <w:rsid w:val="00563ACE"/>
    <w:rsid w:val="00564890"/>
    <w:rsid w:val="00564EA3"/>
    <w:rsid w:val="005657CE"/>
    <w:rsid w:val="00566029"/>
    <w:rsid w:val="005743D3"/>
    <w:rsid w:val="00577B81"/>
    <w:rsid w:val="00587BB6"/>
    <w:rsid w:val="00587C4F"/>
    <w:rsid w:val="00587CA2"/>
    <w:rsid w:val="005923CB"/>
    <w:rsid w:val="00592549"/>
    <w:rsid w:val="005A698E"/>
    <w:rsid w:val="005B102E"/>
    <w:rsid w:val="005B1509"/>
    <w:rsid w:val="005B391B"/>
    <w:rsid w:val="005B4145"/>
    <w:rsid w:val="005B4E86"/>
    <w:rsid w:val="005C0842"/>
    <w:rsid w:val="005C0864"/>
    <w:rsid w:val="005C2D64"/>
    <w:rsid w:val="005C3DD6"/>
    <w:rsid w:val="005C4948"/>
    <w:rsid w:val="005D3BE2"/>
    <w:rsid w:val="005D3D78"/>
    <w:rsid w:val="005D41BD"/>
    <w:rsid w:val="005D4738"/>
    <w:rsid w:val="005D4B8E"/>
    <w:rsid w:val="005D58BE"/>
    <w:rsid w:val="005D5B48"/>
    <w:rsid w:val="005D67C3"/>
    <w:rsid w:val="005D6841"/>
    <w:rsid w:val="005D7224"/>
    <w:rsid w:val="005E178C"/>
    <w:rsid w:val="005E2EF0"/>
    <w:rsid w:val="005E33FA"/>
    <w:rsid w:val="005F2128"/>
    <w:rsid w:val="005F23DB"/>
    <w:rsid w:val="005F3808"/>
    <w:rsid w:val="005F4092"/>
    <w:rsid w:val="005F76FD"/>
    <w:rsid w:val="0060401C"/>
    <w:rsid w:val="006046AA"/>
    <w:rsid w:val="00606DA5"/>
    <w:rsid w:val="00607C5F"/>
    <w:rsid w:val="00610DEA"/>
    <w:rsid w:val="00612096"/>
    <w:rsid w:val="006135D6"/>
    <w:rsid w:val="00614442"/>
    <w:rsid w:val="00621518"/>
    <w:rsid w:val="006216CD"/>
    <w:rsid w:val="00621A31"/>
    <w:rsid w:val="00621E46"/>
    <w:rsid w:val="006227ED"/>
    <w:rsid w:val="006258E6"/>
    <w:rsid w:val="00626403"/>
    <w:rsid w:val="006271DE"/>
    <w:rsid w:val="006302A1"/>
    <w:rsid w:val="00635011"/>
    <w:rsid w:val="00635152"/>
    <w:rsid w:val="006353A1"/>
    <w:rsid w:val="00635B1A"/>
    <w:rsid w:val="0063649B"/>
    <w:rsid w:val="00636A6D"/>
    <w:rsid w:val="00640210"/>
    <w:rsid w:val="00654633"/>
    <w:rsid w:val="00660725"/>
    <w:rsid w:val="00666D08"/>
    <w:rsid w:val="00670297"/>
    <w:rsid w:val="00670BB1"/>
    <w:rsid w:val="00671DDE"/>
    <w:rsid w:val="0067207D"/>
    <w:rsid w:val="00673EB9"/>
    <w:rsid w:val="00675EAC"/>
    <w:rsid w:val="00676ACC"/>
    <w:rsid w:val="006827A4"/>
    <w:rsid w:val="0068373D"/>
    <w:rsid w:val="0068423F"/>
    <w:rsid w:val="0068471E"/>
    <w:rsid w:val="00684F98"/>
    <w:rsid w:val="00693DAB"/>
    <w:rsid w:val="00693FFD"/>
    <w:rsid w:val="006972E3"/>
    <w:rsid w:val="006A0A47"/>
    <w:rsid w:val="006A173A"/>
    <w:rsid w:val="006A698D"/>
    <w:rsid w:val="006A6C5D"/>
    <w:rsid w:val="006B0B37"/>
    <w:rsid w:val="006B127F"/>
    <w:rsid w:val="006B2EAF"/>
    <w:rsid w:val="006C05EC"/>
    <w:rsid w:val="006C1FC5"/>
    <w:rsid w:val="006C56E5"/>
    <w:rsid w:val="006C7AFA"/>
    <w:rsid w:val="006D0966"/>
    <w:rsid w:val="006D2159"/>
    <w:rsid w:val="006D3322"/>
    <w:rsid w:val="006E4191"/>
    <w:rsid w:val="006E56BA"/>
    <w:rsid w:val="006E5918"/>
    <w:rsid w:val="006E6358"/>
    <w:rsid w:val="006E6A17"/>
    <w:rsid w:val="006F04EE"/>
    <w:rsid w:val="006F0BF8"/>
    <w:rsid w:val="006F1D45"/>
    <w:rsid w:val="006F64B9"/>
    <w:rsid w:val="006F67BF"/>
    <w:rsid w:val="006F787C"/>
    <w:rsid w:val="00702636"/>
    <w:rsid w:val="0070439E"/>
    <w:rsid w:val="00706E2B"/>
    <w:rsid w:val="00707034"/>
    <w:rsid w:val="00707AE7"/>
    <w:rsid w:val="00711B11"/>
    <w:rsid w:val="00715112"/>
    <w:rsid w:val="00715316"/>
    <w:rsid w:val="00716741"/>
    <w:rsid w:val="00716898"/>
    <w:rsid w:val="00720AD9"/>
    <w:rsid w:val="00722327"/>
    <w:rsid w:val="00724507"/>
    <w:rsid w:val="0072703C"/>
    <w:rsid w:val="00727C94"/>
    <w:rsid w:val="0073071A"/>
    <w:rsid w:val="00736426"/>
    <w:rsid w:val="00736841"/>
    <w:rsid w:val="007453E2"/>
    <w:rsid w:val="00745DE6"/>
    <w:rsid w:val="00745E21"/>
    <w:rsid w:val="007462E9"/>
    <w:rsid w:val="00750207"/>
    <w:rsid w:val="0075272B"/>
    <w:rsid w:val="00754126"/>
    <w:rsid w:val="00756432"/>
    <w:rsid w:val="00760D96"/>
    <w:rsid w:val="0076261C"/>
    <w:rsid w:val="007632F4"/>
    <w:rsid w:val="00771F85"/>
    <w:rsid w:val="00773E6C"/>
    <w:rsid w:val="00773EA4"/>
    <w:rsid w:val="00775A82"/>
    <w:rsid w:val="00780834"/>
    <w:rsid w:val="00781FB1"/>
    <w:rsid w:val="00782076"/>
    <w:rsid w:val="0078272A"/>
    <w:rsid w:val="00785D3D"/>
    <w:rsid w:val="00790596"/>
    <w:rsid w:val="00795788"/>
    <w:rsid w:val="007A2AD9"/>
    <w:rsid w:val="007B2982"/>
    <w:rsid w:val="007B5098"/>
    <w:rsid w:val="007C0790"/>
    <w:rsid w:val="007C0833"/>
    <w:rsid w:val="007C5105"/>
    <w:rsid w:val="007D1B6D"/>
    <w:rsid w:val="007D2053"/>
    <w:rsid w:val="007D4E39"/>
    <w:rsid w:val="007D581E"/>
    <w:rsid w:val="007D5D13"/>
    <w:rsid w:val="007D7C49"/>
    <w:rsid w:val="007E17D7"/>
    <w:rsid w:val="007E4ABE"/>
    <w:rsid w:val="007E55B7"/>
    <w:rsid w:val="007F04AD"/>
    <w:rsid w:val="007F14D2"/>
    <w:rsid w:val="007F29BF"/>
    <w:rsid w:val="007F3A0E"/>
    <w:rsid w:val="007F62F8"/>
    <w:rsid w:val="007F6543"/>
    <w:rsid w:val="00802DE6"/>
    <w:rsid w:val="00805616"/>
    <w:rsid w:val="00812E76"/>
    <w:rsid w:val="00813C37"/>
    <w:rsid w:val="0081457B"/>
    <w:rsid w:val="008150CC"/>
    <w:rsid w:val="008154B5"/>
    <w:rsid w:val="00815744"/>
    <w:rsid w:val="00821D12"/>
    <w:rsid w:val="0082318A"/>
    <w:rsid w:val="0082349A"/>
    <w:rsid w:val="00823962"/>
    <w:rsid w:val="008249D7"/>
    <w:rsid w:val="00826D58"/>
    <w:rsid w:val="00827DAF"/>
    <w:rsid w:val="008304E8"/>
    <w:rsid w:val="0083218B"/>
    <w:rsid w:val="00841902"/>
    <w:rsid w:val="00841C50"/>
    <w:rsid w:val="0084315E"/>
    <w:rsid w:val="00845016"/>
    <w:rsid w:val="00847956"/>
    <w:rsid w:val="00850410"/>
    <w:rsid w:val="00850F22"/>
    <w:rsid w:val="00851758"/>
    <w:rsid w:val="00851B00"/>
    <w:rsid w:val="00851BBF"/>
    <w:rsid w:val="00852719"/>
    <w:rsid w:val="0085496D"/>
    <w:rsid w:val="00860115"/>
    <w:rsid w:val="00860A63"/>
    <w:rsid w:val="008636F7"/>
    <w:rsid w:val="008640C3"/>
    <w:rsid w:val="0086521D"/>
    <w:rsid w:val="00866336"/>
    <w:rsid w:val="00866632"/>
    <w:rsid w:val="00867C25"/>
    <w:rsid w:val="008704C7"/>
    <w:rsid w:val="00872ED1"/>
    <w:rsid w:val="00881760"/>
    <w:rsid w:val="0088783C"/>
    <w:rsid w:val="00891CE9"/>
    <w:rsid w:val="008922C8"/>
    <w:rsid w:val="00896897"/>
    <w:rsid w:val="008A2560"/>
    <w:rsid w:val="008A27B5"/>
    <w:rsid w:val="008A4B63"/>
    <w:rsid w:val="008C1CA2"/>
    <w:rsid w:val="008C5416"/>
    <w:rsid w:val="008C5CB8"/>
    <w:rsid w:val="008C6465"/>
    <w:rsid w:val="008C7D2E"/>
    <w:rsid w:val="008E0067"/>
    <w:rsid w:val="008E0691"/>
    <w:rsid w:val="008E1AD4"/>
    <w:rsid w:val="008E221D"/>
    <w:rsid w:val="008E24FE"/>
    <w:rsid w:val="008E5B6F"/>
    <w:rsid w:val="008E5B82"/>
    <w:rsid w:val="008F33C7"/>
    <w:rsid w:val="008F523C"/>
    <w:rsid w:val="009025D7"/>
    <w:rsid w:val="009045DF"/>
    <w:rsid w:val="00914B59"/>
    <w:rsid w:val="00920F14"/>
    <w:rsid w:val="0092108F"/>
    <w:rsid w:val="00924253"/>
    <w:rsid w:val="00926B50"/>
    <w:rsid w:val="00930673"/>
    <w:rsid w:val="00931D9D"/>
    <w:rsid w:val="00932582"/>
    <w:rsid w:val="00933834"/>
    <w:rsid w:val="00936A91"/>
    <w:rsid w:val="009370BC"/>
    <w:rsid w:val="00943F70"/>
    <w:rsid w:val="0094486D"/>
    <w:rsid w:val="00945234"/>
    <w:rsid w:val="00945349"/>
    <w:rsid w:val="00945833"/>
    <w:rsid w:val="00953725"/>
    <w:rsid w:val="00960870"/>
    <w:rsid w:val="00961A01"/>
    <w:rsid w:val="00961AEC"/>
    <w:rsid w:val="00963008"/>
    <w:rsid w:val="00963648"/>
    <w:rsid w:val="0096544E"/>
    <w:rsid w:val="00967822"/>
    <w:rsid w:val="00970580"/>
    <w:rsid w:val="00974CF5"/>
    <w:rsid w:val="00976F9A"/>
    <w:rsid w:val="009772A7"/>
    <w:rsid w:val="0098460F"/>
    <w:rsid w:val="00985E62"/>
    <w:rsid w:val="00985E72"/>
    <w:rsid w:val="009864F1"/>
    <w:rsid w:val="0098739B"/>
    <w:rsid w:val="00990708"/>
    <w:rsid w:val="009914F6"/>
    <w:rsid w:val="0099358B"/>
    <w:rsid w:val="00993738"/>
    <w:rsid w:val="0099471B"/>
    <w:rsid w:val="0099533B"/>
    <w:rsid w:val="00995F8F"/>
    <w:rsid w:val="00996345"/>
    <w:rsid w:val="00996373"/>
    <w:rsid w:val="009A1E5E"/>
    <w:rsid w:val="009A5585"/>
    <w:rsid w:val="009A5D9C"/>
    <w:rsid w:val="009B61E5"/>
    <w:rsid w:val="009C2071"/>
    <w:rsid w:val="009C3A8A"/>
    <w:rsid w:val="009C7450"/>
    <w:rsid w:val="009D1801"/>
    <w:rsid w:val="009D198C"/>
    <w:rsid w:val="009D1E89"/>
    <w:rsid w:val="009D5EB3"/>
    <w:rsid w:val="009D602E"/>
    <w:rsid w:val="009D61B7"/>
    <w:rsid w:val="009D68C5"/>
    <w:rsid w:val="009E5707"/>
    <w:rsid w:val="009F0D7D"/>
    <w:rsid w:val="009F12F2"/>
    <w:rsid w:val="009F1F26"/>
    <w:rsid w:val="009F786A"/>
    <w:rsid w:val="009F7D9B"/>
    <w:rsid w:val="00A01A41"/>
    <w:rsid w:val="00A04989"/>
    <w:rsid w:val="00A04C7F"/>
    <w:rsid w:val="00A0606F"/>
    <w:rsid w:val="00A0647F"/>
    <w:rsid w:val="00A071A3"/>
    <w:rsid w:val="00A071C0"/>
    <w:rsid w:val="00A10A6D"/>
    <w:rsid w:val="00A11497"/>
    <w:rsid w:val="00A1201B"/>
    <w:rsid w:val="00A154BD"/>
    <w:rsid w:val="00A17661"/>
    <w:rsid w:val="00A17909"/>
    <w:rsid w:val="00A217D4"/>
    <w:rsid w:val="00A24B2D"/>
    <w:rsid w:val="00A24F90"/>
    <w:rsid w:val="00A32948"/>
    <w:rsid w:val="00A3693C"/>
    <w:rsid w:val="00A37C89"/>
    <w:rsid w:val="00A40966"/>
    <w:rsid w:val="00A44F67"/>
    <w:rsid w:val="00A52F09"/>
    <w:rsid w:val="00A55A49"/>
    <w:rsid w:val="00A56AF5"/>
    <w:rsid w:val="00A63C2A"/>
    <w:rsid w:val="00A64C8A"/>
    <w:rsid w:val="00A65B8D"/>
    <w:rsid w:val="00A65D05"/>
    <w:rsid w:val="00A66178"/>
    <w:rsid w:val="00A7354B"/>
    <w:rsid w:val="00A753D8"/>
    <w:rsid w:val="00A77B2C"/>
    <w:rsid w:val="00A8346C"/>
    <w:rsid w:val="00A84875"/>
    <w:rsid w:val="00A864CF"/>
    <w:rsid w:val="00A86EE3"/>
    <w:rsid w:val="00A91068"/>
    <w:rsid w:val="00A911C1"/>
    <w:rsid w:val="00A91E3D"/>
    <w:rsid w:val="00A921E0"/>
    <w:rsid w:val="00A922F4"/>
    <w:rsid w:val="00AA03E4"/>
    <w:rsid w:val="00AB0873"/>
    <w:rsid w:val="00AB1889"/>
    <w:rsid w:val="00AB4264"/>
    <w:rsid w:val="00AC649E"/>
    <w:rsid w:val="00AC7363"/>
    <w:rsid w:val="00AC7C6A"/>
    <w:rsid w:val="00AD15E6"/>
    <w:rsid w:val="00AD558C"/>
    <w:rsid w:val="00AD6922"/>
    <w:rsid w:val="00AE0DA3"/>
    <w:rsid w:val="00AE2B09"/>
    <w:rsid w:val="00AE2F0B"/>
    <w:rsid w:val="00AE3EF2"/>
    <w:rsid w:val="00AE5526"/>
    <w:rsid w:val="00AE6F2B"/>
    <w:rsid w:val="00AF051B"/>
    <w:rsid w:val="00AF25A3"/>
    <w:rsid w:val="00AF3EA8"/>
    <w:rsid w:val="00AF5EAF"/>
    <w:rsid w:val="00AF62E9"/>
    <w:rsid w:val="00AF7F60"/>
    <w:rsid w:val="00B01578"/>
    <w:rsid w:val="00B02AD2"/>
    <w:rsid w:val="00B040DB"/>
    <w:rsid w:val="00B0738F"/>
    <w:rsid w:val="00B1245E"/>
    <w:rsid w:val="00B12DBF"/>
    <w:rsid w:val="00B13626"/>
    <w:rsid w:val="00B13D3B"/>
    <w:rsid w:val="00B13D92"/>
    <w:rsid w:val="00B15AF1"/>
    <w:rsid w:val="00B17495"/>
    <w:rsid w:val="00B20466"/>
    <w:rsid w:val="00B205D1"/>
    <w:rsid w:val="00B20958"/>
    <w:rsid w:val="00B230DB"/>
    <w:rsid w:val="00B24B59"/>
    <w:rsid w:val="00B26601"/>
    <w:rsid w:val="00B30805"/>
    <w:rsid w:val="00B35ABC"/>
    <w:rsid w:val="00B36235"/>
    <w:rsid w:val="00B40A0A"/>
    <w:rsid w:val="00B41951"/>
    <w:rsid w:val="00B5076A"/>
    <w:rsid w:val="00B53229"/>
    <w:rsid w:val="00B6015F"/>
    <w:rsid w:val="00B6177F"/>
    <w:rsid w:val="00B62480"/>
    <w:rsid w:val="00B62A2D"/>
    <w:rsid w:val="00B70784"/>
    <w:rsid w:val="00B70AF7"/>
    <w:rsid w:val="00B72882"/>
    <w:rsid w:val="00B73BA7"/>
    <w:rsid w:val="00B80B9B"/>
    <w:rsid w:val="00B81B70"/>
    <w:rsid w:val="00B8229C"/>
    <w:rsid w:val="00B83051"/>
    <w:rsid w:val="00B838C3"/>
    <w:rsid w:val="00B849B0"/>
    <w:rsid w:val="00B90432"/>
    <w:rsid w:val="00B90F2B"/>
    <w:rsid w:val="00B93E78"/>
    <w:rsid w:val="00B96033"/>
    <w:rsid w:val="00B96D86"/>
    <w:rsid w:val="00BA01AA"/>
    <w:rsid w:val="00BA7603"/>
    <w:rsid w:val="00BB1E68"/>
    <w:rsid w:val="00BB21A1"/>
    <w:rsid w:val="00BB3BAB"/>
    <w:rsid w:val="00BB56EE"/>
    <w:rsid w:val="00BB6D75"/>
    <w:rsid w:val="00BC1930"/>
    <w:rsid w:val="00BC2116"/>
    <w:rsid w:val="00BC264A"/>
    <w:rsid w:val="00BC32DB"/>
    <w:rsid w:val="00BC35B7"/>
    <w:rsid w:val="00BC5536"/>
    <w:rsid w:val="00BC6849"/>
    <w:rsid w:val="00BC7A0F"/>
    <w:rsid w:val="00BD0724"/>
    <w:rsid w:val="00BD2B91"/>
    <w:rsid w:val="00BD31F5"/>
    <w:rsid w:val="00BD3D85"/>
    <w:rsid w:val="00BD6055"/>
    <w:rsid w:val="00BD67E6"/>
    <w:rsid w:val="00BD73AC"/>
    <w:rsid w:val="00BE5521"/>
    <w:rsid w:val="00BE5F0E"/>
    <w:rsid w:val="00BE709B"/>
    <w:rsid w:val="00BE79BA"/>
    <w:rsid w:val="00BF4568"/>
    <w:rsid w:val="00BF5B42"/>
    <w:rsid w:val="00BF6C23"/>
    <w:rsid w:val="00C00134"/>
    <w:rsid w:val="00C034C1"/>
    <w:rsid w:val="00C04EFD"/>
    <w:rsid w:val="00C10687"/>
    <w:rsid w:val="00C12CEC"/>
    <w:rsid w:val="00C1362B"/>
    <w:rsid w:val="00C14E0E"/>
    <w:rsid w:val="00C15421"/>
    <w:rsid w:val="00C17FB9"/>
    <w:rsid w:val="00C22F5A"/>
    <w:rsid w:val="00C274BE"/>
    <w:rsid w:val="00C30796"/>
    <w:rsid w:val="00C3167D"/>
    <w:rsid w:val="00C32E20"/>
    <w:rsid w:val="00C37361"/>
    <w:rsid w:val="00C41D4F"/>
    <w:rsid w:val="00C46867"/>
    <w:rsid w:val="00C4688D"/>
    <w:rsid w:val="00C52A8F"/>
    <w:rsid w:val="00C53263"/>
    <w:rsid w:val="00C53DEE"/>
    <w:rsid w:val="00C53F7A"/>
    <w:rsid w:val="00C54561"/>
    <w:rsid w:val="00C575D4"/>
    <w:rsid w:val="00C57677"/>
    <w:rsid w:val="00C62937"/>
    <w:rsid w:val="00C63B55"/>
    <w:rsid w:val="00C66555"/>
    <w:rsid w:val="00C71EE2"/>
    <w:rsid w:val="00C71FE4"/>
    <w:rsid w:val="00C75F1D"/>
    <w:rsid w:val="00C818F0"/>
    <w:rsid w:val="00C82DE6"/>
    <w:rsid w:val="00C8714C"/>
    <w:rsid w:val="00C87F5E"/>
    <w:rsid w:val="00C9335E"/>
    <w:rsid w:val="00C95156"/>
    <w:rsid w:val="00C9581A"/>
    <w:rsid w:val="00CA0DC2"/>
    <w:rsid w:val="00CA1EEA"/>
    <w:rsid w:val="00CA3C3F"/>
    <w:rsid w:val="00CA68F7"/>
    <w:rsid w:val="00CB3AA1"/>
    <w:rsid w:val="00CB52A5"/>
    <w:rsid w:val="00CB5DDF"/>
    <w:rsid w:val="00CB64EE"/>
    <w:rsid w:val="00CB68E8"/>
    <w:rsid w:val="00CB6A40"/>
    <w:rsid w:val="00CC1270"/>
    <w:rsid w:val="00CC2CD6"/>
    <w:rsid w:val="00CC54AF"/>
    <w:rsid w:val="00CC5C28"/>
    <w:rsid w:val="00CC6F54"/>
    <w:rsid w:val="00CC7A3F"/>
    <w:rsid w:val="00CD15D0"/>
    <w:rsid w:val="00CD1A66"/>
    <w:rsid w:val="00CD1F9E"/>
    <w:rsid w:val="00CD3A94"/>
    <w:rsid w:val="00CD44AA"/>
    <w:rsid w:val="00CD588D"/>
    <w:rsid w:val="00CD5CC6"/>
    <w:rsid w:val="00CD7C8B"/>
    <w:rsid w:val="00CE2643"/>
    <w:rsid w:val="00CE5CA7"/>
    <w:rsid w:val="00CE6330"/>
    <w:rsid w:val="00CF220F"/>
    <w:rsid w:val="00D019FF"/>
    <w:rsid w:val="00D02B1E"/>
    <w:rsid w:val="00D04AD7"/>
    <w:rsid w:val="00D04F01"/>
    <w:rsid w:val="00D05675"/>
    <w:rsid w:val="00D06414"/>
    <w:rsid w:val="00D07E06"/>
    <w:rsid w:val="00D11D8D"/>
    <w:rsid w:val="00D157A6"/>
    <w:rsid w:val="00D173F5"/>
    <w:rsid w:val="00D20F71"/>
    <w:rsid w:val="00D23C14"/>
    <w:rsid w:val="00D23E90"/>
    <w:rsid w:val="00D24E5A"/>
    <w:rsid w:val="00D26B79"/>
    <w:rsid w:val="00D31BCA"/>
    <w:rsid w:val="00D338E4"/>
    <w:rsid w:val="00D35351"/>
    <w:rsid w:val="00D41733"/>
    <w:rsid w:val="00D42D04"/>
    <w:rsid w:val="00D4608B"/>
    <w:rsid w:val="00D51947"/>
    <w:rsid w:val="00D532F0"/>
    <w:rsid w:val="00D546D4"/>
    <w:rsid w:val="00D56E0F"/>
    <w:rsid w:val="00D57D68"/>
    <w:rsid w:val="00D57ED9"/>
    <w:rsid w:val="00D57FF6"/>
    <w:rsid w:val="00D60698"/>
    <w:rsid w:val="00D60A7D"/>
    <w:rsid w:val="00D621F8"/>
    <w:rsid w:val="00D73896"/>
    <w:rsid w:val="00D75026"/>
    <w:rsid w:val="00D77413"/>
    <w:rsid w:val="00D77E48"/>
    <w:rsid w:val="00D806FD"/>
    <w:rsid w:val="00D807B0"/>
    <w:rsid w:val="00D82759"/>
    <w:rsid w:val="00D8296E"/>
    <w:rsid w:val="00D86DE4"/>
    <w:rsid w:val="00D90DC9"/>
    <w:rsid w:val="00D9349C"/>
    <w:rsid w:val="00D93BFA"/>
    <w:rsid w:val="00D959D7"/>
    <w:rsid w:val="00DA2C73"/>
    <w:rsid w:val="00DB0DB8"/>
    <w:rsid w:val="00DB2243"/>
    <w:rsid w:val="00DB301C"/>
    <w:rsid w:val="00DC0EC6"/>
    <w:rsid w:val="00DC0EEF"/>
    <w:rsid w:val="00DC1816"/>
    <w:rsid w:val="00DC1B49"/>
    <w:rsid w:val="00DC2149"/>
    <w:rsid w:val="00DC4206"/>
    <w:rsid w:val="00DC512B"/>
    <w:rsid w:val="00DC5808"/>
    <w:rsid w:val="00DC5AE2"/>
    <w:rsid w:val="00DC5AEA"/>
    <w:rsid w:val="00DD12FA"/>
    <w:rsid w:val="00DD1A1D"/>
    <w:rsid w:val="00DD4928"/>
    <w:rsid w:val="00DD4F72"/>
    <w:rsid w:val="00DD7564"/>
    <w:rsid w:val="00DE0239"/>
    <w:rsid w:val="00DE1909"/>
    <w:rsid w:val="00DE248F"/>
    <w:rsid w:val="00DE29B2"/>
    <w:rsid w:val="00DE51DB"/>
    <w:rsid w:val="00DE7236"/>
    <w:rsid w:val="00DF0B18"/>
    <w:rsid w:val="00DF28E1"/>
    <w:rsid w:val="00DF2B23"/>
    <w:rsid w:val="00DF435A"/>
    <w:rsid w:val="00DF6048"/>
    <w:rsid w:val="00E010BE"/>
    <w:rsid w:val="00E020CE"/>
    <w:rsid w:val="00E030DF"/>
    <w:rsid w:val="00E06393"/>
    <w:rsid w:val="00E07530"/>
    <w:rsid w:val="00E10628"/>
    <w:rsid w:val="00E1317D"/>
    <w:rsid w:val="00E14D6A"/>
    <w:rsid w:val="00E15A50"/>
    <w:rsid w:val="00E17D48"/>
    <w:rsid w:val="00E21F61"/>
    <w:rsid w:val="00E23F1D"/>
    <w:rsid w:val="00E30E05"/>
    <w:rsid w:val="00E31092"/>
    <w:rsid w:val="00E337C6"/>
    <w:rsid w:val="00E34019"/>
    <w:rsid w:val="00E36361"/>
    <w:rsid w:val="00E43165"/>
    <w:rsid w:val="00E464A7"/>
    <w:rsid w:val="00E46A88"/>
    <w:rsid w:val="00E47C32"/>
    <w:rsid w:val="00E50187"/>
    <w:rsid w:val="00E5071D"/>
    <w:rsid w:val="00E517D9"/>
    <w:rsid w:val="00E52180"/>
    <w:rsid w:val="00E5533F"/>
    <w:rsid w:val="00E55AE9"/>
    <w:rsid w:val="00E66C9A"/>
    <w:rsid w:val="00E72B96"/>
    <w:rsid w:val="00E7794D"/>
    <w:rsid w:val="00E8214D"/>
    <w:rsid w:val="00E8308A"/>
    <w:rsid w:val="00E86696"/>
    <w:rsid w:val="00E87D0E"/>
    <w:rsid w:val="00E9305E"/>
    <w:rsid w:val="00E9433A"/>
    <w:rsid w:val="00E94B10"/>
    <w:rsid w:val="00E96799"/>
    <w:rsid w:val="00E96951"/>
    <w:rsid w:val="00E96FE5"/>
    <w:rsid w:val="00EA0F41"/>
    <w:rsid w:val="00EA6C2D"/>
    <w:rsid w:val="00EB0C84"/>
    <w:rsid w:val="00EB1CB9"/>
    <w:rsid w:val="00EB2509"/>
    <w:rsid w:val="00EB334F"/>
    <w:rsid w:val="00EB4EEC"/>
    <w:rsid w:val="00EB7186"/>
    <w:rsid w:val="00EB7B9F"/>
    <w:rsid w:val="00EC28AF"/>
    <w:rsid w:val="00EC33F3"/>
    <w:rsid w:val="00EC3967"/>
    <w:rsid w:val="00EC458C"/>
    <w:rsid w:val="00EC7456"/>
    <w:rsid w:val="00EC7D10"/>
    <w:rsid w:val="00ED08A1"/>
    <w:rsid w:val="00ED2409"/>
    <w:rsid w:val="00ED403B"/>
    <w:rsid w:val="00ED713F"/>
    <w:rsid w:val="00EE2705"/>
    <w:rsid w:val="00EE5E9C"/>
    <w:rsid w:val="00EE770A"/>
    <w:rsid w:val="00EF1059"/>
    <w:rsid w:val="00EF2580"/>
    <w:rsid w:val="00EF4768"/>
    <w:rsid w:val="00EF5432"/>
    <w:rsid w:val="00EF7FDA"/>
    <w:rsid w:val="00F02EB9"/>
    <w:rsid w:val="00F037C9"/>
    <w:rsid w:val="00F05D51"/>
    <w:rsid w:val="00F1252E"/>
    <w:rsid w:val="00F131A5"/>
    <w:rsid w:val="00F13AD7"/>
    <w:rsid w:val="00F17FDE"/>
    <w:rsid w:val="00F31014"/>
    <w:rsid w:val="00F31E63"/>
    <w:rsid w:val="00F361B6"/>
    <w:rsid w:val="00F40D53"/>
    <w:rsid w:val="00F412FB"/>
    <w:rsid w:val="00F413CE"/>
    <w:rsid w:val="00F427F3"/>
    <w:rsid w:val="00F42DC9"/>
    <w:rsid w:val="00F44A27"/>
    <w:rsid w:val="00F4525C"/>
    <w:rsid w:val="00F4673E"/>
    <w:rsid w:val="00F50D86"/>
    <w:rsid w:val="00F53E79"/>
    <w:rsid w:val="00F5471C"/>
    <w:rsid w:val="00F54D18"/>
    <w:rsid w:val="00F559A8"/>
    <w:rsid w:val="00F5644B"/>
    <w:rsid w:val="00F60FBC"/>
    <w:rsid w:val="00F64C16"/>
    <w:rsid w:val="00F651E2"/>
    <w:rsid w:val="00F66D41"/>
    <w:rsid w:val="00F7277F"/>
    <w:rsid w:val="00F75542"/>
    <w:rsid w:val="00F7581B"/>
    <w:rsid w:val="00F80AAA"/>
    <w:rsid w:val="00F83E27"/>
    <w:rsid w:val="00F85234"/>
    <w:rsid w:val="00F87ED6"/>
    <w:rsid w:val="00F90E20"/>
    <w:rsid w:val="00F9291A"/>
    <w:rsid w:val="00F93949"/>
    <w:rsid w:val="00F94BF2"/>
    <w:rsid w:val="00F9616D"/>
    <w:rsid w:val="00FA0040"/>
    <w:rsid w:val="00FA3B60"/>
    <w:rsid w:val="00FA3BB4"/>
    <w:rsid w:val="00FB0D52"/>
    <w:rsid w:val="00FB363A"/>
    <w:rsid w:val="00FB3B86"/>
    <w:rsid w:val="00FB40D0"/>
    <w:rsid w:val="00FB546F"/>
    <w:rsid w:val="00FC02F4"/>
    <w:rsid w:val="00FC0ACC"/>
    <w:rsid w:val="00FC0C7D"/>
    <w:rsid w:val="00FC28A8"/>
    <w:rsid w:val="00FC2F32"/>
    <w:rsid w:val="00FC6134"/>
    <w:rsid w:val="00FC7491"/>
    <w:rsid w:val="00FD28EA"/>
    <w:rsid w:val="00FD29D3"/>
    <w:rsid w:val="00FD47EA"/>
    <w:rsid w:val="00FD4E49"/>
    <w:rsid w:val="00FD55B0"/>
    <w:rsid w:val="00FD6312"/>
    <w:rsid w:val="00FD72D0"/>
    <w:rsid w:val="00FE0182"/>
    <w:rsid w:val="00FE3F0B"/>
    <w:rsid w:val="00FE44BD"/>
    <w:rsid w:val="00FF0D2B"/>
    <w:rsid w:val="00FF0D7F"/>
    <w:rsid w:val="00FF2EF4"/>
    <w:rsid w:val="00FF54B8"/>
    <w:rsid w:val="00FF7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D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9914F6"/>
    <w:pPr>
      <w:widowControl w:val="0"/>
      <w:spacing w:before="320" w:after="120" w:line="400" w:lineRule="exact"/>
      <w:outlineLvl w:val="3"/>
    </w:pPr>
    <w:rPr>
      <w:rFonts w:ascii="Arial" w:hAnsi="Arial" w:cs="Arial"/>
      <w:color w:val="0F7EB4"/>
      <w:sz w:val="32"/>
      <w:szCs w:val="24"/>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D75026"/>
    <w:pPr>
      <w:numPr>
        <w:numId w:val="5"/>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Normal"/>
    <w:qFormat/>
    <w:rsid w:val="00104DDD"/>
    <w:pPr>
      <w:spacing w:before="120" w:after="0" w:line="200" w:lineRule="exact"/>
    </w:pPr>
    <w:rPr>
      <w:rFonts w:ascii="Arial" w:hAnsi="Arial" w:cs="Arial"/>
      <w:color w:val="000000" w:themeColor="text1"/>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bold">
    <w:name w:val="VCAA bold"/>
    <w:qFormat/>
    <w:rsid w:val="00F1252E"/>
    <w:rPr>
      <w:b/>
      <w:bCs/>
      <w:lang w:val="en-AU"/>
    </w:rPr>
  </w:style>
  <w:style w:type="paragraph" w:customStyle="1" w:styleId="VCAAtabletext">
    <w:name w:val="VCAA table text"/>
    <w:basedOn w:val="VCAAbody"/>
    <w:qFormat/>
    <w:rsid w:val="00F1252E"/>
    <w:pPr>
      <w:spacing w:before="80" w:after="80" w:line="240" w:lineRule="exact"/>
    </w:pPr>
    <w:rPr>
      <w:rFonts w:eastAsia="Arial"/>
      <w:color w:val="000000"/>
      <w:szCs w:val="20"/>
    </w:rPr>
  </w:style>
  <w:style w:type="paragraph" w:customStyle="1" w:styleId="VCAAtableheadingcentred">
    <w:name w:val="VCAA table heading centred"/>
    <w:basedOn w:val="VCAAbody"/>
    <w:qFormat/>
    <w:rsid w:val="00F1252E"/>
    <w:pPr>
      <w:jc w:val="center"/>
    </w:pPr>
    <w:rPr>
      <w:rFonts w:eastAsia="Arial"/>
      <w:b/>
      <w:color w:val="000000"/>
      <w:szCs w:val="20"/>
    </w:rPr>
  </w:style>
  <w:style w:type="paragraph" w:customStyle="1" w:styleId="VCAAtabletextcentered">
    <w:name w:val="VCAA table text centered"/>
    <w:basedOn w:val="VCAAtabletext"/>
    <w:qFormat/>
    <w:rsid w:val="00F1252E"/>
    <w:pPr>
      <w:spacing w:before="60" w:after="60" w:line="240" w:lineRule="auto"/>
      <w:jc w:val="center"/>
    </w:pPr>
  </w:style>
  <w:style w:type="paragraph" w:customStyle="1" w:styleId="VCAAstudentresponse">
    <w:name w:val="VCAA student response"/>
    <w:basedOn w:val="VCAAbody"/>
    <w:qFormat/>
    <w:rsid w:val="00D93BFA"/>
    <w:pPr>
      <w:ind w:left="284"/>
    </w:pPr>
    <w:rPr>
      <w:i/>
      <w:iCs/>
      <w:szCs w:val="20"/>
      <w:lang w:val="en-AU"/>
    </w:rPr>
  </w:style>
  <w:style w:type="character" w:styleId="CommentReference">
    <w:name w:val="annotation reference"/>
    <w:basedOn w:val="DefaultParagraphFont"/>
    <w:uiPriority w:val="99"/>
    <w:semiHidden/>
    <w:unhideWhenUsed/>
    <w:rsid w:val="004529C5"/>
    <w:rPr>
      <w:sz w:val="16"/>
      <w:szCs w:val="16"/>
    </w:rPr>
  </w:style>
  <w:style w:type="paragraph" w:styleId="CommentText">
    <w:name w:val="annotation text"/>
    <w:basedOn w:val="Normal"/>
    <w:link w:val="CommentTextChar"/>
    <w:uiPriority w:val="99"/>
    <w:unhideWhenUsed/>
    <w:rsid w:val="004529C5"/>
    <w:pPr>
      <w:spacing w:line="240" w:lineRule="auto"/>
    </w:pPr>
    <w:rPr>
      <w:sz w:val="20"/>
      <w:szCs w:val="20"/>
    </w:rPr>
  </w:style>
  <w:style w:type="character" w:customStyle="1" w:styleId="CommentTextChar">
    <w:name w:val="Comment Text Char"/>
    <w:basedOn w:val="DefaultParagraphFont"/>
    <w:link w:val="CommentText"/>
    <w:uiPriority w:val="99"/>
    <w:rsid w:val="004529C5"/>
    <w:rPr>
      <w:sz w:val="20"/>
      <w:szCs w:val="20"/>
    </w:rPr>
  </w:style>
  <w:style w:type="paragraph" w:styleId="CommentSubject">
    <w:name w:val="annotation subject"/>
    <w:basedOn w:val="CommentText"/>
    <w:next w:val="CommentText"/>
    <w:link w:val="CommentSubjectChar"/>
    <w:uiPriority w:val="99"/>
    <w:semiHidden/>
    <w:unhideWhenUsed/>
    <w:rsid w:val="004529C5"/>
    <w:rPr>
      <w:b/>
      <w:bCs/>
    </w:rPr>
  </w:style>
  <w:style w:type="character" w:customStyle="1" w:styleId="CommentSubjectChar">
    <w:name w:val="Comment Subject Char"/>
    <w:basedOn w:val="CommentTextChar"/>
    <w:link w:val="CommentSubject"/>
    <w:uiPriority w:val="99"/>
    <w:semiHidden/>
    <w:rsid w:val="004529C5"/>
    <w:rPr>
      <w:b/>
      <w:bCs/>
      <w:sz w:val="20"/>
      <w:szCs w:val="20"/>
    </w:rPr>
  </w:style>
  <w:style w:type="paragraph" w:styleId="ListParagraph">
    <w:name w:val="List Paragraph"/>
    <w:basedOn w:val="Normal"/>
    <w:uiPriority w:val="1"/>
    <w:qFormat/>
    <w:rsid w:val="00070F77"/>
    <w:pPr>
      <w:ind w:left="720"/>
      <w:contextualSpacing/>
    </w:pPr>
  </w:style>
  <w:style w:type="paragraph" w:styleId="Revision">
    <w:name w:val="Revision"/>
    <w:hidden/>
    <w:uiPriority w:val="99"/>
    <w:semiHidden/>
    <w:rsid w:val="00D26B79"/>
    <w:pPr>
      <w:spacing w:after="0" w:line="240" w:lineRule="auto"/>
    </w:pPr>
  </w:style>
  <w:style w:type="character" w:styleId="Emphasis">
    <w:name w:val="Emphasis"/>
    <w:basedOn w:val="DefaultParagraphFont"/>
    <w:uiPriority w:val="20"/>
    <w:qFormat/>
    <w:rsid w:val="002E300B"/>
    <w:rPr>
      <w:i/>
      <w:iCs/>
    </w:rPr>
  </w:style>
  <w:style w:type="paragraph" w:styleId="Quote">
    <w:name w:val="Quote"/>
    <w:basedOn w:val="Normal"/>
    <w:next w:val="Normal"/>
    <w:link w:val="QuoteChar"/>
    <w:uiPriority w:val="29"/>
    <w:qFormat/>
    <w:rsid w:val="002E30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00B"/>
    <w:rPr>
      <w:i/>
      <w:iCs/>
      <w:color w:val="404040" w:themeColor="text1" w:themeTint="BF"/>
    </w:rPr>
  </w:style>
  <w:style w:type="character" w:customStyle="1" w:styleId="VCAAitalics">
    <w:name w:val="VCAA italics"/>
    <w:uiPriority w:val="1"/>
    <w:qFormat/>
    <w:rsid w:val="00104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8ECC-AC65-4347-BBD9-6573566D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89DDE-B3A9-46FF-8C78-B1170F3585BC}">
  <ds:schemaRefs>
    <ds:schemaRef ds:uri="http://schemas.microsoft.com/sharepoint/v3/contenttype/forms"/>
  </ds:schemaRefs>
</ds:datastoreItem>
</file>

<file path=customXml/itemProps3.xml><?xml version="1.0" encoding="utf-8"?>
<ds:datastoreItem xmlns:ds="http://schemas.openxmlformats.org/officeDocument/2006/customXml" ds:itemID="{4F849825-C3C2-4FBD-85C7-113A5BFF7B98}">
  <ds:schemaRefs>
    <ds:schemaRef ds:uri="1aab662d-a6b2-42d6-996b-a574723d1ad8"/>
    <ds:schemaRef ds:uri="http://purl.org/dc/dcmitype/"/>
    <ds:schemaRef ds:uri="http://schemas.microsoft.com/sharepoint/v3"/>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6BC5E43-39B5-594C-A322-C103171A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11526</Words>
  <Characters>65702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Economics external assessment report</dc:title>
  <dc:subject/>
  <dc:creator/>
  <cp:keywords/>
  <dc:description/>
  <cp:lastModifiedBy/>
  <cp:revision>1</cp:revision>
  <dcterms:created xsi:type="dcterms:W3CDTF">2024-04-04T00:51:00Z</dcterms:created>
  <dcterms:modified xsi:type="dcterms:W3CDTF">2024-05-03T06:04:00Z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