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3DA2" w14:textId="210F7C67" w:rsidR="00F4525C" w:rsidRDefault="00024018" w:rsidP="009B61E5">
      <w:pPr>
        <w:pStyle w:val="VCAADocumenttitle"/>
      </w:pPr>
      <w:r>
        <w:t>202</w:t>
      </w:r>
      <w:r w:rsidR="00393AFF">
        <w:t>1</w:t>
      </w:r>
      <w:r>
        <w:t xml:space="preserve"> </w:t>
      </w:r>
      <w:r w:rsidR="00982AF2">
        <w:t>VCE Extended Investigation</w:t>
      </w:r>
      <w:r>
        <w:t xml:space="preserve"> </w:t>
      </w:r>
      <w:r w:rsidR="00982AF2">
        <w:t>oral</w:t>
      </w:r>
      <w:r w:rsidR="00C44E45">
        <w:t xml:space="preserve"> </w:t>
      </w:r>
      <w:r w:rsidR="00783700">
        <w:t>Externally</w:t>
      </w:r>
      <w:r w:rsidR="00846CB9">
        <w:t>-a</w:t>
      </w:r>
      <w:r w:rsidR="00783700">
        <w:t>ssessed Task</w:t>
      </w:r>
      <w:r w:rsidR="00400537">
        <w:t xml:space="preserve"> </w:t>
      </w:r>
      <w:r>
        <w:t>report</w:t>
      </w:r>
    </w:p>
    <w:p w14:paraId="52CD6E64" w14:textId="77777777" w:rsidR="006663C6" w:rsidRDefault="00024018" w:rsidP="00C35203">
      <w:pPr>
        <w:pStyle w:val="VCAAHeading1"/>
      </w:pPr>
      <w:bookmarkStart w:id="0" w:name="TemplateOverview"/>
      <w:bookmarkEnd w:id="0"/>
      <w:r>
        <w:t>General comments</w:t>
      </w:r>
    </w:p>
    <w:p w14:paraId="21F5BB95" w14:textId="4E2417C6" w:rsidR="00AD62AC" w:rsidRPr="0056663B" w:rsidRDefault="00AD62AC" w:rsidP="009C604E">
      <w:pPr>
        <w:pStyle w:val="VCAAbody"/>
      </w:pPr>
      <w:bookmarkStart w:id="1" w:name="_Hlk87017775"/>
      <w:r w:rsidRPr="0056663B">
        <w:t xml:space="preserve">The Extended Investigation oral presentation affords students the experience of presenting and defending the research they have completed over the course of a year. </w:t>
      </w:r>
      <w:r w:rsidR="006F4693">
        <w:t>It</w:t>
      </w:r>
      <w:r w:rsidRPr="0056663B">
        <w:t xml:space="preserve"> comprises two sections: the presentation of the investigation and response to questions</w:t>
      </w:r>
      <w:r w:rsidR="00DC3FF3">
        <w:t xml:space="preserve"> and </w:t>
      </w:r>
      <w:r w:rsidRPr="0056663B">
        <w:t>challenges. Students present for 7–10 minutes, after which they are asked questions for a further 8–10 minutes.</w:t>
      </w:r>
    </w:p>
    <w:p w14:paraId="4450C532" w14:textId="2F03880A" w:rsidR="00AD62AC" w:rsidRPr="009C604E" w:rsidRDefault="00AD62AC" w:rsidP="009C604E">
      <w:pPr>
        <w:pStyle w:val="VCAAbody"/>
      </w:pPr>
      <w:r w:rsidRPr="009C604E">
        <w:t>Assessment of the oral presentation is based on knowledge and understanding of the research area</w:t>
      </w:r>
      <w:r w:rsidR="006F4693">
        <w:t>;</w:t>
      </w:r>
      <w:r w:rsidRPr="009C604E">
        <w:t xml:space="preserve"> </w:t>
      </w:r>
      <w:proofErr w:type="spellStart"/>
      <w:r w:rsidRPr="009C604E">
        <w:t>defence</w:t>
      </w:r>
      <w:proofErr w:type="spellEnd"/>
      <w:r w:rsidRPr="009C604E">
        <w:t xml:space="preserve"> of research findings and understanding of audience</w:t>
      </w:r>
      <w:r w:rsidR="006F4693">
        <w:t>;</w:t>
      </w:r>
      <w:r w:rsidRPr="009C604E">
        <w:t xml:space="preserve"> response to questions and challenges</w:t>
      </w:r>
      <w:r w:rsidR="006F4693">
        <w:t>;</w:t>
      </w:r>
      <w:r w:rsidRPr="009C604E">
        <w:t xml:space="preserve"> and reflection and evaluation. Students are strongly encouraged to use these four assessment criteria when developing the content and structure of their presentations.</w:t>
      </w:r>
    </w:p>
    <w:p w14:paraId="36739C00" w14:textId="78CDE4CA" w:rsidR="00AD62AC" w:rsidRPr="009C604E" w:rsidRDefault="00602500" w:rsidP="009C604E">
      <w:pPr>
        <w:pStyle w:val="VCAAbody"/>
      </w:pPr>
      <w:r>
        <w:t>M</w:t>
      </w:r>
      <w:r w:rsidR="00CC3D60">
        <w:t xml:space="preserve">ost </w:t>
      </w:r>
      <w:r w:rsidR="00B275B1">
        <w:t>s</w:t>
      </w:r>
      <w:r w:rsidR="00AD62AC" w:rsidRPr="009C604E">
        <w:t xml:space="preserve">tudents were enthusiastic about their topics </w:t>
      </w:r>
      <w:r w:rsidR="006F4693">
        <w:t xml:space="preserve">in 2021 </w:t>
      </w:r>
      <w:r w:rsidR="00AD62AC" w:rsidRPr="009C604E">
        <w:t>and seem to have enjoyed the process of exploring an area of interest. Overall, students were able to adapt well to the</w:t>
      </w:r>
      <w:r>
        <w:t xml:space="preserve"> continued</w:t>
      </w:r>
      <w:r w:rsidR="00AD62AC" w:rsidRPr="009C604E">
        <w:t xml:space="preserve"> impact of COVID</w:t>
      </w:r>
      <w:r w:rsidR="00CC3D60">
        <w:t>-19</w:t>
      </w:r>
      <w:r w:rsidR="00AD62AC" w:rsidRPr="009C604E">
        <w:t xml:space="preserve">, expecting and anticipating periods of restrictions and remote learning, </w:t>
      </w:r>
      <w:r w:rsidR="004A434A">
        <w:t>and</w:t>
      </w:r>
      <w:r w:rsidR="00AD62AC" w:rsidRPr="009C604E">
        <w:t xml:space="preserve"> plann</w:t>
      </w:r>
      <w:r w:rsidR="004A434A">
        <w:t>ed</w:t>
      </w:r>
      <w:r w:rsidR="00AD62AC" w:rsidRPr="009C604E">
        <w:t xml:space="preserve"> their investigation accordingly. </w:t>
      </w:r>
    </w:p>
    <w:p w14:paraId="56BD123E" w14:textId="32386E75" w:rsidR="00AD62AC" w:rsidRPr="009C604E" w:rsidRDefault="00AD62AC" w:rsidP="009C604E">
      <w:pPr>
        <w:pStyle w:val="VCAAbody"/>
      </w:pPr>
      <w:r w:rsidRPr="009C604E">
        <w:t xml:space="preserve">The </w:t>
      </w:r>
      <w:r w:rsidR="00FA6AA3">
        <w:t>highest-scoring</w:t>
      </w:r>
      <w:r w:rsidR="00FA6AA3" w:rsidRPr="009C604E">
        <w:t xml:space="preserve"> </w:t>
      </w:r>
      <w:r w:rsidRPr="009C604E">
        <w:t>presentations impressed with their conceptual understanding of the research process, their thoroughness</w:t>
      </w:r>
      <w:r w:rsidR="00D67837">
        <w:t xml:space="preserve"> and</w:t>
      </w:r>
      <w:r w:rsidRPr="009C604E">
        <w:t xml:space="preserve"> awareness of possible flaws in either design or conduct of the project, their adaptability in the face of COVID-19 restrictions (</w:t>
      </w:r>
      <w:r w:rsidR="00166ABF">
        <w:t>for example,</w:t>
      </w:r>
      <w:r w:rsidR="00224DEF">
        <w:t xml:space="preserve"> </w:t>
      </w:r>
      <w:r w:rsidRPr="009C604E">
        <w:t>t</w:t>
      </w:r>
      <w:r w:rsidR="00D67837">
        <w:t>aking</w:t>
      </w:r>
      <w:r w:rsidRPr="009C604E">
        <w:t xml:space="preserve"> the experiment home, adjust</w:t>
      </w:r>
      <w:r w:rsidR="00D67837">
        <w:t>ing</w:t>
      </w:r>
      <w:r w:rsidRPr="009C604E">
        <w:t xml:space="preserve"> the timeframe, improvis</w:t>
      </w:r>
      <w:r w:rsidR="00D67837">
        <w:t>ing</w:t>
      </w:r>
      <w:r w:rsidRPr="009C604E">
        <w:t xml:space="preserve"> equipment), </w:t>
      </w:r>
      <w:r w:rsidR="00CF7E3C">
        <w:t xml:space="preserve">and </w:t>
      </w:r>
      <w:r w:rsidRPr="009C604E">
        <w:t>their ability to articulate quite complex ideas and field questions effortlessly.</w:t>
      </w:r>
    </w:p>
    <w:p w14:paraId="7B8E2E8B" w14:textId="5983C593" w:rsidR="00224DEF" w:rsidRPr="009C604E" w:rsidRDefault="00D9772C" w:rsidP="009C604E">
      <w:pPr>
        <w:pStyle w:val="VCAAbody"/>
      </w:pPr>
      <w:r>
        <w:t xml:space="preserve">Not all </w:t>
      </w:r>
      <w:r w:rsidR="00224DEF" w:rsidRPr="005F5C38">
        <w:t>students appear</w:t>
      </w:r>
      <w:r>
        <w:t>ed</w:t>
      </w:r>
      <w:r w:rsidR="00224DEF" w:rsidRPr="005F5C38">
        <w:t xml:space="preserve"> to have a clear understanding of the assessment criteria. For instance, some responses</w:t>
      </w:r>
      <w:r w:rsidR="00055438">
        <w:t xml:space="preserve"> that did not score well</w:t>
      </w:r>
      <w:r w:rsidR="00224DEF" w:rsidRPr="005F5C38">
        <w:t xml:space="preserve"> expounded on information in the field without discussing methodology, results, key findings, and reflecting on limitations</w:t>
      </w:r>
      <w:r>
        <w:t>.</w:t>
      </w:r>
    </w:p>
    <w:p w14:paraId="577A9252" w14:textId="1BBDD2FB" w:rsidR="00393AFF" w:rsidRPr="009C604E" w:rsidRDefault="00AD62AC" w:rsidP="009C604E">
      <w:pPr>
        <w:pStyle w:val="VCAAbody"/>
      </w:pPr>
      <w:r w:rsidRPr="009C604E">
        <w:t xml:space="preserve">Although teachers are expected to guide and </w:t>
      </w:r>
      <w:r w:rsidR="00446884">
        <w:t>support</w:t>
      </w:r>
      <w:r w:rsidR="00446884" w:rsidRPr="009C604E">
        <w:t xml:space="preserve"> </w:t>
      </w:r>
      <w:r w:rsidRPr="009C604E">
        <w:t xml:space="preserve">the student over the course of their investigation (especially during the research question stage), it is important that students have ownership of their research and are able to direct their investigation and make decisions regarding their research question, literature and methodology. In some presentations, some students </w:t>
      </w:r>
      <w:r w:rsidR="007D301C">
        <w:t xml:space="preserve">may </w:t>
      </w:r>
      <w:r w:rsidR="0068087D">
        <w:t>ha</w:t>
      </w:r>
      <w:r w:rsidR="007D301C">
        <w:t>ve</w:t>
      </w:r>
      <w:r w:rsidR="0068087D">
        <w:t xml:space="preserve"> been so </w:t>
      </w:r>
      <w:r w:rsidRPr="009C604E">
        <w:rPr>
          <w:rStyle w:val="VCAAitalics"/>
        </w:rPr>
        <w:t>heavily</w:t>
      </w:r>
      <w:r w:rsidRPr="009C604E">
        <w:t xml:space="preserve"> guided by their teachers</w:t>
      </w:r>
      <w:r w:rsidR="0068087D">
        <w:t xml:space="preserve"> that they </w:t>
      </w:r>
      <w:r w:rsidRPr="009C604E">
        <w:t xml:space="preserve">often lacked detailed knowledge of their research field and struggled to respond to questions. </w:t>
      </w:r>
      <w:bookmarkEnd w:id="1"/>
    </w:p>
    <w:p w14:paraId="79526ABB" w14:textId="350B5BC3" w:rsidR="002164BB" w:rsidRDefault="002164BB" w:rsidP="00070A17">
      <w:pPr>
        <w:pStyle w:val="VCAAHeading2"/>
      </w:pPr>
      <w:r w:rsidRPr="002E77C5">
        <w:t>Advice for teachers and students</w:t>
      </w:r>
    </w:p>
    <w:p w14:paraId="1B9C79BB" w14:textId="63680107" w:rsidR="00AD62AC" w:rsidRPr="009C604E" w:rsidRDefault="00AD62AC" w:rsidP="009C604E">
      <w:pPr>
        <w:pStyle w:val="VCAAbody"/>
      </w:pPr>
      <w:r w:rsidRPr="009C604E">
        <w:t>Most students in 2021 thoroughly prepared their oral presentation and kept successfully to the 10</w:t>
      </w:r>
      <w:r w:rsidR="000D5AAD">
        <w:t>-</w:t>
      </w:r>
      <w:r w:rsidRPr="009C604E">
        <w:t>minute time limit for the first part of the presentation. Some students rush</w:t>
      </w:r>
      <w:r w:rsidR="000D5AAD">
        <w:t>ed</w:t>
      </w:r>
      <w:r w:rsidRPr="009C604E">
        <w:t xml:space="preserve"> to fit all their material in, making it, at times, difficult to follow. </w:t>
      </w:r>
    </w:p>
    <w:p w14:paraId="5CF6ABC9" w14:textId="2E16B160" w:rsidR="00AD62AC" w:rsidRPr="009C604E" w:rsidRDefault="00AD62AC" w:rsidP="00362FDC">
      <w:pPr>
        <w:pStyle w:val="VCAAbullet"/>
      </w:pPr>
      <w:r w:rsidRPr="009C604E">
        <w:t xml:space="preserve">Extended Investigation questions and methods must comply with responsible and ethical research guidelines, as outlined in the </w:t>
      </w:r>
      <w:r w:rsidR="000D5AAD" w:rsidRPr="009C604E">
        <w:rPr>
          <w:rStyle w:val="VCAAitalics"/>
        </w:rPr>
        <w:t>VCE Extended Investigation S</w:t>
      </w:r>
      <w:r w:rsidRPr="009C604E">
        <w:rPr>
          <w:rStyle w:val="VCAAitalics"/>
        </w:rPr>
        <w:t xml:space="preserve">tudy </w:t>
      </w:r>
      <w:r w:rsidR="000D5AAD" w:rsidRPr="009C604E">
        <w:rPr>
          <w:rStyle w:val="VCAAitalics"/>
        </w:rPr>
        <w:t>D</w:t>
      </w:r>
      <w:r w:rsidRPr="009C604E">
        <w:rPr>
          <w:rStyle w:val="VCAAitalics"/>
        </w:rPr>
        <w:t>esign</w:t>
      </w:r>
      <w:r w:rsidRPr="009C604E">
        <w:t xml:space="preserve">. </w:t>
      </w:r>
      <w:proofErr w:type="gramStart"/>
      <w:r w:rsidR="000D5AAD">
        <w:t>A</w:t>
      </w:r>
      <w:r w:rsidRPr="009C604E">
        <w:t xml:space="preserve"> number of</w:t>
      </w:r>
      <w:proofErr w:type="gramEnd"/>
      <w:r w:rsidRPr="009C604E">
        <w:t xml:space="preserve"> presentations </w:t>
      </w:r>
      <w:r w:rsidR="00D9133D">
        <w:t>s</w:t>
      </w:r>
      <w:r w:rsidRPr="009C604E">
        <w:t>hould have undergone a more rigorous review prior to commencement as students presented content or used language beyond that which is deemed appropriate for school students. </w:t>
      </w:r>
    </w:p>
    <w:p w14:paraId="7E292857" w14:textId="641C3A93" w:rsidR="00AD62AC" w:rsidRPr="009C604E" w:rsidRDefault="00AD62AC" w:rsidP="00362FDC">
      <w:pPr>
        <w:pStyle w:val="VCAAbullet"/>
      </w:pPr>
      <w:r w:rsidRPr="009C604E">
        <w:lastRenderedPageBreak/>
        <w:t>It is important that students are made aware of speech structure, signposting, language choices and presentation techniques. Whil</w:t>
      </w:r>
      <w:r w:rsidR="00D9133D">
        <w:t>e</w:t>
      </w:r>
      <w:r w:rsidRPr="009C604E">
        <w:t xml:space="preserve"> presentation style is not an assessed criteri</w:t>
      </w:r>
      <w:r w:rsidR="00185B28">
        <w:t>on</w:t>
      </w:r>
      <w:r w:rsidRPr="009C604E">
        <w:t>, students should be aware of the impact of speaking too quickly or without engagement with the audience.</w:t>
      </w:r>
    </w:p>
    <w:p w14:paraId="0BFD8825" w14:textId="5F1B064A" w:rsidR="00AD62AC" w:rsidRPr="009C604E" w:rsidRDefault="00AD62AC" w:rsidP="00362FDC">
      <w:pPr>
        <w:pStyle w:val="VCAAbullet"/>
      </w:pPr>
      <w:r w:rsidRPr="009C604E">
        <w:t>Teachers and students must understand the difference in purpose between the two components of the externally</w:t>
      </w:r>
      <w:r w:rsidR="00D9133D">
        <w:t xml:space="preserve"> </w:t>
      </w:r>
      <w:r w:rsidRPr="009C604E">
        <w:t>assessed task (</w:t>
      </w:r>
      <w:r w:rsidR="00617619">
        <w:t>w</w:t>
      </w:r>
      <w:r w:rsidRPr="009C604E">
        <w:t xml:space="preserve">ritten </w:t>
      </w:r>
      <w:r w:rsidR="00617619">
        <w:t>r</w:t>
      </w:r>
      <w:r w:rsidRPr="009C604E">
        <w:t xml:space="preserve">eport and </w:t>
      </w:r>
      <w:r w:rsidR="00617619">
        <w:t>o</w:t>
      </w:r>
      <w:r w:rsidRPr="009C604E">
        <w:t xml:space="preserve">ral </w:t>
      </w:r>
      <w:r w:rsidR="00617619">
        <w:t>p</w:t>
      </w:r>
      <w:r w:rsidRPr="009C604E">
        <w:t xml:space="preserve">resentation). Refer to the criteria and </w:t>
      </w:r>
      <w:r w:rsidR="00362FDC">
        <w:t>assessor</w:t>
      </w:r>
      <w:r w:rsidR="00362FDC" w:rsidRPr="009C604E">
        <w:t>s</w:t>
      </w:r>
      <w:r w:rsidR="00362FDC">
        <w:t>’</w:t>
      </w:r>
      <w:r w:rsidR="00362FDC" w:rsidRPr="009C604E">
        <w:t xml:space="preserve"> </w:t>
      </w:r>
      <w:r w:rsidRPr="009C604E">
        <w:t>reports to assist in determining the unique demands and components of each task.</w:t>
      </w:r>
    </w:p>
    <w:p w14:paraId="185CB4B5" w14:textId="0513336E" w:rsidR="00AD62AC" w:rsidRPr="009C604E" w:rsidRDefault="00AD62AC" w:rsidP="00362FDC">
      <w:pPr>
        <w:pStyle w:val="VCAAbullet"/>
      </w:pPr>
      <w:r w:rsidRPr="009C604E">
        <w:t xml:space="preserve">Students are encouraged to rehearse their oral presentations, including responding to questions and challenges. </w:t>
      </w:r>
      <w:r w:rsidR="00D9133D">
        <w:t xml:space="preserve">This </w:t>
      </w:r>
      <w:r w:rsidRPr="009C604E">
        <w:t>will help students show a deeper knowledge of the material and talk about it with ease.</w:t>
      </w:r>
    </w:p>
    <w:p w14:paraId="378D3F3F" w14:textId="5C387DEC" w:rsidR="00AD62AC" w:rsidRPr="009C604E" w:rsidRDefault="00D9133D" w:rsidP="00362FDC">
      <w:pPr>
        <w:pStyle w:val="VCAAbullet"/>
      </w:pPr>
      <w:r>
        <w:t>I</w:t>
      </w:r>
      <w:r w:rsidR="00AD62AC" w:rsidRPr="009C604E">
        <w:t xml:space="preserve">t is recommended that students save their presentations in PowerPoint format. </w:t>
      </w:r>
      <w:r w:rsidR="00A61035">
        <w:t xml:space="preserve">Presentations </w:t>
      </w:r>
      <w:r w:rsidR="00AD62AC" w:rsidRPr="009C604E">
        <w:t>saved as a PDF often did not display correctly on the screen.</w:t>
      </w:r>
    </w:p>
    <w:p w14:paraId="40C03645" w14:textId="78843B76" w:rsidR="00AD62AC" w:rsidRPr="009C604E" w:rsidRDefault="00AD62AC" w:rsidP="00362FDC">
      <w:pPr>
        <w:pStyle w:val="VCAAbullet"/>
      </w:pPr>
      <w:r w:rsidRPr="009C604E">
        <w:t>Students are reminded to remove all personal information (name, school</w:t>
      </w:r>
      <w:r w:rsidR="00362FDC">
        <w:t>, etc.</w:t>
      </w:r>
      <w:r w:rsidRPr="009C604E">
        <w:t>) from their presentation. In 2021 many students introduced themselves by name, referred directly to their school or had their name on their presentation.</w:t>
      </w:r>
    </w:p>
    <w:p w14:paraId="28EEBB80" w14:textId="7551945D" w:rsidR="00AD62AC" w:rsidRPr="009C604E" w:rsidRDefault="00AD62AC" w:rsidP="00362FDC">
      <w:pPr>
        <w:pStyle w:val="VCAAbullet"/>
      </w:pPr>
      <w:r w:rsidRPr="009C604E">
        <w:t>Students generally used cue cards effectively, however</w:t>
      </w:r>
      <w:r w:rsidR="00617619">
        <w:t>,</w:t>
      </w:r>
      <w:r w:rsidRPr="009C604E">
        <w:t xml:space="preserve"> some simply read a transcribed version of their written report. Students are encouraged to use dot points or their visual presentation as prompts.</w:t>
      </w:r>
    </w:p>
    <w:p w14:paraId="699BED72" w14:textId="77777777" w:rsidR="00AD62AC" w:rsidRPr="009C604E" w:rsidRDefault="00AD62AC" w:rsidP="00362FDC">
      <w:pPr>
        <w:pStyle w:val="VCAAbullet"/>
      </w:pPr>
      <w:r w:rsidRPr="009C604E">
        <w:t>Students are advised to read more widely and use the research and theory actively within their research and presentations.</w:t>
      </w:r>
    </w:p>
    <w:p w14:paraId="1DF1275A" w14:textId="7E43B746" w:rsidR="00AD62AC" w:rsidRPr="009C604E" w:rsidRDefault="00AD62AC" w:rsidP="00362FDC">
      <w:pPr>
        <w:pStyle w:val="VCAAbullet"/>
      </w:pPr>
      <w:r w:rsidRPr="009C604E">
        <w:t xml:space="preserve">Students </w:t>
      </w:r>
      <w:r w:rsidR="003D3975">
        <w:t>are</w:t>
      </w:r>
      <w:r w:rsidRPr="009C604E">
        <w:t xml:space="preserve"> reminded not to leave their project to the last minute but to be methodical and begin their project in a timely fashion so there is time for effective data collection.</w:t>
      </w:r>
    </w:p>
    <w:p w14:paraId="653D424A" w14:textId="77777777" w:rsidR="00B62480" w:rsidRDefault="00024018" w:rsidP="00350651">
      <w:pPr>
        <w:pStyle w:val="VCAAHeading1"/>
      </w:pPr>
      <w:r>
        <w:t>Specific information</w:t>
      </w:r>
    </w:p>
    <w:p w14:paraId="11E54B60" w14:textId="17F9963D" w:rsidR="00271CED" w:rsidRDefault="00271CED" w:rsidP="002C6F99">
      <w:pPr>
        <w:pStyle w:val="VCAAbody"/>
      </w:pPr>
      <w:r>
        <w:t xml:space="preserve">The statistics in this report may be subject to rounding resulting in a total more or less than 100 per cent. </w:t>
      </w:r>
    </w:p>
    <w:p w14:paraId="3BC5C610" w14:textId="24894B76" w:rsidR="002164BB" w:rsidRPr="00070A17" w:rsidRDefault="002164BB" w:rsidP="002164BB">
      <w:pPr>
        <w:pStyle w:val="VCAAbody"/>
      </w:pPr>
      <w:r w:rsidRPr="00D9288B">
        <w:t>Each oral presentation is assessed individually against the criteria. Comments regarding performance levels as outlined below are for illustrative purposes only and do not constitute all aspects of student work that may contribute to achievement.</w:t>
      </w:r>
    </w:p>
    <w:p w14:paraId="60071FC0" w14:textId="62B56FC4" w:rsidR="002164BB" w:rsidRDefault="002164BB" w:rsidP="00070A17">
      <w:pPr>
        <w:pStyle w:val="VCAAHeading2"/>
      </w:pPr>
      <w:r w:rsidRPr="00647AE4">
        <w:t xml:space="preserve">Criterion 1 </w:t>
      </w:r>
      <w:r w:rsidR="006F0687">
        <w:t>–</w:t>
      </w:r>
      <w:r w:rsidR="0097175E" w:rsidRPr="00647AE4">
        <w:t xml:space="preserve"> </w:t>
      </w:r>
      <w:r w:rsidRPr="00647AE4">
        <w:t>Knowledge and understanding of the research area</w:t>
      </w:r>
    </w:p>
    <w:tbl>
      <w:tblPr>
        <w:tblStyle w:val="VCAATableClosed"/>
        <w:tblW w:w="0" w:type="auto"/>
        <w:tblLayout w:type="fixed"/>
        <w:tblLook w:val="04A0" w:firstRow="1" w:lastRow="0" w:firstColumn="1" w:lastColumn="0" w:noHBand="0" w:noVBand="1"/>
        <w:tblCaption w:val="Table one"/>
        <w:tblDescription w:val="VCAA closed table style"/>
      </w:tblPr>
      <w:tblGrid>
        <w:gridCol w:w="894"/>
        <w:gridCol w:w="576"/>
        <w:gridCol w:w="576"/>
        <w:gridCol w:w="576"/>
        <w:gridCol w:w="576"/>
        <w:gridCol w:w="576"/>
        <w:gridCol w:w="576"/>
        <w:gridCol w:w="576"/>
        <w:gridCol w:w="576"/>
        <w:gridCol w:w="576"/>
        <w:gridCol w:w="576"/>
        <w:gridCol w:w="576"/>
        <w:gridCol w:w="864"/>
      </w:tblGrid>
      <w:tr w:rsidR="002D046F" w:rsidRPr="00B13D3B" w14:paraId="5C4049A3" w14:textId="77777777" w:rsidTr="005161A0">
        <w:trPr>
          <w:cnfStyle w:val="100000000000" w:firstRow="1" w:lastRow="0" w:firstColumn="0" w:lastColumn="0" w:oddVBand="0" w:evenVBand="0" w:oddHBand="0" w:evenHBand="0" w:firstRowFirstColumn="0" w:firstRowLastColumn="0" w:lastRowFirstColumn="0" w:lastRowLastColumn="0"/>
        </w:trPr>
        <w:tc>
          <w:tcPr>
            <w:tcW w:w="894" w:type="dxa"/>
          </w:tcPr>
          <w:p w14:paraId="3B0D1E9F" w14:textId="77777777" w:rsidR="00D800CD" w:rsidRPr="00AF3F1C" w:rsidRDefault="00D800CD" w:rsidP="00EC2D37">
            <w:pPr>
              <w:pStyle w:val="VCAAtablecondensedheading"/>
              <w:rPr>
                <w:color w:val="F2F2F2" w:themeColor="background1" w:themeShade="F2"/>
              </w:rPr>
            </w:pPr>
            <w:r>
              <w:rPr>
                <w:color w:val="F2F2F2" w:themeColor="background1" w:themeShade="F2"/>
              </w:rPr>
              <w:t>Marks</w:t>
            </w:r>
            <w:r w:rsidRPr="00AF3F1C">
              <w:rPr>
                <w:color w:val="F2F2F2" w:themeColor="background1" w:themeShade="F2"/>
              </w:rPr>
              <w:t xml:space="preserve"> </w:t>
            </w:r>
          </w:p>
        </w:tc>
        <w:tc>
          <w:tcPr>
            <w:tcW w:w="576" w:type="dxa"/>
          </w:tcPr>
          <w:p w14:paraId="015C8991" w14:textId="77777777" w:rsidR="00D800CD" w:rsidRPr="00AF3F1C" w:rsidRDefault="00D800CD" w:rsidP="00EC2D37">
            <w:pPr>
              <w:pStyle w:val="VCAAtablecondensedheading"/>
              <w:rPr>
                <w:color w:val="F2F2F2" w:themeColor="background1" w:themeShade="F2"/>
              </w:rPr>
            </w:pPr>
            <w:r>
              <w:rPr>
                <w:color w:val="F2F2F2" w:themeColor="background1" w:themeShade="F2"/>
              </w:rPr>
              <w:t>0</w:t>
            </w:r>
          </w:p>
        </w:tc>
        <w:tc>
          <w:tcPr>
            <w:tcW w:w="576" w:type="dxa"/>
          </w:tcPr>
          <w:p w14:paraId="56161DF2" w14:textId="77777777" w:rsidR="00D800CD" w:rsidRPr="00AF3F1C" w:rsidRDefault="00D800CD" w:rsidP="00EC2D37">
            <w:pPr>
              <w:pStyle w:val="VCAAtablecondensedheading"/>
              <w:rPr>
                <w:color w:val="F2F2F2" w:themeColor="background1" w:themeShade="F2"/>
              </w:rPr>
            </w:pPr>
            <w:r>
              <w:rPr>
                <w:color w:val="F2F2F2" w:themeColor="background1" w:themeShade="F2"/>
              </w:rPr>
              <w:t>1</w:t>
            </w:r>
          </w:p>
        </w:tc>
        <w:tc>
          <w:tcPr>
            <w:tcW w:w="576" w:type="dxa"/>
          </w:tcPr>
          <w:p w14:paraId="2987B571" w14:textId="77777777" w:rsidR="00D800CD" w:rsidRDefault="00D800CD" w:rsidP="00EC2D37">
            <w:pPr>
              <w:pStyle w:val="VCAAtablecondensedheading"/>
              <w:rPr>
                <w:color w:val="F2F2F2" w:themeColor="background1" w:themeShade="F2"/>
              </w:rPr>
            </w:pPr>
            <w:r>
              <w:rPr>
                <w:color w:val="F2F2F2" w:themeColor="background1" w:themeShade="F2"/>
              </w:rPr>
              <w:t>2</w:t>
            </w:r>
          </w:p>
        </w:tc>
        <w:tc>
          <w:tcPr>
            <w:tcW w:w="576" w:type="dxa"/>
          </w:tcPr>
          <w:p w14:paraId="56487DE6" w14:textId="77777777" w:rsidR="00D800CD" w:rsidRDefault="00D800CD" w:rsidP="00EC2D37">
            <w:pPr>
              <w:pStyle w:val="VCAAtablecondensedheading"/>
              <w:rPr>
                <w:color w:val="F2F2F2" w:themeColor="background1" w:themeShade="F2"/>
              </w:rPr>
            </w:pPr>
            <w:r>
              <w:rPr>
                <w:color w:val="F2F2F2" w:themeColor="background1" w:themeShade="F2"/>
              </w:rPr>
              <w:t>3</w:t>
            </w:r>
          </w:p>
        </w:tc>
        <w:tc>
          <w:tcPr>
            <w:tcW w:w="576" w:type="dxa"/>
          </w:tcPr>
          <w:p w14:paraId="3612D631" w14:textId="77777777" w:rsidR="00D800CD" w:rsidRDefault="00D800CD" w:rsidP="00EC2D37">
            <w:pPr>
              <w:pStyle w:val="VCAAtablecondensedheading"/>
              <w:rPr>
                <w:color w:val="F2F2F2" w:themeColor="background1" w:themeShade="F2"/>
              </w:rPr>
            </w:pPr>
            <w:r>
              <w:rPr>
                <w:color w:val="F2F2F2" w:themeColor="background1" w:themeShade="F2"/>
              </w:rPr>
              <w:t>4</w:t>
            </w:r>
          </w:p>
        </w:tc>
        <w:tc>
          <w:tcPr>
            <w:tcW w:w="576" w:type="dxa"/>
          </w:tcPr>
          <w:p w14:paraId="0BAFF663" w14:textId="77777777" w:rsidR="00D800CD" w:rsidRDefault="00D800CD" w:rsidP="00EC2D37">
            <w:pPr>
              <w:pStyle w:val="VCAAtablecondensedheading"/>
              <w:rPr>
                <w:color w:val="F2F2F2" w:themeColor="background1" w:themeShade="F2"/>
              </w:rPr>
            </w:pPr>
            <w:r>
              <w:rPr>
                <w:color w:val="F2F2F2" w:themeColor="background1" w:themeShade="F2"/>
              </w:rPr>
              <w:t>5</w:t>
            </w:r>
          </w:p>
        </w:tc>
        <w:tc>
          <w:tcPr>
            <w:tcW w:w="576" w:type="dxa"/>
          </w:tcPr>
          <w:p w14:paraId="788BEC9C" w14:textId="77777777" w:rsidR="00D800CD" w:rsidRDefault="00D800CD" w:rsidP="00EC2D37">
            <w:pPr>
              <w:pStyle w:val="VCAAtablecondensedheading"/>
              <w:rPr>
                <w:color w:val="F2F2F2" w:themeColor="background1" w:themeShade="F2"/>
              </w:rPr>
            </w:pPr>
            <w:r>
              <w:rPr>
                <w:color w:val="F2F2F2" w:themeColor="background1" w:themeShade="F2"/>
              </w:rPr>
              <w:t>6</w:t>
            </w:r>
          </w:p>
        </w:tc>
        <w:tc>
          <w:tcPr>
            <w:tcW w:w="576" w:type="dxa"/>
          </w:tcPr>
          <w:p w14:paraId="2B0102CD" w14:textId="77777777" w:rsidR="00D800CD" w:rsidRDefault="00D800CD" w:rsidP="00EC2D37">
            <w:pPr>
              <w:pStyle w:val="VCAAtablecondensedheading"/>
              <w:rPr>
                <w:color w:val="F2F2F2" w:themeColor="background1" w:themeShade="F2"/>
              </w:rPr>
            </w:pPr>
            <w:r>
              <w:rPr>
                <w:color w:val="F2F2F2" w:themeColor="background1" w:themeShade="F2"/>
              </w:rPr>
              <w:t>7</w:t>
            </w:r>
          </w:p>
        </w:tc>
        <w:tc>
          <w:tcPr>
            <w:tcW w:w="576" w:type="dxa"/>
          </w:tcPr>
          <w:p w14:paraId="60D53C20" w14:textId="77777777" w:rsidR="00D800CD" w:rsidRDefault="00D800CD" w:rsidP="00EC2D37">
            <w:pPr>
              <w:pStyle w:val="VCAAtablecondensedheading"/>
              <w:rPr>
                <w:color w:val="F2F2F2" w:themeColor="background1" w:themeShade="F2"/>
              </w:rPr>
            </w:pPr>
            <w:r>
              <w:rPr>
                <w:color w:val="F2F2F2" w:themeColor="background1" w:themeShade="F2"/>
              </w:rPr>
              <w:t>8</w:t>
            </w:r>
          </w:p>
        </w:tc>
        <w:tc>
          <w:tcPr>
            <w:tcW w:w="576" w:type="dxa"/>
          </w:tcPr>
          <w:p w14:paraId="6F7086AB" w14:textId="77777777" w:rsidR="00D800CD" w:rsidRDefault="00D800CD" w:rsidP="00EC2D37">
            <w:pPr>
              <w:pStyle w:val="VCAAtablecondensedheading"/>
              <w:rPr>
                <w:color w:val="F2F2F2" w:themeColor="background1" w:themeShade="F2"/>
              </w:rPr>
            </w:pPr>
            <w:r>
              <w:rPr>
                <w:color w:val="F2F2F2" w:themeColor="background1" w:themeShade="F2"/>
              </w:rPr>
              <w:t>9</w:t>
            </w:r>
          </w:p>
        </w:tc>
        <w:tc>
          <w:tcPr>
            <w:tcW w:w="576" w:type="dxa"/>
          </w:tcPr>
          <w:p w14:paraId="4AEB2F4E" w14:textId="77777777" w:rsidR="00D800CD" w:rsidRDefault="00D800CD" w:rsidP="00EC2D37">
            <w:pPr>
              <w:pStyle w:val="VCAAtablecondensedheading"/>
              <w:rPr>
                <w:color w:val="F2F2F2" w:themeColor="background1" w:themeShade="F2"/>
              </w:rPr>
            </w:pPr>
            <w:r>
              <w:rPr>
                <w:color w:val="F2F2F2" w:themeColor="background1" w:themeShade="F2"/>
              </w:rPr>
              <w:t>10</w:t>
            </w:r>
          </w:p>
        </w:tc>
        <w:tc>
          <w:tcPr>
            <w:tcW w:w="864" w:type="dxa"/>
          </w:tcPr>
          <w:p w14:paraId="3B828D71" w14:textId="77777777" w:rsidR="00D800CD" w:rsidRDefault="00D800CD" w:rsidP="00EC2D37">
            <w:pPr>
              <w:pStyle w:val="VCAAtablecondensedheading"/>
              <w:rPr>
                <w:color w:val="F2F2F2" w:themeColor="background1" w:themeShade="F2"/>
              </w:rPr>
            </w:pPr>
            <w:r>
              <w:rPr>
                <w:color w:val="F2F2F2" w:themeColor="background1" w:themeShade="F2"/>
              </w:rPr>
              <w:t>Average</w:t>
            </w:r>
          </w:p>
        </w:tc>
      </w:tr>
      <w:tr w:rsidR="002D046F" w14:paraId="7BA64720" w14:textId="77777777" w:rsidTr="005161A0">
        <w:tc>
          <w:tcPr>
            <w:tcW w:w="894" w:type="dxa"/>
          </w:tcPr>
          <w:p w14:paraId="2D3C512B" w14:textId="7BB134A0" w:rsidR="00D800CD" w:rsidRDefault="007C16B0" w:rsidP="00EC2D37">
            <w:pPr>
              <w:pStyle w:val="VCAAtablecondensed"/>
            </w:pPr>
            <w:r>
              <w:t>%</w:t>
            </w:r>
          </w:p>
        </w:tc>
        <w:tc>
          <w:tcPr>
            <w:tcW w:w="576" w:type="dxa"/>
          </w:tcPr>
          <w:p w14:paraId="7E02AAE5" w14:textId="132D8812" w:rsidR="00D800CD" w:rsidRDefault="007C16B0" w:rsidP="00EC2D37">
            <w:pPr>
              <w:pStyle w:val="VCAAtablecondensed"/>
            </w:pPr>
            <w:r>
              <w:t>0</w:t>
            </w:r>
          </w:p>
        </w:tc>
        <w:tc>
          <w:tcPr>
            <w:tcW w:w="576" w:type="dxa"/>
          </w:tcPr>
          <w:p w14:paraId="47630FF2" w14:textId="4BB74DE5" w:rsidR="00D800CD" w:rsidRDefault="007C16B0" w:rsidP="00EC2D37">
            <w:pPr>
              <w:pStyle w:val="VCAAtablecondensed"/>
            </w:pPr>
            <w:r>
              <w:t>0</w:t>
            </w:r>
          </w:p>
        </w:tc>
        <w:tc>
          <w:tcPr>
            <w:tcW w:w="576" w:type="dxa"/>
          </w:tcPr>
          <w:p w14:paraId="3E67A163" w14:textId="51F8D2E9" w:rsidR="00D800CD" w:rsidRDefault="002D046F" w:rsidP="00EC2D37">
            <w:pPr>
              <w:pStyle w:val="VCAAtablecondensed"/>
            </w:pPr>
            <w:r>
              <w:t>1</w:t>
            </w:r>
          </w:p>
        </w:tc>
        <w:tc>
          <w:tcPr>
            <w:tcW w:w="576" w:type="dxa"/>
          </w:tcPr>
          <w:p w14:paraId="28A73114" w14:textId="23656EE0" w:rsidR="00D800CD" w:rsidRDefault="007C16B0" w:rsidP="00EC2D37">
            <w:pPr>
              <w:pStyle w:val="VCAAtablecondensed"/>
            </w:pPr>
            <w:r>
              <w:t>6</w:t>
            </w:r>
          </w:p>
        </w:tc>
        <w:tc>
          <w:tcPr>
            <w:tcW w:w="576" w:type="dxa"/>
          </w:tcPr>
          <w:p w14:paraId="31128523" w14:textId="378FF099" w:rsidR="00D800CD" w:rsidRDefault="007C16B0" w:rsidP="00EC2D37">
            <w:pPr>
              <w:pStyle w:val="VCAAtablecondensed"/>
            </w:pPr>
            <w:r>
              <w:t>1</w:t>
            </w:r>
            <w:r w:rsidR="002D046F">
              <w:t>1</w:t>
            </w:r>
          </w:p>
        </w:tc>
        <w:tc>
          <w:tcPr>
            <w:tcW w:w="576" w:type="dxa"/>
          </w:tcPr>
          <w:p w14:paraId="2E8A6463" w14:textId="64670528" w:rsidR="00D800CD" w:rsidRDefault="007C16B0" w:rsidP="00EC2D37">
            <w:pPr>
              <w:pStyle w:val="VCAAtablecondensed"/>
            </w:pPr>
            <w:r>
              <w:t>12</w:t>
            </w:r>
          </w:p>
        </w:tc>
        <w:tc>
          <w:tcPr>
            <w:tcW w:w="576" w:type="dxa"/>
          </w:tcPr>
          <w:p w14:paraId="0E39E72F" w14:textId="3E38E5ED" w:rsidR="00D800CD" w:rsidRDefault="007C16B0" w:rsidP="00EC2D37">
            <w:pPr>
              <w:pStyle w:val="VCAAtablecondensed"/>
            </w:pPr>
            <w:r>
              <w:t>1</w:t>
            </w:r>
            <w:r w:rsidR="002D046F">
              <w:t>9</w:t>
            </w:r>
          </w:p>
        </w:tc>
        <w:tc>
          <w:tcPr>
            <w:tcW w:w="576" w:type="dxa"/>
          </w:tcPr>
          <w:p w14:paraId="5E66B8E9" w14:textId="0805D1A0" w:rsidR="00D800CD" w:rsidRDefault="007C16B0" w:rsidP="00EC2D37">
            <w:pPr>
              <w:pStyle w:val="VCAAtablecondensed"/>
            </w:pPr>
            <w:r>
              <w:t>1</w:t>
            </w:r>
            <w:r w:rsidR="002D046F">
              <w:t>8</w:t>
            </w:r>
          </w:p>
        </w:tc>
        <w:tc>
          <w:tcPr>
            <w:tcW w:w="576" w:type="dxa"/>
          </w:tcPr>
          <w:p w14:paraId="25D09D62" w14:textId="4C70C506" w:rsidR="00D800CD" w:rsidRDefault="007C16B0" w:rsidP="00EC2D37">
            <w:pPr>
              <w:pStyle w:val="VCAAtablecondensed"/>
            </w:pPr>
            <w:r>
              <w:t>18</w:t>
            </w:r>
          </w:p>
        </w:tc>
        <w:tc>
          <w:tcPr>
            <w:tcW w:w="576" w:type="dxa"/>
          </w:tcPr>
          <w:p w14:paraId="4F32912B" w14:textId="3EA61C42" w:rsidR="00D800CD" w:rsidRDefault="002D046F" w:rsidP="00EC2D37">
            <w:pPr>
              <w:pStyle w:val="VCAAtablecondensed"/>
            </w:pPr>
            <w:r>
              <w:t>9</w:t>
            </w:r>
          </w:p>
        </w:tc>
        <w:tc>
          <w:tcPr>
            <w:tcW w:w="576" w:type="dxa"/>
          </w:tcPr>
          <w:p w14:paraId="61F7ECEB" w14:textId="09D6ECF6" w:rsidR="00D800CD" w:rsidRDefault="002D046F" w:rsidP="00EC2D37">
            <w:pPr>
              <w:pStyle w:val="VCAAtablecondensed"/>
            </w:pPr>
            <w:r>
              <w:t>7</w:t>
            </w:r>
          </w:p>
        </w:tc>
        <w:tc>
          <w:tcPr>
            <w:tcW w:w="864" w:type="dxa"/>
          </w:tcPr>
          <w:p w14:paraId="7F48EC74" w14:textId="3A61CF5A" w:rsidR="00D800CD" w:rsidRDefault="007C16B0" w:rsidP="00EC2D37">
            <w:pPr>
              <w:pStyle w:val="VCAAtablecondensed"/>
            </w:pPr>
            <w:r>
              <w:t>6.5</w:t>
            </w:r>
          </w:p>
        </w:tc>
      </w:tr>
    </w:tbl>
    <w:p w14:paraId="4C8E835C" w14:textId="4236EECA" w:rsidR="00AD62AC" w:rsidRPr="009C604E" w:rsidRDefault="00AD62AC" w:rsidP="009C604E">
      <w:pPr>
        <w:pStyle w:val="VCAAbody"/>
      </w:pPr>
      <w:r w:rsidRPr="009C604E">
        <w:t>In order to demonstrate knowledge and understanding of their research area, students are expected to engage with the full detail of their investigation. This includes the focus and significance of their research area and question, background research in the field a</w:t>
      </w:r>
      <w:r w:rsidR="007C16B0">
        <w:t>nd</w:t>
      </w:r>
      <w:r w:rsidRPr="009C604E">
        <w:t xml:space="preserve"> their chosen data collection method(s). Both the presentation and questions</w:t>
      </w:r>
      <w:r w:rsidR="002A153E">
        <w:t xml:space="preserve"> and </w:t>
      </w:r>
      <w:r w:rsidRPr="009C604E">
        <w:t>challenges sections are used to assess against this criterion.</w:t>
      </w:r>
    </w:p>
    <w:p w14:paraId="76A6389D" w14:textId="06036F80" w:rsidR="00AD62AC" w:rsidRPr="009C604E" w:rsidRDefault="00AD62AC" w:rsidP="009C604E">
      <w:pPr>
        <w:pStyle w:val="VCAAbody"/>
      </w:pPr>
      <w:r w:rsidRPr="009C604E">
        <w:t xml:space="preserve">It is important that the methodology </w:t>
      </w:r>
      <w:r w:rsidR="00347DAC">
        <w:t xml:space="preserve">be </w:t>
      </w:r>
      <w:r w:rsidR="002A153E">
        <w:t xml:space="preserve">well </w:t>
      </w:r>
      <w:r w:rsidR="00347DAC">
        <w:t>understood</w:t>
      </w:r>
      <w:r w:rsidR="009175A6">
        <w:t xml:space="preserve"> –</w:t>
      </w:r>
      <w:r w:rsidRPr="009C604E">
        <w:t xml:space="preserve"> </w:t>
      </w:r>
      <w:r w:rsidR="00166ABF">
        <w:t>for example,</w:t>
      </w:r>
      <w:r w:rsidRPr="009C604E">
        <w:t xml:space="preserve"> what is convenience sampling</w:t>
      </w:r>
      <w:r w:rsidR="002A153E">
        <w:t xml:space="preserve"> </w:t>
      </w:r>
      <w:r w:rsidRPr="009C604E">
        <w:t>/</w:t>
      </w:r>
      <w:r w:rsidR="002A153E">
        <w:t xml:space="preserve"> </w:t>
      </w:r>
      <w:r w:rsidRPr="009C604E">
        <w:t>mixed method</w:t>
      </w:r>
      <w:r w:rsidR="002A153E">
        <w:t xml:space="preserve"> </w:t>
      </w:r>
      <w:r w:rsidRPr="009C604E">
        <w:t>/</w:t>
      </w:r>
      <w:r w:rsidR="002A153E">
        <w:t xml:space="preserve"> </w:t>
      </w:r>
      <w:r w:rsidRPr="009C604E">
        <w:t>semi structured interview</w:t>
      </w:r>
      <w:r w:rsidR="002A153E">
        <w:t xml:space="preserve"> </w:t>
      </w:r>
      <w:r w:rsidRPr="009C604E">
        <w:t>/</w:t>
      </w:r>
      <w:r w:rsidR="002A153E">
        <w:t xml:space="preserve"> </w:t>
      </w:r>
      <w:r w:rsidRPr="009C604E">
        <w:t xml:space="preserve">focus group </w:t>
      </w:r>
      <w:r w:rsidR="009175A6">
        <w:t>–</w:t>
      </w:r>
      <w:r w:rsidRPr="009C604E">
        <w:t xml:space="preserve"> and why one is a better fit than another. </w:t>
      </w:r>
    </w:p>
    <w:p w14:paraId="0A14065C" w14:textId="0CFEBBBF" w:rsidR="00AD62AC" w:rsidRPr="009C604E" w:rsidRDefault="003D2F15" w:rsidP="009C604E">
      <w:pPr>
        <w:pStyle w:val="VCAAbody"/>
      </w:pPr>
      <w:r>
        <w:t xml:space="preserve">Presentations that scored highly </w:t>
      </w:r>
      <w:r w:rsidR="00AD62AC" w:rsidRPr="009C604E">
        <w:t>adopted a serious, systematic and academic approach to their investigation. The</w:t>
      </w:r>
      <w:r w:rsidR="002A153E">
        <w:t>se</w:t>
      </w:r>
      <w:r w:rsidR="007C16B0">
        <w:t xml:space="preserve"> students</w:t>
      </w:r>
      <w:r w:rsidR="00AD62AC" w:rsidRPr="009C604E">
        <w:t xml:space="preserve"> engaged with specific researchers or research fields, identified ideas or theories to work with and then deployed appropriate methodologies relevant to the research area. </w:t>
      </w:r>
      <w:r w:rsidR="00841BBF">
        <w:t>They</w:t>
      </w:r>
      <w:r w:rsidR="00AD62AC" w:rsidRPr="009C604E">
        <w:t xml:space="preserve"> displayed a deep engagement with the literature and an understanding of the relationships between key concepts</w:t>
      </w:r>
      <w:r w:rsidR="00841BBF">
        <w:t>,</w:t>
      </w:r>
      <w:r w:rsidR="00AD62AC" w:rsidRPr="009C604E">
        <w:t xml:space="preserve"> and clearly identified areas of convergence and divergence in the literature. Although most students embed</w:t>
      </w:r>
      <w:r w:rsidR="00253997">
        <w:t>ded</w:t>
      </w:r>
      <w:r w:rsidR="00AD62AC" w:rsidRPr="009C604E">
        <w:t xml:space="preserve"> references throughout their presentation, students who were able to discuss in detail the methodological approaches taken by other researchers, the strengths and limitations of other studies as well as what the literature actually found, generally </w:t>
      </w:r>
      <w:r w:rsidR="00F33BF8">
        <w:t>scored more highly</w:t>
      </w:r>
      <w:r w:rsidR="00AD62AC" w:rsidRPr="009C604E">
        <w:t>. </w:t>
      </w:r>
    </w:p>
    <w:p w14:paraId="10541499" w14:textId="60683933" w:rsidR="00AD62AC" w:rsidRPr="009C604E" w:rsidRDefault="00AD62AC" w:rsidP="009C604E">
      <w:pPr>
        <w:pStyle w:val="VCAAbody"/>
      </w:pPr>
      <w:r w:rsidRPr="009C604E">
        <w:lastRenderedPageBreak/>
        <w:t>Students who found a discordance or debate within the existing literature</w:t>
      </w:r>
      <w:r w:rsidR="00657A51">
        <w:t xml:space="preserve">, and understood </w:t>
      </w:r>
      <w:r w:rsidR="00657A51" w:rsidRPr="00EC5B82">
        <w:t xml:space="preserve">that a ‘debate’ does not necessarily mean a ‘gap’ that has never been explored before, </w:t>
      </w:r>
      <w:r w:rsidRPr="009C604E">
        <w:t>seemed better able to justify the entry point and purpose of their study. As there is not enough time in the oral presentation to present every piece of research</w:t>
      </w:r>
      <w:r w:rsidR="00657A51">
        <w:t>,</w:t>
      </w:r>
      <w:r w:rsidRPr="009C604E">
        <w:t xml:space="preserve"> high</w:t>
      </w:r>
      <w:r w:rsidR="00657A51">
        <w:t>-</w:t>
      </w:r>
      <w:r w:rsidRPr="009C604E">
        <w:t xml:space="preserve">scoring </w:t>
      </w:r>
      <w:r w:rsidR="00657A51">
        <w:t>presentations</w:t>
      </w:r>
      <w:r w:rsidRPr="009C604E">
        <w:t xml:space="preserve"> selected key works to discuss (linked briefly and meaningfully to others) and drew out the key ideas and arguments relevant to their topic and investigation.</w:t>
      </w:r>
    </w:p>
    <w:p w14:paraId="12C51594" w14:textId="059C361B" w:rsidR="00AD62AC" w:rsidRPr="009C604E" w:rsidRDefault="00AD62AC" w:rsidP="009C604E">
      <w:pPr>
        <w:pStyle w:val="VCAAbody"/>
      </w:pPr>
      <w:r w:rsidRPr="009C604E">
        <w:t>High-scoring presentations demonstrate</w:t>
      </w:r>
      <w:r w:rsidR="00253997">
        <w:t>d</w:t>
      </w:r>
      <w:r w:rsidRPr="009C604E">
        <w:t xml:space="preserve"> how their selected data collection method enabled them to collect data that would respond to the specific demands of their research question. Many students </w:t>
      </w:r>
      <w:proofErr w:type="spellStart"/>
      <w:r w:rsidRPr="009C604E">
        <w:t>utilised</w:t>
      </w:r>
      <w:proofErr w:type="spellEnd"/>
      <w:r w:rsidRPr="009C604E">
        <w:t xml:space="preserve"> ‘systematic literature reviews’ and had explicit inclusion/exclusion criteria and a proven framework to guide their exploration. The</w:t>
      </w:r>
      <w:r w:rsidR="0015140C">
        <w:t>y</w:t>
      </w:r>
      <w:r w:rsidRPr="009C604E">
        <w:t xml:space="preserve"> generally had </w:t>
      </w:r>
      <w:r w:rsidR="003E1686">
        <w:t>very good</w:t>
      </w:r>
      <w:r w:rsidRPr="009C604E">
        <w:t xml:space="preserve"> processes for coding and </w:t>
      </w:r>
      <w:proofErr w:type="spellStart"/>
      <w:r w:rsidRPr="009C604E">
        <w:t>analysing</w:t>
      </w:r>
      <w:proofErr w:type="spellEnd"/>
      <w:r w:rsidRPr="009C604E">
        <w:t xml:space="preserve"> their data. </w:t>
      </w:r>
    </w:p>
    <w:p w14:paraId="0FAAD091" w14:textId="34D2B356" w:rsidR="00AD62AC" w:rsidRPr="009C604E" w:rsidRDefault="0015140C" w:rsidP="009C604E">
      <w:pPr>
        <w:pStyle w:val="VCAAbody"/>
      </w:pPr>
      <w:r>
        <w:t>O</w:t>
      </w:r>
      <w:r w:rsidR="00AD62AC" w:rsidRPr="009C604E">
        <w:t>ther</w:t>
      </w:r>
      <w:r>
        <w:t xml:space="preserve"> students used </w:t>
      </w:r>
      <w:r w:rsidR="00AD62AC" w:rsidRPr="009C604E">
        <w:t>research methods such as experiments, interviews and surveys. High</w:t>
      </w:r>
      <w:r w:rsidR="002C4732">
        <w:t>-</w:t>
      </w:r>
      <w:r w:rsidR="00AD62AC" w:rsidRPr="009C604E">
        <w:t xml:space="preserve">scoring </w:t>
      </w:r>
      <w:r w:rsidR="002C4732">
        <w:t>presentations</w:t>
      </w:r>
      <w:r w:rsidR="002C4732" w:rsidRPr="009C604E">
        <w:t xml:space="preserve"> </w:t>
      </w:r>
      <w:r w:rsidR="00AD62AC" w:rsidRPr="009C604E">
        <w:t>clearly articulate</w:t>
      </w:r>
      <w:r w:rsidR="002C4732">
        <w:t>d</w:t>
      </w:r>
      <w:r w:rsidR="00AD62AC" w:rsidRPr="009C604E">
        <w:t xml:space="preserve"> why their chosen methodology suited their research question. Many employed control groups and took a true ‘mixed-methods’ approach</w:t>
      </w:r>
      <w:r w:rsidR="007461E1">
        <w:t>,</w:t>
      </w:r>
      <w:r w:rsidR="00AD62AC" w:rsidRPr="009C604E">
        <w:t xml:space="preserve"> which they defend</w:t>
      </w:r>
      <w:r w:rsidR="008F510F">
        <w:t>ed</w:t>
      </w:r>
      <w:r w:rsidR="00AD62AC" w:rsidRPr="009C604E">
        <w:t xml:space="preserve"> succinctly. They explain</w:t>
      </w:r>
      <w:r w:rsidR="002C4732">
        <w:t>ed</w:t>
      </w:r>
      <w:r w:rsidR="00AD62AC" w:rsidRPr="009C604E">
        <w:t xml:space="preserve"> how the various elements of their design fitted together to help them answer their research question.</w:t>
      </w:r>
    </w:p>
    <w:p w14:paraId="2A0661D1" w14:textId="656D92AA" w:rsidR="00AD62AC" w:rsidRPr="009C604E" w:rsidRDefault="002C4732" w:rsidP="009C604E">
      <w:pPr>
        <w:pStyle w:val="VCAAbody"/>
      </w:pPr>
      <w:r>
        <w:t>Pres</w:t>
      </w:r>
      <w:r w:rsidR="009312BA">
        <w:t>e</w:t>
      </w:r>
      <w:r>
        <w:t>ntations</w:t>
      </w:r>
      <w:r w:rsidR="00AD62AC" w:rsidRPr="009C604E">
        <w:t xml:space="preserve"> </w:t>
      </w:r>
      <w:r>
        <w:t>that</w:t>
      </w:r>
      <w:r w:rsidR="00AD62AC" w:rsidRPr="009C604E">
        <w:t xml:space="preserve"> scored in the middle and lower ranges may have </w:t>
      </w:r>
      <w:r w:rsidR="00446884">
        <w:t>overlooked</w:t>
      </w:r>
      <w:r w:rsidR="00446884" w:rsidRPr="009C604E">
        <w:t xml:space="preserve"> </w:t>
      </w:r>
      <w:r w:rsidR="00AD62AC" w:rsidRPr="009C604E">
        <w:t xml:space="preserve">the current literature in both the background to the research and in connection to their own findings. </w:t>
      </w:r>
      <w:r w:rsidR="0015140C">
        <w:t>A</w:t>
      </w:r>
      <w:r w:rsidR="00AD62AC" w:rsidRPr="009C604E">
        <w:t xml:space="preserve"> number of students took known literature, known methodology and known results and sought only to replicate them without adding anything of their own. It is important that students read widely, select an appropriate approach (</w:t>
      </w:r>
      <w:r w:rsidR="00166ABF">
        <w:t>for example,</w:t>
      </w:r>
      <w:r w:rsidR="00AD62AC" w:rsidRPr="009C604E">
        <w:t xml:space="preserve"> a theory, a model, a school of thought) and work with it throughout the research process. Doing this will assist students in explaining how their research is linked to </w:t>
      </w:r>
      <w:proofErr w:type="gramStart"/>
      <w:r w:rsidR="00AD62AC" w:rsidRPr="009C604E">
        <w:t>other</w:t>
      </w:r>
      <w:proofErr w:type="gramEnd"/>
      <w:r w:rsidR="00AD62AC" w:rsidRPr="009C604E">
        <w:t xml:space="preserve"> research. </w:t>
      </w:r>
    </w:p>
    <w:p w14:paraId="1BC11E2E" w14:textId="23754982" w:rsidR="00AD62AC" w:rsidRPr="009C604E" w:rsidRDefault="009312BA" w:rsidP="009C604E">
      <w:pPr>
        <w:pStyle w:val="VCAAbody"/>
      </w:pPr>
      <w:r>
        <w:t>Presentations</w:t>
      </w:r>
      <w:r w:rsidR="00AD62AC" w:rsidRPr="009C604E">
        <w:t xml:space="preserve"> scoring in the middle and lower ranges needed to focus further on the methodology and</w:t>
      </w:r>
      <w:r w:rsidR="0015140C">
        <w:t>,</w:t>
      </w:r>
      <w:r w:rsidR="00AD62AC" w:rsidRPr="009C604E">
        <w:t xml:space="preserve"> in particular, the link between the methodology and the achievement of the research aims. </w:t>
      </w:r>
      <w:r>
        <w:t>A</w:t>
      </w:r>
      <w:r w:rsidR="00AD62AC" w:rsidRPr="009C604E">
        <w:t xml:space="preserve"> number of students </w:t>
      </w:r>
      <w:r w:rsidR="00C20C95">
        <w:t>c</w:t>
      </w:r>
      <w:r w:rsidR="00AD62AC" w:rsidRPr="009C604E">
        <w:t xml:space="preserve">onducted ‘systematic literature reviews’ without any real method, or conducted surveys without the capacity to reach </w:t>
      </w:r>
      <w:r w:rsidR="008F510F">
        <w:t xml:space="preserve">enough </w:t>
      </w:r>
      <w:r w:rsidR="00AD62AC" w:rsidRPr="009C604E">
        <w:t xml:space="preserve">participants </w:t>
      </w:r>
      <w:r w:rsidR="00232F03">
        <w:t>to make</w:t>
      </w:r>
      <w:r w:rsidR="00AD62AC" w:rsidRPr="009C604E">
        <w:t xml:space="preserve"> informed judgments. Students whose method was identified as a ‘systematic literature review’ or ‘document analysis’ but was more similar to a collation of reading material with little critical engagement, had difficulty in explaining their method of analysis. This was one of the most significant areas of weakness. Inclusion and exclusion criteria were often defined in quite simplistic </w:t>
      </w:r>
      <w:r w:rsidR="00C24E7C">
        <w:t>terms</w:t>
      </w:r>
      <w:r w:rsidR="00AD62AC" w:rsidRPr="009C604E">
        <w:t xml:space="preserve">, such as (fictional case) </w:t>
      </w:r>
      <w:r w:rsidR="00C20C95">
        <w:t>‘</w:t>
      </w:r>
      <w:r w:rsidR="00AD62AC" w:rsidRPr="009C604E">
        <w:t>is about peanuts</w:t>
      </w:r>
      <w:r w:rsidR="00C20C95">
        <w:t>’</w:t>
      </w:r>
      <w:r w:rsidR="00AD62AC" w:rsidRPr="009C604E">
        <w:t xml:space="preserve"> and </w:t>
      </w:r>
      <w:r w:rsidR="00C20C95">
        <w:t>‘</w:t>
      </w:r>
      <w:r w:rsidR="00AD62AC" w:rsidRPr="009C604E">
        <w:t xml:space="preserve">is not about </w:t>
      </w:r>
      <w:proofErr w:type="gramStart"/>
      <w:r w:rsidR="00AD62AC" w:rsidRPr="009C604E">
        <w:t>peanuts</w:t>
      </w:r>
      <w:r w:rsidR="00C20C95">
        <w:t>’</w:t>
      </w:r>
      <w:proofErr w:type="gramEnd"/>
      <w:r w:rsidR="00AD62AC" w:rsidRPr="009C604E">
        <w:t>. Several students chose a 'film analysis' or ‘text analysis’ but did not follow a framework, meaning there was significant halo effect and confirmation bias that many were not aware of.</w:t>
      </w:r>
    </w:p>
    <w:p w14:paraId="44E13496" w14:textId="3EFA1193" w:rsidR="00AD62AC" w:rsidRPr="009C604E" w:rsidRDefault="00AD62AC" w:rsidP="009C604E">
      <w:pPr>
        <w:pStyle w:val="VCAAbody"/>
      </w:pPr>
      <w:r w:rsidRPr="009C604E">
        <w:t xml:space="preserve">When a student does an experiment, it needs to be repeated many times with many samples and consideration of variables. Students often commented about failed experiments (which is not an issue in itself) related to cost and time, but often the limited results were due to poor planning and execution. </w:t>
      </w:r>
      <w:r w:rsidR="00C20C95">
        <w:t>Presentations</w:t>
      </w:r>
      <w:r w:rsidR="00C20C95" w:rsidRPr="009C604E">
        <w:t xml:space="preserve"> </w:t>
      </w:r>
      <w:r w:rsidR="001C47B4">
        <w:t>that did not score well</w:t>
      </w:r>
      <w:r w:rsidRPr="009C604E">
        <w:t xml:space="preserve"> often conducted experiments without considering a control group or simply repeated those of other existing studies without changes.</w:t>
      </w:r>
    </w:p>
    <w:p w14:paraId="0E548BC4" w14:textId="0361363D" w:rsidR="002164BB" w:rsidRPr="00647AE4" w:rsidRDefault="002164BB" w:rsidP="00070A17">
      <w:pPr>
        <w:pStyle w:val="VCAAHeading2"/>
      </w:pPr>
      <w:r w:rsidRPr="00647AE4">
        <w:t xml:space="preserve">Criterion 2 </w:t>
      </w:r>
      <w:r w:rsidR="006F0687">
        <w:t>–</w:t>
      </w:r>
      <w:r w:rsidRPr="00647AE4">
        <w:t xml:space="preserve"> Defence of research findings and understanding of audience</w:t>
      </w:r>
    </w:p>
    <w:tbl>
      <w:tblPr>
        <w:tblStyle w:val="VCAATableClosed"/>
        <w:tblW w:w="0" w:type="auto"/>
        <w:tblLayout w:type="fixed"/>
        <w:tblLook w:val="04A0" w:firstRow="1" w:lastRow="0" w:firstColumn="1" w:lastColumn="0" w:noHBand="0" w:noVBand="1"/>
        <w:tblCaption w:val="Table one"/>
        <w:tblDescription w:val="VCAA closed table style"/>
      </w:tblPr>
      <w:tblGrid>
        <w:gridCol w:w="894"/>
        <w:gridCol w:w="576"/>
        <w:gridCol w:w="576"/>
        <w:gridCol w:w="576"/>
        <w:gridCol w:w="576"/>
        <w:gridCol w:w="576"/>
        <w:gridCol w:w="576"/>
        <w:gridCol w:w="576"/>
        <w:gridCol w:w="576"/>
        <w:gridCol w:w="576"/>
        <w:gridCol w:w="576"/>
        <w:gridCol w:w="576"/>
        <w:gridCol w:w="864"/>
      </w:tblGrid>
      <w:tr w:rsidR="002D046F" w:rsidRPr="00B13D3B" w14:paraId="60133F44" w14:textId="77777777" w:rsidTr="005161A0">
        <w:trPr>
          <w:cnfStyle w:val="100000000000" w:firstRow="1" w:lastRow="0" w:firstColumn="0" w:lastColumn="0" w:oddVBand="0" w:evenVBand="0" w:oddHBand="0" w:evenHBand="0" w:firstRowFirstColumn="0" w:firstRowLastColumn="0" w:lastRowFirstColumn="0" w:lastRowLastColumn="0"/>
        </w:trPr>
        <w:tc>
          <w:tcPr>
            <w:tcW w:w="894" w:type="dxa"/>
          </w:tcPr>
          <w:p w14:paraId="3FB0DC48" w14:textId="77777777" w:rsidR="009F5B45" w:rsidRPr="00AF3F1C" w:rsidRDefault="009F5B45" w:rsidP="00EC2D37">
            <w:pPr>
              <w:pStyle w:val="VCAAtablecondensedheading"/>
              <w:rPr>
                <w:color w:val="F2F2F2" w:themeColor="background1" w:themeShade="F2"/>
              </w:rPr>
            </w:pPr>
            <w:r>
              <w:rPr>
                <w:color w:val="F2F2F2" w:themeColor="background1" w:themeShade="F2"/>
              </w:rPr>
              <w:t>Marks</w:t>
            </w:r>
            <w:r w:rsidRPr="00AF3F1C">
              <w:rPr>
                <w:color w:val="F2F2F2" w:themeColor="background1" w:themeShade="F2"/>
              </w:rPr>
              <w:t xml:space="preserve"> </w:t>
            </w:r>
          </w:p>
        </w:tc>
        <w:tc>
          <w:tcPr>
            <w:tcW w:w="576" w:type="dxa"/>
          </w:tcPr>
          <w:p w14:paraId="7EFF8B45" w14:textId="77777777" w:rsidR="009F5B45" w:rsidRPr="00AF3F1C" w:rsidRDefault="009F5B45" w:rsidP="00EC2D37">
            <w:pPr>
              <w:pStyle w:val="VCAAtablecondensedheading"/>
              <w:rPr>
                <w:color w:val="F2F2F2" w:themeColor="background1" w:themeShade="F2"/>
              </w:rPr>
            </w:pPr>
            <w:r>
              <w:rPr>
                <w:color w:val="F2F2F2" w:themeColor="background1" w:themeShade="F2"/>
              </w:rPr>
              <w:t>0</w:t>
            </w:r>
          </w:p>
        </w:tc>
        <w:tc>
          <w:tcPr>
            <w:tcW w:w="576" w:type="dxa"/>
          </w:tcPr>
          <w:p w14:paraId="2C8EE375" w14:textId="77777777" w:rsidR="009F5B45" w:rsidRPr="00AF3F1C" w:rsidRDefault="009F5B45" w:rsidP="00EC2D37">
            <w:pPr>
              <w:pStyle w:val="VCAAtablecondensedheading"/>
              <w:rPr>
                <w:color w:val="F2F2F2" w:themeColor="background1" w:themeShade="F2"/>
              </w:rPr>
            </w:pPr>
            <w:r>
              <w:rPr>
                <w:color w:val="F2F2F2" w:themeColor="background1" w:themeShade="F2"/>
              </w:rPr>
              <w:t>1</w:t>
            </w:r>
          </w:p>
        </w:tc>
        <w:tc>
          <w:tcPr>
            <w:tcW w:w="576" w:type="dxa"/>
          </w:tcPr>
          <w:p w14:paraId="00B8D00E" w14:textId="77777777" w:rsidR="009F5B45" w:rsidRDefault="009F5B45" w:rsidP="00EC2D37">
            <w:pPr>
              <w:pStyle w:val="VCAAtablecondensedheading"/>
              <w:rPr>
                <w:color w:val="F2F2F2" w:themeColor="background1" w:themeShade="F2"/>
              </w:rPr>
            </w:pPr>
            <w:r>
              <w:rPr>
                <w:color w:val="F2F2F2" w:themeColor="background1" w:themeShade="F2"/>
              </w:rPr>
              <w:t>2</w:t>
            </w:r>
          </w:p>
        </w:tc>
        <w:tc>
          <w:tcPr>
            <w:tcW w:w="576" w:type="dxa"/>
          </w:tcPr>
          <w:p w14:paraId="4D1266AD" w14:textId="77777777" w:rsidR="009F5B45" w:rsidRDefault="009F5B45" w:rsidP="00EC2D37">
            <w:pPr>
              <w:pStyle w:val="VCAAtablecondensedheading"/>
              <w:rPr>
                <w:color w:val="F2F2F2" w:themeColor="background1" w:themeShade="F2"/>
              </w:rPr>
            </w:pPr>
            <w:r>
              <w:rPr>
                <w:color w:val="F2F2F2" w:themeColor="background1" w:themeShade="F2"/>
              </w:rPr>
              <w:t>3</w:t>
            </w:r>
          </w:p>
        </w:tc>
        <w:tc>
          <w:tcPr>
            <w:tcW w:w="576" w:type="dxa"/>
          </w:tcPr>
          <w:p w14:paraId="55F9E087" w14:textId="77777777" w:rsidR="009F5B45" w:rsidRDefault="009F5B45" w:rsidP="00EC2D37">
            <w:pPr>
              <w:pStyle w:val="VCAAtablecondensedheading"/>
              <w:rPr>
                <w:color w:val="F2F2F2" w:themeColor="background1" w:themeShade="F2"/>
              </w:rPr>
            </w:pPr>
            <w:r>
              <w:rPr>
                <w:color w:val="F2F2F2" w:themeColor="background1" w:themeShade="F2"/>
              </w:rPr>
              <w:t>4</w:t>
            </w:r>
          </w:p>
        </w:tc>
        <w:tc>
          <w:tcPr>
            <w:tcW w:w="576" w:type="dxa"/>
          </w:tcPr>
          <w:p w14:paraId="6E276CA3" w14:textId="77777777" w:rsidR="009F5B45" w:rsidRDefault="009F5B45" w:rsidP="00EC2D37">
            <w:pPr>
              <w:pStyle w:val="VCAAtablecondensedheading"/>
              <w:rPr>
                <w:color w:val="F2F2F2" w:themeColor="background1" w:themeShade="F2"/>
              </w:rPr>
            </w:pPr>
            <w:r>
              <w:rPr>
                <w:color w:val="F2F2F2" w:themeColor="background1" w:themeShade="F2"/>
              </w:rPr>
              <w:t>5</w:t>
            </w:r>
          </w:p>
        </w:tc>
        <w:tc>
          <w:tcPr>
            <w:tcW w:w="576" w:type="dxa"/>
          </w:tcPr>
          <w:p w14:paraId="797FA1FF" w14:textId="77777777" w:rsidR="009F5B45" w:rsidRDefault="009F5B45" w:rsidP="00EC2D37">
            <w:pPr>
              <w:pStyle w:val="VCAAtablecondensedheading"/>
              <w:rPr>
                <w:color w:val="F2F2F2" w:themeColor="background1" w:themeShade="F2"/>
              </w:rPr>
            </w:pPr>
            <w:r>
              <w:rPr>
                <w:color w:val="F2F2F2" w:themeColor="background1" w:themeShade="F2"/>
              </w:rPr>
              <w:t>6</w:t>
            </w:r>
          </w:p>
        </w:tc>
        <w:tc>
          <w:tcPr>
            <w:tcW w:w="576" w:type="dxa"/>
          </w:tcPr>
          <w:p w14:paraId="3076AC59" w14:textId="77777777" w:rsidR="009F5B45" w:rsidRDefault="009F5B45" w:rsidP="00EC2D37">
            <w:pPr>
              <w:pStyle w:val="VCAAtablecondensedheading"/>
              <w:rPr>
                <w:color w:val="F2F2F2" w:themeColor="background1" w:themeShade="F2"/>
              </w:rPr>
            </w:pPr>
            <w:r>
              <w:rPr>
                <w:color w:val="F2F2F2" w:themeColor="background1" w:themeShade="F2"/>
              </w:rPr>
              <w:t>7</w:t>
            </w:r>
          </w:p>
        </w:tc>
        <w:tc>
          <w:tcPr>
            <w:tcW w:w="576" w:type="dxa"/>
          </w:tcPr>
          <w:p w14:paraId="53BE9DC9" w14:textId="77777777" w:rsidR="009F5B45" w:rsidRDefault="009F5B45" w:rsidP="00EC2D37">
            <w:pPr>
              <w:pStyle w:val="VCAAtablecondensedheading"/>
              <w:rPr>
                <w:color w:val="F2F2F2" w:themeColor="background1" w:themeShade="F2"/>
              </w:rPr>
            </w:pPr>
            <w:r>
              <w:rPr>
                <w:color w:val="F2F2F2" w:themeColor="background1" w:themeShade="F2"/>
              </w:rPr>
              <w:t>8</w:t>
            </w:r>
          </w:p>
        </w:tc>
        <w:tc>
          <w:tcPr>
            <w:tcW w:w="576" w:type="dxa"/>
          </w:tcPr>
          <w:p w14:paraId="52B7FE7C" w14:textId="77777777" w:rsidR="009F5B45" w:rsidRDefault="009F5B45" w:rsidP="00EC2D37">
            <w:pPr>
              <w:pStyle w:val="VCAAtablecondensedheading"/>
              <w:rPr>
                <w:color w:val="F2F2F2" w:themeColor="background1" w:themeShade="F2"/>
              </w:rPr>
            </w:pPr>
            <w:r>
              <w:rPr>
                <w:color w:val="F2F2F2" w:themeColor="background1" w:themeShade="F2"/>
              </w:rPr>
              <w:t>9</w:t>
            </w:r>
          </w:p>
        </w:tc>
        <w:tc>
          <w:tcPr>
            <w:tcW w:w="576" w:type="dxa"/>
          </w:tcPr>
          <w:p w14:paraId="77AACC69" w14:textId="77777777" w:rsidR="009F5B45" w:rsidRDefault="009F5B45" w:rsidP="00EC2D37">
            <w:pPr>
              <w:pStyle w:val="VCAAtablecondensedheading"/>
              <w:rPr>
                <w:color w:val="F2F2F2" w:themeColor="background1" w:themeShade="F2"/>
              </w:rPr>
            </w:pPr>
            <w:r>
              <w:rPr>
                <w:color w:val="F2F2F2" w:themeColor="background1" w:themeShade="F2"/>
              </w:rPr>
              <w:t>10</w:t>
            </w:r>
          </w:p>
        </w:tc>
        <w:tc>
          <w:tcPr>
            <w:tcW w:w="864" w:type="dxa"/>
          </w:tcPr>
          <w:p w14:paraId="6E70D187" w14:textId="77777777" w:rsidR="009F5B45" w:rsidRDefault="009F5B45" w:rsidP="00EC2D37">
            <w:pPr>
              <w:pStyle w:val="VCAAtablecondensedheading"/>
              <w:rPr>
                <w:color w:val="F2F2F2" w:themeColor="background1" w:themeShade="F2"/>
              </w:rPr>
            </w:pPr>
            <w:r>
              <w:rPr>
                <w:color w:val="F2F2F2" w:themeColor="background1" w:themeShade="F2"/>
              </w:rPr>
              <w:t>Average</w:t>
            </w:r>
          </w:p>
        </w:tc>
      </w:tr>
      <w:tr w:rsidR="002D046F" w14:paraId="0E274E73" w14:textId="77777777" w:rsidTr="005161A0">
        <w:tc>
          <w:tcPr>
            <w:tcW w:w="894" w:type="dxa"/>
          </w:tcPr>
          <w:p w14:paraId="50877BC7" w14:textId="77777777" w:rsidR="009F5B45" w:rsidRDefault="009F5B45" w:rsidP="00EC2D37">
            <w:pPr>
              <w:pStyle w:val="VCAAtablecondensed"/>
            </w:pPr>
            <w:r>
              <w:t>%</w:t>
            </w:r>
          </w:p>
        </w:tc>
        <w:tc>
          <w:tcPr>
            <w:tcW w:w="576" w:type="dxa"/>
          </w:tcPr>
          <w:p w14:paraId="78A45AD4" w14:textId="77777777" w:rsidR="009F5B45" w:rsidRDefault="009F5B45" w:rsidP="00EC2D37">
            <w:pPr>
              <w:pStyle w:val="VCAAtablecondensed"/>
            </w:pPr>
            <w:r>
              <w:t>0</w:t>
            </w:r>
          </w:p>
        </w:tc>
        <w:tc>
          <w:tcPr>
            <w:tcW w:w="576" w:type="dxa"/>
          </w:tcPr>
          <w:p w14:paraId="543D798A" w14:textId="77777777" w:rsidR="009F5B45" w:rsidRDefault="009F5B45" w:rsidP="00EC2D37">
            <w:pPr>
              <w:pStyle w:val="VCAAtablecondensed"/>
            </w:pPr>
            <w:r>
              <w:t>0</w:t>
            </w:r>
          </w:p>
        </w:tc>
        <w:tc>
          <w:tcPr>
            <w:tcW w:w="576" w:type="dxa"/>
          </w:tcPr>
          <w:p w14:paraId="556C8D28" w14:textId="7CE929EF" w:rsidR="009F5B45" w:rsidRDefault="002D046F" w:rsidP="00EC2D37">
            <w:pPr>
              <w:pStyle w:val="VCAAtablecondensed"/>
            </w:pPr>
            <w:r>
              <w:t>2</w:t>
            </w:r>
          </w:p>
        </w:tc>
        <w:tc>
          <w:tcPr>
            <w:tcW w:w="576" w:type="dxa"/>
          </w:tcPr>
          <w:p w14:paraId="40701232" w14:textId="1B0A9052" w:rsidR="009F5B45" w:rsidRDefault="009F5B45" w:rsidP="00EC2D37">
            <w:pPr>
              <w:pStyle w:val="VCAAtablecondensed"/>
            </w:pPr>
            <w:r>
              <w:t>7</w:t>
            </w:r>
          </w:p>
        </w:tc>
        <w:tc>
          <w:tcPr>
            <w:tcW w:w="576" w:type="dxa"/>
          </w:tcPr>
          <w:p w14:paraId="2676D9C3" w14:textId="7AA0135F" w:rsidR="009F5B45" w:rsidRDefault="009F5B45" w:rsidP="00EC2D37">
            <w:pPr>
              <w:pStyle w:val="VCAAtablecondensed"/>
            </w:pPr>
            <w:r>
              <w:t>12</w:t>
            </w:r>
          </w:p>
        </w:tc>
        <w:tc>
          <w:tcPr>
            <w:tcW w:w="576" w:type="dxa"/>
          </w:tcPr>
          <w:p w14:paraId="388CE043" w14:textId="239BCE95" w:rsidR="009F5B45" w:rsidRDefault="009F5B45" w:rsidP="00EC2D37">
            <w:pPr>
              <w:pStyle w:val="VCAAtablecondensed"/>
            </w:pPr>
            <w:r>
              <w:t>15</w:t>
            </w:r>
          </w:p>
        </w:tc>
        <w:tc>
          <w:tcPr>
            <w:tcW w:w="576" w:type="dxa"/>
          </w:tcPr>
          <w:p w14:paraId="0F843CB0" w14:textId="11A51A5C" w:rsidR="009F5B45" w:rsidRDefault="009F5B45" w:rsidP="00EC2D37">
            <w:pPr>
              <w:pStyle w:val="VCAAtablecondensed"/>
            </w:pPr>
            <w:r>
              <w:t>1</w:t>
            </w:r>
            <w:r w:rsidR="002D046F">
              <w:t>7</w:t>
            </w:r>
          </w:p>
        </w:tc>
        <w:tc>
          <w:tcPr>
            <w:tcW w:w="576" w:type="dxa"/>
          </w:tcPr>
          <w:p w14:paraId="5F18F750" w14:textId="54D08899" w:rsidR="009F5B45" w:rsidRDefault="009F5B45" w:rsidP="00EC2D37">
            <w:pPr>
              <w:pStyle w:val="VCAAtablecondensed"/>
            </w:pPr>
            <w:r>
              <w:t>19</w:t>
            </w:r>
          </w:p>
        </w:tc>
        <w:tc>
          <w:tcPr>
            <w:tcW w:w="576" w:type="dxa"/>
          </w:tcPr>
          <w:p w14:paraId="5BD4ADEC" w14:textId="28EBF218" w:rsidR="009F5B45" w:rsidRDefault="009F5B45" w:rsidP="00EC2D37">
            <w:pPr>
              <w:pStyle w:val="VCAAtablecondensed"/>
            </w:pPr>
            <w:r>
              <w:t>15</w:t>
            </w:r>
          </w:p>
        </w:tc>
        <w:tc>
          <w:tcPr>
            <w:tcW w:w="576" w:type="dxa"/>
          </w:tcPr>
          <w:p w14:paraId="09212C3A" w14:textId="564D609E" w:rsidR="009F5B45" w:rsidRDefault="009F5B45" w:rsidP="00EC2D37">
            <w:pPr>
              <w:pStyle w:val="VCAAtablecondensed"/>
            </w:pPr>
            <w:r>
              <w:t>9</w:t>
            </w:r>
          </w:p>
        </w:tc>
        <w:tc>
          <w:tcPr>
            <w:tcW w:w="576" w:type="dxa"/>
          </w:tcPr>
          <w:p w14:paraId="58AA595A" w14:textId="2CDFA9DD" w:rsidR="009F5B45" w:rsidRDefault="009F5B45" w:rsidP="00EC2D37">
            <w:pPr>
              <w:pStyle w:val="VCAAtablecondensed"/>
            </w:pPr>
            <w:r>
              <w:t>4</w:t>
            </w:r>
          </w:p>
        </w:tc>
        <w:tc>
          <w:tcPr>
            <w:tcW w:w="864" w:type="dxa"/>
          </w:tcPr>
          <w:p w14:paraId="1A32B8F3" w14:textId="4C6F262B" w:rsidR="009F5B45" w:rsidRDefault="009F5B45" w:rsidP="00EC2D37">
            <w:pPr>
              <w:pStyle w:val="VCAAtablecondensed"/>
            </w:pPr>
            <w:r>
              <w:t>6.</w:t>
            </w:r>
            <w:r w:rsidR="002D046F">
              <w:t>3</w:t>
            </w:r>
          </w:p>
        </w:tc>
      </w:tr>
    </w:tbl>
    <w:p w14:paraId="4806D3EA" w14:textId="492F9848" w:rsidR="00AD62AC" w:rsidRPr="009C604E" w:rsidRDefault="00AD62AC" w:rsidP="009C604E">
      <w:pPr>
        <w:pStyle w:val="VCAAbody"/>
      </w:pPr>
      <w:r w:rsidRPr="00AD62AC">
        <w:rPr>
          <w:lang w:eastAsia="en-GB"/>
        </w:rPr>
        <w:t>Students are expected to discuss the relevance of their work and to justify their findings in light of their primary research question. Both the presentation and questions</w:t>
      </w:r>
      <w:r w:rsidR="00B701E6">
        <w:rPr>
          <w:lang w:eastAsia="en-GB"/>
        </w:rPr>
        <w:t xml:space="preserve"> and </w:t>
      </w:r>
      <w:r w:rsidRPr="00AD62AC">
        <w:rPr>
          <w:lang w:eastAsia="en-GB"/>
        </w:rPr>
        <w:t xml:space="preserve">challenges sections are </w:t>
      </w:r>
      <w:r w:rsidR="009F5B45">
        <w:rPr>
          <w:lang w:eastAsia="en-GB"/>
        </w:rPr>
        <w:t xml:space="preserve">equally </w:t>
      </w:r>
      <w:r w:rsidRPr="00AD62AC">
        <w:rPr>
          <w:lang w:eastAsia="en-GB"/>
        </w:rPr>
        <w:t>used to assess against this criterion. In explaining their work to the assessors, presentations are expected to be well</w:t>
      </w:r>
      <w:r w:rsidR="00C24E7C">
        <w:rPr>
          <w:lang w:eastAsia="en-GB"/>
        </w:rPr>
        <w:t xml:space="preserve"> </w:t>
      </w:r>
      <w:r w:rsidR="00B701E6">
        <w:rPr>
          <w:lang w:eastAsia="en-GB"/>
        </w:rPr>
        <w:t>s</w:t>
      </w:r>
      <w:r w:rsidRPr="00AD62AC">
        <w:rPr>
          <w:lang w:eastAsia="en-GB"/>
        </w:rPr>
        <w:t xml:space="preserve">tructured, coherent and free from jargon. Most students displayed a very real sense of enjoyment and passion for their topics. They presented with </w:t>
      </w:r>
      <w:proofErr w:type="gramStart"/>
      <w:r w:rsidRPr="00AD62AC">
        <w:rPr>
          <w:lang w:eastAsia="en-GB"/>
        </w:rPr>
        <w:t>confidence</w:t>
      </w:r>
      <w:proofErr w:type="gramEnd"/>
      <w:r w:rsidRPr="00AD62AC">
        <w:rPr>
          <w:lang w:eastAsia="en-GB"/>
        </w:rPr>
        <w:t xml:space="preserve"> and it was apparent that they had prepared well. </w:t>
      </w:r>
    </w:p>
    <w:p w14:paraId="1DE11315" w14:textId="32F29705" w:rsidR="00AD62AC" w:rsidRPr="009C604E" w:rsidRDefault="00AD62AC" w:rsidP="009C604E">
      <w:pPr>
        <w:pStyle w:val="VCAAbody"/>
      </w:pPr>
      <w:r w:rsidRPr="009C604E">
        <w:lastRenderedPageBreak/>
        <w:t xml:space="preserve">It is imperative that students have a process for </w:t>
      </w:r>
      <w:proofErr w:type="spellStart"/>
      <w:r w:rsidRPr="009C604E">
        <w:t>analysing</w:t>
      </w:r>
      <w:proofErr w:type="spellEnd"/>
      <w:r w:rsidRPr="009C604E">
        <w:t xml:space="preserve"> and </w:t>
      </w:r>
      <w:proofErr w:type="spellStart"/>
      <w:r w:rsidRPr="009C604E">
        <w:t>synthesising</w:t>
      </w:r>
      <w:proofErr w:type="spellEnd"/>
      <w:r w:rsidRPr="009C604E">
        <w:t xml:space="preserve"> their raw data and extracting findings from it</w:t>
      </w:r>
      <w:r w:rsidR="006D07FB">
        <w:t xml:space="preserve">. They need to </w:t>
      </w:r>
      <w:r w:rsidRPr="009C604E">
        <w:t xml:space="preserve">dedicate sufficient time during the initial part of their presentation to defending their research findings. In 2021 many students did not start discussing their findings until the final </w:t>
      </w:r>
      <w:r w:rsidR="00C24E7C">
        <w:t>few</w:t>
      </w:r>
      <w:r w:rsidRPr="009C604E">
        <w:t xml:space="preserve"> minutes of their presentation</w:t>
      </w:r>
      <w:r w:rsidR="001C47B4">
        <w:t>, causing t</w:t>
      </w:r>
      <w:r w:rsidRPr="009C604E">
        <w:t xml:space="preserve">heir investigation findings </w:t>
      </w:r>
      <w:r w:rsidR="001C47B4">
        <w:t xml:space="preserve">to </w:t>
      </w:r>
      <w:r w:rsidR="00165D36" w:rsidRPr="009C604E">
        <w:t xml:space="preserve">often </w:t>
      </w:r>
      <w:r w:rsidR="001C47B4">
        <w:t>be</w:t>
      </w:r>
      <w:r w:rsidRPr="009C604E">
        <w:t xml:space="preserve"> lost in the race to finish. </w:t>
      </w:r>
    </w:p>
    <w:p w14:paraId="19C46698" w14:textId="28D9EAA9" w:rsidR="00AD62AC" w:rsidRPr="009C604E" w:rsidRDefault="00AD62AC" w:rsidP="009C604E">
      <w:pPr>
        <w:pStyle w:val="VCAAbody"/>
      </w:pPr>
      <w:r w:rsidRPr="00AD62AC">
        <w:rPr>
          <w:lang w:eastAsia="en-GB"/>
        </w:rPr>
        <w:t>The adaptation of language for a non-specialist audience was done well in 2021</w:t>
      </w:r>
      <w:r w:rsidR="00C24E7C">
        <w:rPr>
          <w:lang w:eastAsia="en-GB"/>
        </w:rPr>
        <w:t>. S</w:t>
      </w:r>
      <w:r w:rsidRPr="00AD62AC">
        <w:rPr>
          <w:lang w:eastAsia="en-GB"/>
        </w:rPr>
        <w:t>tudents who use</w:t>
      </w:r>
      <w:r w:rsidR="001C47B4">
        <w:rPr>
          <w:lang w:eastAsia="en-GB"/>
        </w:rPr>
        <w:t>d</w:t>
      </w:r>
      <w:r w:rsidRPr="00AD62AC">
        <w:rPr>
          <w:lang w:eastAsia="en-GB"/>
        </w:rPr>
        <w:t xml:space="preserve"> </w:t>
      </w:r>
      <w:r w:rsidR="00C24E7C">
        <w:rPr>
          <w:lang w:eastAsia="en-GB"/>
        </w:rPr>
        <w:t xml:space="preserve">visuals </w:t>
      </w:r>
      <w:r w:rsidRPr="00AD62AC">
        <w:rPr>
          <w:lang w:eastAsia="en-GB"/>
        </w:rPr>
        <w:t xml:space="preserve">to </w:t>
      </w:r>
      <w:r w:rsidR="007D6CD9">
        <w:rPr>
          <w:lang w:eastAsia="en-GB"/>
        </w:rPr>
        <w:t>illustrate</w:t>
      </w:r>
      <w:r w:rsidR="007D6CD9" w:rsidRPr="00AD62AC">
        <w:rPr>
          <w:lang w:eastAsia="en-GB"/>
        </w:rPr>
        <w:t xml:space="preserve"> </w:t>
      </w:r>
      <w:r w:rsidRPr="00AD62AC">
        <w:rPr>
          <w:lang w:eastAsia="en-GB"/>
        </w:rPr>
        <w:t xml:space="preserve">findings within the data they had gathered in their own studies were often better equipped in tailoring their presentation for a non-specialist audience. </w:t>
      </w:r>
      <w:r w:rsidR="00EE2291">
        <w:rPr>
          <w:lang w:eastAsia="en-GB"/>
        </w:rPr>
        <w:t>S</w:t>
      </w:r>
      <w:r w:rsidRPr="00AD62AC">
        <w:rPr>
          <w:lang w:eastAsia="en-GB"/>
        </w:rPr>
        <w:t>ome students</w:t>
      </w:r>
      <w:r w:rsidR="00EE2291">
        <w:rPr>
          <w:lang w:eastAsia="en-GB"/>
        </w:rPr>
        <w:t>, however,</w:t>
      </w:r>
      <w:r w:rsidRPr="00AD62AC">
        <w:rPr>
          <w:lang w:eastAsia="en-GB"/>
        </w:rPr>
        <w:t xml:space="preserve"> included irrelevant information in their PowerPoint that did not assist in their presentation (for example, photos that were not evidence or pertinent to findings).</w:t>
      </w:r>
    </w:p>
    <w:p w14:paraId="0F838805" w14:textId="32C0D0BF" w:rsidR="00AD62AC" w:rsidRPr="009C604E" w:rsidRDefault="007D6CD9" w:rsidP="009C604E">
      <w:pPr>
        <w:pStyle w:val="VCAAbody"/>
      </w:pPr>
      <w:r>
        <w:t>High-scoring presentations</w:t>
      </w:r>
      <w:r w:rsidR="00AD62AC" w:rsidRPr="009C604E">
        <w:t xml:space="preserve"> use</w:t>
      </w:r>
      <w:r>
        <w:t>d</w:t>
      </w:r>
      <w:r w:rsidR="00AD62AC" w:rsidRPr="009C604E">
        <w:t xml:space="preserve"> verbal hooks and cues to connect the various components of their investigation</w:t>
      </w:r>
      <w:r w:rsidR="00813990">
        <w:t xml:space="preserve"> and to</w:t>
      </w:r>
      <w:r w:rsidR="00AD62AC" w:rsidRPr="009C604E">
        <w:t xml:space="preserve"> guid</w:t>
      </w:r>
      <w:r w:rsidR="00813990">
        <w:t>e</w:t>
      </w:r>
      <w:r w:rsidR="00AD62AC" w:rsidRPr="009C604E">
        <w:t xml:space="preserve"> the assessors through the presentation. Students who actively defined complex terminology</w:t>
      </w:r>
      <w:r w:rsidR="00EE2291">
        <w:t xml:space="preserve"> using </w:t>
      </w:r>
      <w:r w:rsidR="00EE2291" w:rsidRPr="0034432F">
        <w:t>scholarly, reputable sources</w:t>
      </w:r>
      <w:r w:rsidR="00EE2291" w:rsidRPr="00EE2291">
        <w:t xml:space="preserve"> </w:t>
      </w:r>
      <w:r w:rsidR="00AD62AC" w:rsidRPr="009C604E">
        <w:t>tended to deliver presentations that were easier to follow. Some students also used metaphor, analogies or diagrams to support their definitional work. These students clearly understood the unique demands of the oral presentation and did not attempt to cover the entirety of their 4000</w:t>
      </w:r>
      <w:r w:rsidR="00165D36">
        <w:t>-</w:t>
      </w:r>
      <w:r w:rsidR="00AD62AC" w:rsidRPr="009C604E">
        <w:t>word report in the space of 10 minutes. </w:t>
      </w:r>
    </w:p>
    <w:p w14:paraId="31F0E471" w14:textId="0049C05D" w:rsidR="00AD62AC" w:rsidRPr="009C604E" w:rsidRDefault="00AD62AC" w:rsidP="009C604E">
      <w:pPr>
        <w:pStyle w:val="VCAAbody"/>
      </w:pPr>
      <w:r w:rsidRPr="009C604E">
        <w:t xml:space="preserve">The highest-scoring discussions </w:t>
      </w:r>
      <w:proofErr w:type="spellStart"/>
      <w:r w:rsidRPr="009C604E">
        <w:t>synthesised</w:t>
      </w:r>
      <w:proofErr w:type="spellEnd"/>
      <w:r w:rsidRPr="009C604E">
        <w:t xml:space="preserve"> different aspects of data and drew conclusions based on this. They clearly and purposefully highlighted the most significant findings of their investigation</w:t>
      </w:r>
      <w:r w:rsidR="003F709E">
        <w:t>,</w:t>
      </w:r>
      <w:r w:rsidRPr="009C604E">
        <w:t xml:space="preserve"> explained how their findings respond</w:t>
      </w:r>
      <w:r w:rsidR="003F709E">
        <w:t>ed</w:t>
      </w:r>
      <w:r w:rsidRPr="009C604E">
        <w:t xml:space="preserve"> to the research question, how the findings compared to previous research and what the implications of the findings were. </w:t>
      </w:r>
    </w:p>
    <w:p w14:paraId="0A27D403" w14:textId="2A14EBB5" w:rsidR="00AD62AC" w:rsidRPr="009C604E" w:rsidRDefault="003F709E" w:rsidP="009C604E">
      <w:pPr>
        <w:pStyle w:val="VCAAbody"/>
      </w:pPr>
      <w:r>
        <w:t xml:space="preserve">Presentations that </w:t>
      </w:r>
      <w:r w:rsidR="00AD62AC" w:rsidRPr="009C604E">
        <w:t>scor</w:t>
      </w:r>
      <w:r>
        <w:t>ed</w:t>
      </w:r>
      <w:r w:rsidR="00AD62AC" w:rsidRPr="009C604E">
        <w:t xml:space="preserve"> in the lower</w:t>
      </w:r>
      <w:r w:rsidR="00EE2291">
        <w:t xml:space="preserve"> to </w:t>
      </w:r>
      <w:r w:rsidR="00AD62AC" w:rsidRPr="009C604E">
        <w:t xml:space="preserve">middle ranges often spent a lot of time on the description and explanation of their topic and chosen methodologies, </w:t>
      </w:r>
      <w:r w:rsidR="000924A2">
        <w:t>leaving them</w:t>
      </w:r>
      <w:r w:rsidR="00AD62AC" w:rsidRPr="009C604E">
        <w:t xml:space="preserve"> </w:t>
      </w:r>
      <w:r w:rsidR="000924A2">
        <w:t xml:space="preserve">little </w:t>
      </w:r>
      <w:r w:rsidR="00AD62AC" w:rsidRPr="009C604E">
        <w:t xml:space="preserve">time to defend their research findings. Presentations that went beyond the allocated 10 minutes often had to be wound up before students had completely finished all sections. Some students attempted to read out their written report verbatim, rushing through the </w:t>
      </w:r>
      <w:r w:rsidR="000924A2">
        <w:t>10</w:t>
      </w:r>
      <w:r w:rsidR="00AD62AC" w:rsidRPr="009C604E">
        <w:t xml:space="preserve"> minutes and failing to engage with the </w:t>
      </w:r>
      <w:r w:rsidR="00165D36">
        <w:t>assessors</w:t>
      </w:r>
      <w:r w:rsidR="00AD62AC" w:rsidRPr="009C604E">
        <w:t>.</w:t>
      </w:r>
    </w:p>
    <w:p w14:paraId="727E9581" w14:textId="359FE3F3" w:rsidR="00AD62AC" w:rsidRDefault="003D7C06" w:rsidP="00FD5429">
      <w:pPr>
        <w:pStyle w:val="VCAAbody"/>
      </w:pPr>
      <w:r>
        <w:t>Investigations</w:t>
      </w:r>
      <w:r w:rsidR="00117826">
        <w:t xml:space="preserve"> that did not score well </w:t>
      </w:r>
      <w:r>
        <w:t xml:space="preserve">were </w:t>
      </w:r>
      <w:r w:rsidR="00AD62AC" w:rsidRPr="009C604E">
        <w:t>often more like an extended essay with limited or no data collected, which meant that the</w:t>
      </w:r>
      <w:r>
        <w:t xml:space="preserve"> students </w:t>
      </w:r>
      <w:r w:rsidR="00AD62AC" w:rsidRPr="009C604E">
        <w:t>were unable to discuss any findings. Many collected data that simply confirmed what they already thought about a given topic, or data that was skewed towards a certain outcome. Whe</w:t>
      </w:r>
      <w:r w:rsidR="00FC258F">
        <w:t xml:space="preserve">n discussing </w:t>
      </w:r>
      <w:r w:rsidR="006E4250">
        <w:t xml:space="preserve">the </w:t>
      </w:r>
      <w:r w:rsidR="00AD62AC" w:rsidRPr="009C604E">
        <w:t>findings from the</w:t>
      </w:r>
      <w:r w:rsidR="006E4250">
        <w:t>ir</w:t>
      </w:r>
      <w:r w:rsidR="00AD62AC" w:rsidRPr="009C604E">
        <w:t xml:space="preserve"> investigations, the connections made between their findings and previous literature were limited. The</w:t>
      </w:r>
      <w:r w:rsidR="000343F6">
        <w:t xml:space="preserve">ir conclusion or </w:t>
      </w:r>
      <w:r w:rsidR="00AD62AC" w:rsidRPr="009C604E">
        <w:t xml:space="preserve">synthesis did not always match the research question being asked. </w:t>
      </w:r>
    </w:p>
    <w:p w14:paraId="789491EE" w14:textId="66F05738" w:rsidR="002164BB" w:rsidRPr="002164BB" w:rsidRDefault="002164BB" w:rsidP="00FD5429">
      <w:pPr>
        <w:pStyle w:val="VCAAHeading2"/>
      </w:pPr>
      <w:r w:rsidRPr="00647AE4">
        <w:t xml:space="preserve">Criterion 3 </w:t>
      </w:r>
      <w:r w:rsidR="006F0687">
        <w:t>–</w:t>
      </w:r>
      <w:r w:rsidR="00E026E0" w:rsidRPr="00647AE4">
        <w:t xml:space="preserve"> </w:t>
      </w:r>
      <w:r w:rsidRPr="00647AE4">
        <w:t>Responses to questions and challenges</w:t>
      </w:r>
    </w:p>
    <w:tbl>
      <w:tblPr>
        <w:tblStyle w:val="VCAATableClosed"/>
        <w:tblW w:w="0" w:type="auto"/>
        <w:tblLayout w:type="fixed"/>
        <w:tblLook w:val="04A0" w:firstRow="1" w:lastRow="0" w:firstColumn="1" w:lastColumn="0" w:noHBand="0" w:noVBand="1"/>
        <w:tblCaption w:val="Table one"/>
        <w:tblDescription w:val="VCAA closed table style"/>
      </w:tblPr>
      <w:tblGrid>
        <w:gridCol w:w="894"/>
        <w:gridCol w:w="576"/>
        <w:gridCol w:w="576"/>
        <w:gridCol w:w="576"/>
        <w:gridCol w:w="576"/>
        <w:gridCol w:w="576"/>
        <w:gridCol w:w="576"/>
        <w:gridCol w:w="576"/>
        <w:gridCol w:w="576"/>
        <w:gridCol w:w="576"/>
        <w:gridCol w:w="576"/>
        <w:gridCol w:w="576"/>
        <w:gridCol w:w="864"/>
      </w:tblGrid>
      <w:tr w:rsidR="002D046F" w:rsidRPr="00B13D3B" w14:paraId="235B160A" w14:textId="77777777" w:rsidTr="005161A0">
        <w:trPr>
          <w:cnfStyle w:val="100000000000" w:firstRow="1" w:lastRow="0" w:firstColumn="0" w:lastColumn="0" w:oddVBand="0" w:evenVBand="0" w:oddHBand="0" w:evenHBand="0" w:firstRowFirstColumn="0" w:firstRowLastColumn="0" w:lastRowFirstColumn="0" w:lastRowLastColumn="0"/>
        </w:trPr>
        <w:tc>
          <w:tcPr>
            <w:tcW w:w="894" w:type="dxa"/>
          </w:tcPr>
          <w:p w14:paraId="6D49C4A6" w14:textId="77777777" w:rsidR="005212E5" w:rsidRPr="00AF3F1C" w:rsidRDefault="005212E5" w:rsidP="00EC2D37">
            <w:pPr>
              <w:pStyle w:val="VCAAtablecondensedheading"/>
              <w:rPr>
                <w:color w:val="F2F2F2" w:themeColor="background1" w:themeShade="F2"/>
              </w:rPr>
            </w:pPr>
            <w:r>
              <w:rPr>
                <w:color w:val="F2F2F2" w:themeColor="background1" w:themeShade="F2"/>
              </w:rPr>
              <w:t>Marks</w:t>
            </w:r>
            <w:r w:rsidRPr="00AF3F1C">
              <w:rPr>
                <w:color w:val="F2F2F2" w:themeColor="background1" w:themeShade="F2"/>
              </w:rPr>
              <w:t xml:space="preserve"> </w:t>
            </w:r>
          </w:p>
        </w:tc>
        <w:tc>
          <w:tcPr>
            <w:tcW w:w="576" w:type="dxa"/>
          </w:tcPr>
          <w:p w14:paraId="420A1628" w14:textId="77777777" w:rsidR="005212E5" w:rsidRPr="00AF3F1C" w:rsidRDefault="005212E5" w:rsidP="00EC2D37">
            <w:pPr>
              <w:pStyle w:val="VCAAtablecondensedheading"/>
              <w:rPr>
                <w:color w:val="F2F2F2" w:themeColor="background1" w:themeShade="F2"/>
              </w:rPr>
            </w:pPr>
            <w:r>
              <w:rPr>
                <w:color w:val="F2F2F2" w:themeColor="background1" w:themeShade="F2"/>
              </w:rPr>
              <w:t>0</w:t>
            </w:r>
          </w:p>
        </w:tc>
        <w:tc>
          <w:tcPr>
            <w:tcW w:w="576" w:type="dxa"/>
          </w:tcPr>
          <w:p w14:paraId="1800CE22" w14:textId="77777777" w:rsidR="005212E5" w:rsidRPr="00AF3F1C" w:rsidRDefault="005212E5" w:rsidP="00EC2D37">
            <w:pPr>
              <w:pStyle w:val="VCAAtablecondensedheading"/>
              <w:rPr>
                <w:color w:val="F2F2F2" w:themeColor="background1" w:themeShade="F2"/>
              </w:rPr>
            </w:pPr>
            <w:r>
              <w:rPr>
                <w:color w:val="F2F2F2" w:themeColor="background1" w:themeShade="F2"/>
              </w:rPr>
              <w:t>1</w:t>
            </w:r>
          </w:p>
        </w:tc>
        <w:tc>
          <w:tcPr>
            <w:tcW w:w="576" w:type="dxa"/>
          </w:tcPr>
          <w:p w14:paraId="71F09A68" w14:textId="77777777" w:rsidR="005212E5" w:rsidRDefault="005212E5" w:rsidP="00EC2D37">
            <w:pPr>
              <w:pStyle w:val="VCAAtablecondensedheading"/>
              <w:rPr>
                <w:color w:val="F2F2F2" w:themeColor="background1" w:themeShade="F2"/>
              </w:rPr>
            </w:pPr>
            <w:r>
              <w:rPr>
                <w:color w:val="F2F2F2" w:themeColor="background1" w:themeShade="F2"/>
              </w:rPr>
              <w:t>2</w:t>
            </w:r>
          </w:p>
        </w:tc>
        <w:tc>
          <w:tcPr>
            <w:tcW w:w="576" w:type="dxa"/>
          </w:tcPr>
          <w:p w14:paraId="3660807E" w14:textId="77777777" w:rsidR="005212E5" w:rsidRDefault="005212E5" w:rsidP="00EC2D37">
            <w:pPr>
              <w:pStyle w:val="VCAAtablecondensedheading"/>
              <w:rPr>
                <w:color w:val="F2F2F2" w:themeColor="background1" w:themeShade="F2"/>
              </w:rPr>
            </w:pPr>
            <w:r>
              <w:rPr>
                <w:color w:val="F2F2F2" w:themeColor="background1" w:themeShade="F2"/>
              </w:rPr>
              <w:t>3</w:t>
            </w:r>
          </w:p>
        </w:tc>
        <w:tc>
          <w:tcPr>
            <w:tcW w:w="576" w:type="dxa"/>
          </w:tcPr>
          <w:p w14:paraId="2F2E2D3A" w14:textId="77777777" w:rsidR="005212E5" w:rsidRDefault="005212E5" w:rsidP="00EC2D37">
            <w:pPr>
              <w:pStyle w:val="VCAAtablecondensedheading"/>
              <w:rPr>
                <w:color w:val="F2F2F2" w:themeColor="background1" w:themeShade="F2"/>
              </w:rPr>
            </w:pPr>
            <w:r>
              <w:rPr>
                <w:color w:val="F2F2F2" w:themeColor="background1" w:themeShade="F2"/>
              </w:rPr>
              <w:t>4</w:t>
            </w:r>
          </w:p>
        </w:tc>
        <w:tc>
          <w:tcPr>
            <w:tcW w:w="576" w:type="dxa"/>
          </w:tcPr>
          <w:p w14:paraId="1989E08A" w14:textId="77777777" w:rsidR="005212E5" w:rsidRDefault="005212E5" w:rsidP="00EC2D37">
            <w:pPr>
              <w:pStyle w:val="VCAAtablecondensedheading"/>
              <w:rPr>
                <w:color w:val="F2F2F2" w:themeColor="background1" w:themeShade="F2"/>
              </w:rPr>
            </w:pPr>
            <w:r>
              <w:rPr>
                <w:color w:val="F2F2F2" w:themeColor="background1" w:themeShade="F2"/>
              </w:rPr>
              <w:t>5</w:t>
            </w:r>
          </w:p>
        </w:tc>
        <w:tc>
          <w:tcPr>
            <w:tcW w:w="576" w:type="dxa"/>
          </w:tcPr>
          <w:p w14:paraId="5977D923" w14:textId="77777777" w:rsidR="005212E5" w:rsidRDefault="005212E5" w:rsidP="00EC2D37">
            <w:pPr>
              <w:pStyle w:val="VCAAtablecondensedheading"/>
              <w:rPr>
                <w:color w:val="F2F2F2" w:themeColor="background1" w:themeShade="F2"/>
              </w:rPr>
            </w:pPr>
            <w:r>
              <w:rPr>
                <w:color w:val="F2F2F2" w:themeColor="background1" w:themeShade="F2"/>
              </w:rPr>
              <w:t>6</w:t>
            </w:r>
          </w:p>
        </w:tc>
        <w:tc>
          <w:tcPr>
            <w:tcW w:w="576" w:type="dxa"/>
          </w:tcPr>
          <w:p w14:paraId="65D1E6BC" w14:textId="77777777" w:rsidR="005212E5" w:rsidRDefault="005212E5" w:rsidP="00EC2D37">
            <w:pPr>
              <w:pStyle w:val="VCAAtablecondensedheading"/>
              <w:rPr>
                <w:color w:val="F2F2F2" w:themeColor="background1" w:themeShade="F2"/>
              </w:rPr>
            </w:pPr>
            <w:r>
              <w:rPr>
                <w:color w:val="F2F2F2" w:themeColor="background1" w:themeShade="F2"/>
              </w:rPr>
              <w:t>7</w:t>
            </w:r>
          </w:p>
        </w:tc>
        <w:tc>
          <w:tcPr>
            <w:tcW w:w="576" w:type="dxa"/>
          </w:tcPr>
          <w:p w14:paraId="408D9E07" w14:textId="77777777" w:rsidR="005212E5" w:rsidRDefault="005212E5" w:rsidP="00EC2D37">
            <w:pPr>
              <w:pStyle w:val="VCAAtablecondensedheading"/>
              <w:rPr>
                <w:color w:val="F2F2F2" w:themeColor="background1" w:themeShade="F2"/>
              </w:rPr>
            </w:pPr>
            <w:r>
              <w:rPr>
                <w:color w:val="F2F2F2" w:themeColor="background1" w:themeShade="F2"/>
              </w:rPr>
              <w:t>8</w:t>
            </w:r>
          </w:p>
        </w:tc>
        <w:tc>
          <w:tcPr>
            <w:tcW w:w="576" w:type="dxa"/>
          </w:tcPr>
          <w:p w14:paraId="13F44352" w14:textId="77777777" w:rsidR="005212E5" w:rsidRDefault="005212E5" w:rsidP="00EC2D37">
            <w:pPr>
              <w:pStyle w:val="VCAAtablecondensedheading"/>
              <w:rPr>
                <w:color w:val="F2F2F2" w:themeColor="background1" w:themeShade="F2"/>
              </w:rPr>
            </w:pPr>
            <w:r>
              <w:rPr>
                <w:color w:val="F2F2F2" w:themeColor="background1" w:themeShade="F2"/>
              </w:rPr>
              <w:t>9</w:t>
            </w:r>
          </w:p>
        </w:tc>
        <w:tc>
          <w:tcPr>
            <w:tcW w:w="576" w:type="dxa"/>
          </w:tcPr>
          <w:p w14:paraId="1CC74CED" w14:textId="77777777" w:rsidR="005212E5" w:rsidRDefault="005212E5" w:rsidP="00EC2D37">
            <w:pPr>
              <w:pStyle w:val="VCAAtablecondensedheading"/>
              <w:rPr>
                <w:color w:val="F2F2F2" w:themeColor="background1" w:themeShade="F2"/>
              </w:rPr>
            </w:pPr>
            <w:r>
              <w:rPr>
                <w:color w:val="F2F2F2" w:themeColor="background1" w:themeShade="F2"/>
              </w:rPr>
              <w:t>10</w:t>
            </w:r>
          </w:p>
        </w:tc>
        <w:tc>
          <w:tcPr>
            <w:tcW w:w="864" w:type="dxa"/>
          </w:tcPr>
          <w:p w14:paraId="24DED30D" w14:textId="77777777" w:rsidR="005212E5" w:rsidRDefault="005212E5" w:rsidP="00EC2D37">
            <w:pPr>
              <w:pStyle w:val="VCAAtablecondensedheading"/>
              <w:rPr>
                <w:color w:val="F2F2F2" w:themeColor="background1" w:themeShade="F2"/>
              </w:rPr>
            </w:pPr>
            <w:r>
              <w:rPr>
                <w:color w:val="F2F2F2" w:themeColor="background1" w:themeShade="F2"/>
              </w:rPr>
              <w:t>Average</w:t>
            </w:r>
          </w:p>
        </w:tc>
      </w:tr>
      <w:tr w:rsidR="002D046F" w14:paraId="571CEB35" w14:textId="77777777" w:rsidTr="005161A0">
        <w:tc>
          <w:tcPr>
            <w:tcW w:w="894" w:type="dxa"/>
          </w:tcPr>
          <w:p w14:paraId="00BC4D10" w14:textId="77777777" w:rsidR="005212E5" w:rsidRDefault="005212E5" w:rsidP="00EC2D37">
            <w:pPr>
              <w:pStyle w:val="VCAAtablecondensed"/>
            </w:pPr>
            <w:r>
              <w:t>%</w:t>
            </w:r>
          </w:p>
        </w:tc>
        <w:tc>
          <w:tcPr>
            <w:tcW w:w="576" w:type="dxa"/>
          </w:tcPr>
          <w:p w14:paraId="52E5040D" w14:textId="77777777" w:rsidR="005212E5" w:rsidRDefault="005212E5" w:rsidP="00EC2D37">
            <w:pPr>
              <w:pStyle w:val="VCAAtablecondensed"/>
            </w:pPr>
            <w:r>
              <w:t>0</w:t>
            </w:r>
          </w:p>
        </w:tc>
        <w:tc>
          <w:tcPr>
            <w:tcW w:w="576" w:type="dxa"/>
          </w:tcPr>
          <w:p w14:paraId="36D94B21" w14:textId="77777777" w:rsidR="005212E5" w:rsidRDefault="005212E5" w:rsidP="00EC2D37">
            <w:pPr>
              <w:pStyle w:val="VCAAtablecondensed"/>
            </w:pPr>
            <w:r>
              <w:t>0</w:t>
            </w:r>
          </w:p>
        </w:tc>
        <w:tc>
          <w:tcPr>
            <w:tcW w:w="576" w:type="dxa"/>
          </w:tcPr>
          <w:p w14:paraId="4923FF37" w14:textId="194470F3" w:rsidR="005212E5" w:rsidRDefault="00741D82" w:rsidP="00EC2D37">
            <w:pPr>
              <w:pStyle w:val="VCAAtablecondensed"/>
            </w:pPr>
            <w:r>
              <w:t>1</w:t>
            </w:r>
          </w:p>
        </w:tc>
        <w:tc>
          <w:tcPr>
            <w:tcW w:w="576" w:type="dxa"/>
          </w:tcPr>
          <w:p w14:paraId="0502ACBD" w14:textId="3F09605D" w:rsidR="005212E5" w:rsidRDefault="00741D82" w:rsidP="00EC2D37">
            <w:pPr>
              <w:pStyle w:val="VCAAtablecondensed"/>
            </w:pPr>
            <w:r>
              <w:t>8</w:t>
            </w:r>
          </w:p>
        </w:tc>
        <w:tc>
          <w:tcPr>
            <w:tcW w:w="576" w:type="dxa"/>
          </w:tcPr>
          <w:p w14:paraId="52A97446" w14:textId="3DE9DB0F" w:rsidR="005212E5" w:rsidRDefault="00741D82" w:rsidP="00EC2D37">
            <w:pPr>
              <w:pStyle w:val="VCAAtablecondensed"/>
            </w:pPr>
            <w:r>
              <w:t>1</w:t>
            </w:r>
            <w:r w:rsidR="002D046F">
              <w:t>4</w:t>
            </w:r>
          </w:p>
        </w:tc>
        <w:tc>
          <w:tcPr>
            <w:tcW w:w="576" w:type="dxa"/>
          </w:tcPr>
          <w:p w14:paraId="49DE8250" w14:textId="3AD8AC19" w:rsidR="005212E5" w:rsidRDefault="00741D82" w:rsidP="00EC2D37">
            <w:pPr>
              <w:pStyle w:val="VCAAtablecondensed"/>
            </w:pPr>
            <w:r>
              <w:t>1</w:t>
            </w:r>
            <w:r w:rsidR="002D046F">
              <w:t>3</w:t>
            </w:r>
          </w:p>
        </w:tc>
        <w:tc>
          <w:tcPr>
            <w:tcW w:w="576" w:type="dxa"/>
          </w:tcPr>
          <w:p w14:paraId="783A0B94" w14:textId="708C04DB" w:rsidR="005212E5" w:rsidRDefault="00741D82" w:rsidP="00EC2D37">
            <w:pPr>
              <w:pStyle w:val="VCAAtablecondensed"/>
            </w:pPr>
            <w:r>
              <w:t>15</w:t>
            </w:r>
          </w:p>
        </w:tc>
        <w:tc>
          <w:tcPr>
            <w:tcW w:w="576" w:type="dxa"/>
          </w:tcPr>
          <w:p w14:paraId="65DB28C5" w14:textId="6AB595FF" w:rsidR="005212E5" w:rsidRDefault="00741D82" w:rsidP="00EC2D37">
            <w:pPr>
              <w:pStyle w:val="VCAAtablecondensed"/>
            </w:pPr>
            <w:r>
              <w:t>1</w:t>
            </w:r>
            <w:r w:rsidR="002D046F">
              <w:t>8</w:t>
            </w:r>
          </w:p>
        </w:tc>
        <w:tc>
          <w:tcPr>
            <w:tcW w:w="576" w:type="dxa"/>
          </w:tcPr>
          <w:p w14:paraId="23B7FF16" w14:textId="46609535" w:rsidR="005212E5" w:rsidRDefault="00741D82" w:rsidP="00EC2D37">
            <w:pPr>
              <w:pStyle w:val="VCAAtablecondensed"/>
            </w:pPr>
            <w:r>
              <w:t>1</w:t>
            </w:r>
            <w:r w:rsidR="002D046F">
              <w:t>6</w:t>
            </w:r>
          </w:p>
        </w:tc>
        <w:tc>
          <w:tcPr>
            <w:tcW w:w="576" w:type="dxa"/>
          </w:tcPr>
          <w:p w14:paraId="64C1A996" w14:textId="375F7BC7" w:rsidR="005212E5" w:rsidRDefault="00741D82" w:rsidP="00EC2D37">
            <w:pPr>
              <w:pStyle w:val="VCAAtablecondensed"/>
            </w:pPr>
            <w:r>
              <w:t>6</w:t>
            </w:r>
          </w:p>
        </w:tc>
        <w:tc>
          <w:tcPr>
            <w:tcW w:w="576" w:type="dxa"/>
          </w:tcPr>
          <w:p w14:paraId="7493BAFA" w14:textId="24D9261D" w:rsidR="005212E5" w:rsidRDefault="002D046F" w:rsidP="00EC2D37">
            <w:pPr>
              <w:pStyle w:val="VCAAtablecondensed"/>
            </w:pPr>
            <w:r>
              <w:t>9</w:t>
            </w:r>
          </w:p>
        </w:tc>
        <w:tc>
          <w:tcPr>
            <w:tcW w:w="864" w:type="dxa"/>
          </w:tcPr>
          <w:p w14:paraId="627900B4" w14:textId="7A27CBEB" w:rsidR="005212E5" w:rsidRDefault="00741D82" w:rsidP="00EC2D37">
            <w:pPr>
              <w:pStyle w:val="VCAAtablecondensed"/>
            </w:pPr>
            <w:r>
              <w:t>6.3</w:t>
            </w:r>
          </w:p>
        </w:tc>
      </w:tr>
    </w:tbl>
    <w:p w14:paraId="15D9AB8E" w14:textId="7AB2EDB9" w:rsidR="00C107CF" w:rsidRPr="00CC2CB8" w:rsidRDefault="00AD62AC" w:rsidP="00C107CF">
      <w:pPr>
        <w:pStyle w:val="VCAAbody"/>
      </w:pPr>
      <w:r w:rsidRPr="009C604E">
        <w:t>The response section is designed to illuminate aspects of a student’s work that may not have been fully explored in the</w:t>
      </w:r>
      <w:r w:rsidR="00C107CF">
        <w:t xml:space="preserve"> first part of their</w:t>
      </w:r>
      <w:r w:rsidRPr="009C604E">
        <w:t xml:space="preserve"> presentation. </w:t>
      </w:r>
      <w:r w:rsidR="00CE02E2">
        <w:rPr>
          <w:lang w:eastAsia="en-GB"/>
        </w:rPr>
        <w:t>It</w:t>
      </w:r>
      <w:r w:rsidR="00CE02E2" w:rsidRPr="00AD62AC">
        <w:rPr>
          <w:lang w:eastAsia="en-GB"/>
        </w:rPr>
        <w:t xml:space="preserve"> is an opportunity to clarify, elaborate, reflect and evaluate the various parts of a student’s research </w:t>
      </w:r>
      <w:r w:rsidR="00CE02E2">
        <w:rPr>
          <w:lang w:eastAsia="en-GB"/>
        </w:rPr>
        <w:t>–</w:t>
      </w:r>
      <w:r w:rsidR="00CE02E2" w:rsidRPr="00AD62AC">
        <w:rPr>
          <w:lang w:eastAsia="en-GB"/>
        </w:rPr>
        <w:t xml:space="preserve"> the question, literature, method, findings, limitations and reflections</w:t>
      </w:r>
      <w:r w:rsidR="00C107CF">
        <w:rPr>
          <w:lang w:eastAsia="en-GB"/>
        </w:rPr>
        <w:t>.</w:t>
      </w:r>
      <w:r w:rsidR="00CE02E2" w:rsidRPr="00AD62AC">
        <w:rPr>
          <w:lang w:eastAsia="en-GB"/>
        </w:rPr>
        <w:t xml:space="preserve"> If students are asked a question about challenges they encountered (for example the impacts of COVID</w:t>
      </w:r>
      <w:r w:rsidR="003C4177">
        <w:rPr>
          <w:lang w:eastAsia="en-GB"/>
        </w:rPr>
        <w:t>-19</w:t>
      </w:r>
      <w:r w:rsidR="00CE02E2" w:rsidRPr="00AD62AC">
        <w:rPr>
          <w:lang w:eastAsia="en-GB"/>
        </w:rPr>
        <w:t xml:space="preserve">), difficulties they had to overcome or what they would do differently, </w:t>
      </w:r>
      <w:r w:rsidR="00E821F5">
        <w:rPr>
          <w:lang w:eastAsia="en-GB"/>
        </w:rPr>
        <w:t xml:space="preserve">they can </w:t>
      </w:r>
      <w:r w:rsidR="00CE02E2">
        <w:rPr>
          <w:lang w:eastAsia="en-GB"/>
        </w:rPr>
        <w:t>s</w:t>
      </w:r>
      <w:r w:rsidR="00CE02E2" w:rsidRPr="00AD62AC">
        <w:rPr>
          <w:lang w:eastAsia="en-GB"/>
        </w:rPr>
        <w:t>how that they not only know the topic, but also understand the research process.</w:t>
      </w:r>
      <w:r w:rsidR="00F36A1D">
        <w:rPr>
          <w:lang w:eastAsia="en-GB"/>
        </w:rPr>
        <w:t xml:space="preserve"> </w:t>
      </w:r>
      <w:r w:rsidR="00C107CF" w:rsidRPr="00CC2CB8">
        <w:t xml:space="preserve">There is no need to replicate the content of the </w:t>
      </w:r>
      <w:r w:rsidR="003C4177">
        <w:t>w</w:t>
      </w:r>
      <w:r w:rsidR="00C107CF" w:rsidRPr="00CC2CB8">
        <w:t xml:space="preserve">ritten </w:t>
      </w:r>
      <w:r w:rsidR="003C4177">
        <w:t>r</w:t>
      </w:r>
      <w:r w:rsidR="00C107CF" w:rsidRPr="00CC2CB8">
        <w:t>eport in the first part of the oral presentation;</w:t>
      </w:r>
      <w:r w:rsidR="00C107CF">
        <w:t xml:space="preserve"> </w:t>
      </w:r>
      <w:r w:rsidR="00C107CF" w:rsidRPr="00CC2CB8">
        <w:t xml:space="preserve">students can earmark content for use in response to a question </w:t>
      </w:r>
      <w:r w:rsidR="00C107CF">
        <w:t>–</w:t>
      </w:r>
      <w:r w:rsidR="00C107CF" w:rsidRPr="00CC2CB8">
        <w:t xml:space="preserve"> for example, in the area of data analysis.</w:t>
      </w:r>
    </w:p>
    <w:p w14:paraId="4749C678" w14:textId="36F2B252" w:rsidR="00F36A1D" w:rsidRDefault="00D1416C" w:rsidP="00C107CF">
      <w:pPr>
        <w:pStyle w:val="VCAAbody"/>
      </w:pPr>
      <w:r>
        <w:rPr>
          <w:lang w:eastAsia="en-GB"/>
        </w:rPr>
        <w:t>S</w:t>
      </w:r>
      <w:r w:rsidR="00AD62AC" w:rsidRPr="009C604E">
        <w:t xml:space="preserve">tudents </w:t>
      </w:r>
      <w:r w:rsidR="00BF6E08">
        <w:t>should</w:t>
      </w:r>
      <w:r w:rsidR="00AD62AC" w:rsidRPr="009C604E">
        <w:t xml:space="preserve"> not leave out relevant information in the </w:t>
      </w:r>
      <w:r w:rsidR="00BF6E08">
        <w:t>expectation</w:t>
      </w:r>
      <w:r w:rsidR="00BF6E08" w:rsidRPr="009C604E">
        <w:t xml:space="preserve"> </w:t>
      </w:r>
      <w:r w:rsidR="00AD62AC" w:rsidRPr="009C604E">
        <w:t>that they will be asked a question about it</w:t>
      </w:r>
      <w:r w:rsidR="00F36A1D">
        <w:t>, as a number of students did in 2021.</w:t>
      </w:r>
      <w:r w:rsidR="002B7280">
        <w:t xml:space="preserve"> Some had prepared </w:t>
      </w:r>
      <w:r w:rsidR="00632CCB">
        <w:t>over</w:t>
      </w:r>
      <w:r w:rsidR="002B7280">
        <w:t xml:space="preserve"> 25 PowerPoint slides that they referred to when responding to questions</w:t>
      </w:r>
      <w:r w:rsidR="00632CCB">
        <w:t xml:space="preserve">. </w:t>
      </w:r>
      <w:r w:rsidR="00CF1F39">
        <w:t xml:space="preserve">While a few </w:t>
      </w:r>
      <w:r w:rsidR="00632CCB" w:rsidRPr="00AD62AC">
        <w:rPr>
          <w:lang w:eastAsia="en-GB"/>
        </w:rPr>
        <w:t>students use</w:t>
      </w:r>
      <w:r w:rsidR="00632CCB">
        <w:rPr>
          <w:lang w:eastAsia="en-GB"/>
        </w:rPr>
        <w:t>d</w:t>
      </w:r>
      <w:r w:rsidR="00632CCB" w:rsidRPr="00AD62AC">
        <w:rPr>
          <w:lang w:eastAsia="en-GB"/>
        </w:rPr>
        <w:t xml:space="preserve"> the additional slides to elaborate on </w:t>
      </w:r>
      <w:r w:rsidR="00632CCB">
        <w:rPr>
          <w:lang w:eastAsia="en-GB"/>
        </w:rPr>
        <w:t>points</w:t>
      </w:r>
      <w:r w:rsidR="00632CCB" w:rsidRPr="00AD62AC">
        <w:rPr>
          <w:lang w:eastAsia="en-GB"/>
        </w:rPr>
        <w:t xml:space="preserve"> in the </w:t>
      </w:r>
      <w:r w:rsidR="00632CCB" w:rsidRPr="00AD62AC">
        <w:rPr>
          <w:lang w:eastAsia="en-GB"/>
        </w:rPr>
        <w:lastRenderedPageBreak/>
        <w:t>initial presentation</w:t>
      </w:r>
      <w:r w:rsidR="00632CCB">
        <w:rPr>
          <w:lang w:eastAsia="en-GB"/>
        </w:rPr>
        <w:t xml:space="preserve">, </w:t>
      </w:r>
      <w:r w:rsidR="00CF1F39">
        <w:rPr>
          <w:lang w:eastAsia="en-GB"/>
        </w:rPr>
        <w:t xml:space="preserve">others </w:t>
      </w:r>
      <w:r w:rsidR="00632CCB" w:rsidRPr="00AD62AC">
        <w:rPr>
          <w:lang w:eastAsia="en-GB"/>
        </w:rPr>
        <w:t>use</w:t>
      </w:r>
      <w:r w:rsidR="00CF1F39">
        <w:rPr>
          <w:lang w:eastAsia="en-GB"/>
        </w:rPr>
        <w:t>d</w:t>
      </w:r>
      <w:r w:rsidR="00632CCB" w:rsidRPr="00AD62AC">
        <w:rPr>
          <w:lang w:eastAsia="en-GB"/>
        </w:rPr>
        <w:t xml:space="preserve"> the</w:t>
      </w:r>
      <w:r w:rsidR="00CF1F39">
        <w:rPr>
          <w:lang w:eastAsia="en-GB"/>
        </w:rPr>
        <w:t>m</w:t>
      </w:r>
      <w:r w:rsidR="00632CCB" w:rsidRPr="00AD62AC">
        <w:rPr>
          <w:lang w:eastAsia="en-GB"/>
        </w:rPr>
        <w:t xml:space="preserve"> to launch into a pre-prepared answer that did not necessarily answer the question posed.</w:t>
      </w:r>
    </w:p>
    <w:p w14:paraId="13D349CD" w14:textId="5F60A222" w:rsidR="00AD62AC" w:rsidRPr="00AD62AC" w:rsidRDefault="00AD62AC" w:rsidP="009C604E">
      <w:pPr>
        <w:pStyle w:val="VCAAbody"/>
        <w:rPr>
          <w:lang w:eastAsia="en-GB"/>
        </w:rPr>
      </w:pPr>
      <w:r w:rsidRPr="00AD62AC">
        <w:rPr>
          <w:lang w:eastAsia="en-GB"/>
        </w:rPr>
        <w:t>Students may be asked whether they considered something that they had never thought of before</w:t>
      </w:r>
      <w:r w:rsidR="00E821F5">
        <w:rPr>
          <w:lang w:eastAsia="en-GB"/>
        </w:rPr>
        <w:t>, such as a particular variable,</w:t>
      </w:r>
      <w:r w:rsidRPr="00AD62AC">
        <w:rPr>
          <w:lang w:eastAsia="en-GB"/>
        </w:rPr>
        <w:t xml:space="preserve"> or was beyond the scope of their investigation. It is important that students are able to speculate about what could or would have happened if they did consider the variable. This often separates a high</w:t>
      </w:r>
      <w:r w:rsidR="00E821F5">
        <w:rPr>
          <w:lang w:eastAsia="en-GB"/>
        </w:rPr>
        <w:t>-scoring</w:t>
      </w:r>
      <w:r w:rsidR="0054478D">
        <w:rPr>
          <w:lang w:eastAsia="en-GB"/>
        </w:rPr>
        <w:t xml:space="preserve"> response</w:t>
      </w:r>
      <w:r w:rsidRPr="00AD62AC">
        <w:rPr>
          <w:lang w:eastAsia="en-GB"/>
        </w:rPr>
        <w:t xml:space="preserve"> from a middle</w:t>
      </w:r>
      <w:r w:rsidR="00740E3D">
        <w:rPr>
          <w:lang w:eastAsia="en-GB"/>
        </w:rPr>
        <w:t>-</w:t>
      </w:r>
      <w:r w:rsidRPr="00AD62AC">
        <w:rPr>
          <w:lang w:eastAsia="en-GB"/>
        </w:rPr>
        <w:t xml:space="preserve">range </w:t>
      </w:r>
      <w:r w:rsidR="0054478D">
        <w:rPr>
          <w:lang w:eastAsia="en-GB"/>
        </w:rPr>
        <w:t>one</w:t>
      </w:r>
      <w:r w:rsidRPr="00AD62AC">
        <w:rPr>
          <w:lang w:eastAsia="en-GB"/>
        </w:rPr>
        <w:t>.</w:t>
      </w:r>
    </w:p>
    <w:p w14:paraId="7417CF9E" w14:textId="3D56DBC7" w:rsidR="00AD62AC" w:rsidRPr="009C604E" w:rsidRDefault="0054478D" w:rsidP="009C604E">
      <w:pPr>
        <w:pStyle w:val="VCAAbody"/>
      </w:pPr>
      <w:r>
        <w:t>Students with t</w:t>
      </w:r>
      <w:r w:rsidR="00AD62AC" w:rsidRPr="009C604E">
        <w:t xml:space="preserve">he </w:t>
      </w:r>
      <w:r>
        <w:t>highest-scoring</w:t>
      </w:r>
      <w:r w:rsidRPr="009C604E">
        <w:t xml:space="preserve"> </w:t>
      </w:r>
      <w:r>
        <w:t xml:space="preserve">responses </w:t>
      </w:r>
      <w:r w:rsidR="00AD62AC" w:rsidRPr="009C604E">
        <w:t>knew their material thoroughly and field</w:t>
      </w:r>
      <w:r>
        <w:t>ed</w:t>
      </w:r>
      <w:r w:rsidR="00AD62AC" w:rsidRPr="009C604E">
        <w:t xml:space="preserve"> questions with ease. The</w:t>
      </w:r>
      <w:r w:rsidR="00740E3D">
        <w:t>y</w:t>
      </w:r>
      <w:r w:rsidR="00AD62AC" w:rsidRPr="009C604E">
        <w:t xml:space="preserve"> were </w:t>
      </w:r>
      <w:proofErr w:type="spellStart"/>
      <w:r w:rsidR="00AD62AC" w:rsidRPr="009C604E">
        <w:t>cognisant</w:t>
      </w:r>
      <w:proofErr w:type="spellEnd"/>
      <w:r w:rsidR="00AD62AC" w:rsidRPr="009C604E">
        <w:t xml:space="preserve"> of the 'because' and ‘how come' moments</w:t>
      </w:r>
      <w:r w:rsidR="00740E3D">
        <w:t xml:space="preserve">, and </w:t>
      </w:r>
      <w:r w:rsidR="00AD62AC" w:rsidRPr="009C604E">
        <w:t>respond</w:t>
      </w:r>
      <w:r>
        <w:t>ed</w:t>
      </w:r>
      <w:r w:rsidR="00AD62AC" w:rsidRPr="009C604E">
        <w:t xml:space="preserve"> to questions with reference to both the research literature in the field and their own topic. Well-structured responses were consistently more effective in supporting the </w:t>
      </w:r>
      <w:r w:rsidR="00732855">
        <w:t>assessors</w:t>
      </w:r>
      <w:r w:rsidR="00732855" w:rsidRPr="009C604E">
        <w:t xml:space="preserve"> </w:t>
      </w:r>
      <w:r w:rsidR="00AD62AC" w:rsidRPr="009C604E">
        <w:t>in making sense of the student's research.</w:t>
      </w:r>
    </w:p>
    <w:p w14:paraId="6B1BC5FD" w14:textId="483A27A7" w:rsidR="00AD62AC" w:rsidRPr="00AD62AC" w:rsidRDefault="00AD62AC" w:rsidP="009C604E">
      <w:pPr>
        <w:pStyle w:val="VCAAbody"/>
        <w:rPr>
          <w:lang w:eastAsia="en-GB"/>
        </w:rPr>
      </w:pPr>
      <w:r w:rsidRPr="009C604E">
        <w:t>Many high</w:t>
      </w:r>
      <w:r w:rsidR="00734F18">
        <w:t xml:space="preserve">-scoring </w:t>
      </w:r>
      <w:r w:rsidRPr="009C604E">
        <w:t xml:space="preserve">responses drew on additional evidence and supporting arguments </w:t>
      </w:r>
      <w:r w:rsidR="00732855">
        <w:t>that</w:t>
      </w:r>
      <w:r w:rsidR="00732855" w:rsidRPr="009C604E">
        <w:t xml:space="preserve"> </w:t>
      </w:r>
      <w:r w:rsidRPr="009C604E">
        <w:t xml:space="preserve">had not been mentioned </w:t>
      </w:r>
      <w:r w:rsidR="00740E3D">
        <w:t>earlier</w:t>
      </w:r>
      <w:r w:rsidRPr="009C604E">
        <w:t xml:space="preserve">. For example, further background research and unique references were used to elaborate on the significance of their investigation and </w:t>
      </w:r>
      <w:r w:rsidR="005C0D66">
        <w:t xml:space="preserve">to </w:t>
      </w:r>
      <w:r w:rsidRPr="009C604E">
        <w:t xml:space="preserve">clarify their key findings. These students were able to discuss issues beyond the strict parameters of their investigation, displayed an enthusiasm for stretching the discussion and could elaborate on responses with ease, indicating </w:t>
      </w:r>
      <w:r w:rsidR="00652508">
        <w:t xml:space="preserve">an </w:t>
      </w:r>
      <w:r w:rsidR="00652508" w:rsidRPr="008807FC">
        <w:t>extensive</w:t>
      </w:r>
      <w:r w:rsidR="00652508" w:rsidRPr="00652508">
        <w:t xml:space="preserve"> </w:t>
      </w:r>
      <w:r w:rsidRPr="009C604E">
        <w:t>knowledge of their investigation.</w:t>
      </w:r>
      <w:r w:rsidR="00652508">
        <w:t xml:space="preserve"> </w:t>
      </w:r>
      <w:r w:rsidR="00652508">
        <w:rPr>
          <w:lang w:eastAsia="en-GB"/>
        </w:rPr>
        <w:t xml:space="preserve">They </w:t>
      </w:r>
      <w:r w:rsidRPr="00AD62AC">
        <w:rPr>
          <w:lang w:eastAsia="en-GB"/>
        </w:rPr>
        <w:t>were able to tread the fine line between elaborating and clarifying their ideas and thinking whil</w:t>
      </w:r>
      <w:r w:rsidR="00652508">
        <w:rPr>
          <w:lang w:eastAsia="en-GB"/>
        </w:rPr>
        <w:t>e</w:t>
      </w:r>
      <w:r w:rsidRPr="00AD62AC">
        <w:rPr>
          <w:lang w:eastAsia="en-GB"/>
        </w:rPr>
        <w:t xml:space="preserve"> being concise, succinct and specific to the posed question.</w:t>
      </w:r>
    </w:p>
    <w:p w14:paraId="6FD70FD2" w14:textId="39077E9F" w:rsidR="00AD62AC" w:rsidRPr="009C604E" w:rsidRDefault="00AD62AC" w:rsidP="009C604E">
      <w:pPr>
        <w:pStyle w:val="VCAAbody"/>
      </w:pPr>
      <w:r w:rsidRPr="009C604E">
        <w:rPr>
          <w:rStyle w:val="VCAAbodyChar"/>
        </w:rPr>
        <w:t xml:space="preserve">Students </w:t>
      </w:r>
      <w:r w:rsidR="003B4E94">
        <w:rPr>
          <w:rStyle w:val="VCAAbodyChar"/>
        </w:rPr>
        <w:t xml:space="preserve">whose responses </w:t>
      </w:r>
      <w:r w:rsidR="00732855">
        <w:rPr>
          <w:rStyle w:val="VCAAbodyChar"/>
        </w:rPr>
        <w:t>did not score</w:t>
      </w:r>
      <w:r w:rsidR="003B4E94">
        <w:rPr>
          <w:rStyle w:val="VCAAbodyChar"/>
        </w:rPr>
        <w:t xml:space="preserve"> well</w:t>
      </w:r>
      <w:r w:rsidRPr="009C604E">
        <w:rPr>
          <w:rStyle w:val="VCAAbodyChar"/>
        </w:rPr>
        <w:t xml:space="preserve"> had difficulty elaborating during the questioning. Their responses often repeated information from the first part of the presentation </w:t>
      </w:r>
      <w:r w:rsidR="003B4E94">
        <w:rPr>
          <w:rStyle w:val="VCAAbodyChar"/>
        </w:rPr>
        <w:t>instead of</w:t>
      </w:r>
      <w:r w:rsidRPr="009C604E">
        <w:rPr>
          <w:rStyle w:val="VCAAbodyChar"/>
        </w:rPr>
        <w:t xml:space="preserve"> making links to existing literature or data gathered through their investigation. Many students missed the opportunity during the questions</w:t>
      </w:r>
      <w:r w:rsidR="00942857">
        <w:rPr>
          <w:rStyle w:val="VCAAbodyChar"/>
        </w:rPr>
        <w:t xml:space="preserve"> and </w:t>
      </w:r>
      <w:r w:rsidRPr="009C604E">
        <w:rPr>
          <w:rStyle w:val="VCAAbodyChar"/>
        </w:rPr>
        <w:t xml:space="preserve">challenges section to evaluate their methodological approach and the implications the method may have had on their findings. In some cases, </w:t>
      </w:r>
      <w:r w:rsidR="00942857">
        <w:rPr>
          <w:rStyle w:val="VCAAbodyChar"/>
        </w:rPr>
        <w:t xml:space="preserve">they were not able to provide evidence of the work undertaken and </w:t>
      </w:r>
      <w:r w:rsidR="00732855">
        <w:rPr>
          <w:rStyle w:val="VCAAbodyChar"/>
        </w:rPr>
        <w:t>large</w:t>
      </w:r>
      <w:r w:rsidR="00732855" w:rsidRPr="009C604E">
        <w:rPr>
          <w:rStyle w:val="VCAAbodyChar"/>
        </w:rPr>
        <w:t xml:space="preserve"> </w:t>
      </w:r>
      <w:r w:rsidRPr="009C604E">
        <w:rPr>
          <w:rStyle w:val="VCAAbodyChar"/>
        </w:rPr>
        <w:t>gaps in their knowledge were exposed.</w:t>
      </w:r>
      <w:r w:rsidR="00942857">
        <w:rPr>
          <w:rStyle w:val="VCAAbodyChar"/>
        </w:rPr>
        <w:t xml:space="preserve"> </w:t>
      </w:r>
      <w:r w:rsidR="001C0C3C">
        <w:rPr>
          <w:lang w:eastAsia="en-GB"/>
        </w:rPr>
        <w:t>So</w:t>
      </w:r>
      <w:r w:rsidRPr="00AD62AC">
        <w:rPr>
          <w:lang w:eastAsia="en-GB"/>
        </w:rPr>
        <w:t xml:space="preserve">me students </w:t>
      </w:r>
      <w:r w:rsidR="001C0C3C">
        <w:rPr>
          <w:lang w:eastAsia="en-GB"/>
        </w:rPr>
        <w:t xml:space="preserve">overly relied on their visuals </w:t>
      </w:r>
      <w:r w:rsidRPr="00AD62AC">
        <w:rPr>
          <w:lang w:eastAsia="en-GB"/>
        </w:rPr>
        <w:t xml:space="preserve">in the hope that they would receive a question about their method if they did not elaborate on it earlier. This meant that basic frameworks concerning the method were not discussed until questioning, so less time was left to 'dig deeper' </w:t>
      </w:r>
      <w:r w:rsidR="001C0C3C">
        <w:rPr>
          <w:lang w:eastAsia="en-GB"/>
        </w:rPr>
        <w:t xml:space="preserve">into </w:t>
      </w:r>
      <w:r w:rsidRPr="00AD62AC">
        <w:rPr>
          <w:lang w:eastAsia="en-GB"/>
        </w:rPr>
        <w:t>other aspects of their investigation. </w:t>
      </w:r>
    </w:p>
    <w:p w14:paraId="53301534" w14:textId="6F916763" w:rsidR="00AD62AC" w:rsidRPr="00AD62AC" w:rsidRDefault="00AD62AC" w:rsidP="009C604E">
      <w:pPr>
        <w:pStyle w:val="VCAAbody"/>
        <w:rPr>
          <w:lang w:eastAsia="en-GB"/>
        </w:rPr>
      </w:pPr>
      <w:r w:rsidRPr="00AD62AC">
        <w:rPr>
          <w:lang w:eastAsia="en-GB"/>
        </w:rPr>
        <w:t xml:space="preserve">If a student is asked a question </w:t>
      </w:r>
      <w:r w:rsidR="00732855">
        <w:rPr>
          <w:lang w:eastAsia="en-GB"/>
        </w:rPr>
        <w:t>that</w:t>
      </w:r>
      <w:r w:rsidR="00732855" w:rsidRPr="00AD62AC">
        <w:rPr>
          <w:lang w:eastAsia="en-GB"/>
        </w:rPr>
        <w:t xml:space="preserve"> </w:t>
      </w:r>
      <w:r w:rsidRPr="00AD62AC">
        <w:rPr>
          <w:lang w:eastAsia="en-GB"/>
        </w:rPr>
        <w:t>requires them to expand on their work but is not covered by their investigation, they need to try and apply knowledge to a new situation and provide an opinion. Some students were unable to make these new connections when responding to questions, displaying a limited understanding of the broader implications of their investigation. This is an area that requires improvement across the range of student achievement and will assist students in their ability to reflect and evaluate the outcomes of their investigation.</w:t>
      </w:r>
    </w:p>
    <w:p w14:paraId="29FB2745" w14:textId="497ADD5E" w:rsidR="002164BB" w:rsidRPr="00647AE4" w:rsidRDefault="002164BB" w:rsidP="00070A17">
      <w:pPr>
        <w:pStyle w:val="VCAAHeading2"/>
      </w:pPr>
      <w:r w:rsidRPr="00647AE4">
        <w:t xml:space="preserve">Criterion 4 </w:t>
      </w:r>
      <w:r w:rsidR="006F0687">
        <w:t>–</w:t>
      </w:r>
      <w:r w:rsidR="009823CC" w:rsidRPr="00647AE4">
        <w:t xml:space="preserve"> </w:t>
      </w:r>
      <w:r w:rsidRPr="00647AE4">
        <w:t>Reflection and evaluation</w:t>
      </w:r>
    </w:p>
    <w:tbl>
      <w:tblPr>
        <w:tblStyle w:val="VCAATableClosed"/>
        <w:tblW w:w="0" w:type="auto"/>
        <w:tblLayout w:type="fixed"/>
        <w:tblLook w:val="04A0" w:firstRow="1" w:lastRow="0" w:firstColumn="1" w:lastColumn="0" w:noHBand="0" w:noVBand="1"/>
        <w:tblCaption w:val="Table one"/>
        <w:tblDescription w:val="VCAA closed table style"/>
      </w:tblPr>
      <w:tblGrid>
        <w:gridCol w:w="894"/>
        <w:gridCol w:w="576"/>
        <w:gridCol w:w="576"/>
        <w:gridCol w:w="576"/>
        <w:gridCol w:w="576"/>
        <w:gridCol w:w="576"/>
        <w:gridCol w:w="576"/>
        <w:gridCol w:w="576"/>
        <w:gridCol w:w="576"/>
        <w:gridCol w:w="576"/>
        <w:gridCol w:w="576"/>
        <w:gridCol w:w="576"/>
        <w:gridCol w:w="864"/>
      </w:tblGrid>
      <w:tr w:rsidR="00DD11C8" w:rsidRPr="00B13D3B" w14:paraId="31DA0144" w14:textId="77777777" w:rsidTr="005161A0">
        <w:trPr>
          <w:cnfStyle w:val="100000000000" w:firstRow="1" w:lastRow="0" w:firstColumn="0" w:lastColumn="0" w:oddVBand="0" w:evenVBand="0" w:oddHBand="0" w:evenHBand="0" w:firstRowFirstColumn="0" w:firstRowLastColumn="0" w:lastRowFirstColumn="0" w:lastRowLastColumn="0"/>
        </w:trPr>
        <w:tc>
          <w:tcPr>
            <w:tcW w:w="894" w:type="dxa"/>
          </w:tcPr>
          <w:p w14:paraId="516EB7D4" w14:textId="77777777" w:rsidR="00B701E6" w:rsidRPr="00AF3F1C" w:rsidRDefault="00B701E6" w:rsidP="00EC2D37">
            <w:pPr>
              <w:pStyle w:val="VCAAtablecondensedheading"/>
              <w:rPr>
                <w:color w:val="F2F2F2" w:themeColor="background1" w:themeShade="F2"/>
              </w:rPr>
            </w:pPr>
            <w:r>
              <w:rPr>
                <w:color w:val="F2F2F2" w:themeColor="background1" w:themeShade="F2"/>
              </w:rPr>
              <w:t>Marks</w:t>
            </w:r>
            <w:r w:rsidRPr="00AF3F1C">
              <w:rPr>
                <w:color w:val="F2F2F2" w:themeColor="background1" w:themeShade="F2"/>
              </w:rPr>
              <w:t xml:space="preserve"> </w:t>
            </w:r>
          </w:p>
        </w:tc>
        <w:tc>
          <w:tcPr>
            <w:tcW w:w="576" w:type="dxa"/>
          </w:tcPr>
          <w:p w14:paraId="1F8F2612" w14:textId="77777777" w:rsidR="00B701E6" w:rsidRPr="00AF3F1C" w:rsidRDefault="00B701E6" w:rsidP="00EC2D37">
            <w:pPr>
              <w:pStyle w:val="VCAAtablecondensedheading"/>
              <w:rPr>
                <w:color w:val="F2F2F2" w:themeColor="background1" w:themeShade="F2"/>
              </w:rPr>
            </w:pPr>
            <w:r>
              <w:rPr>
                <w:color w:val="F2F2F2" w:themeColor="background1" w:themeShade="F2"/>
              </w:rPr>
              <w:t>0</w:t>
            </w:r>
          </w:p>
        </w:tc>
        <w:tc>
          <w:tcPr>
            <w:tcW w:w="576" w:type="dxa"/>
          </w:tcPr>
          <w:p w14:paraId="51B44326" w14:textId="77777777" w:rsidR="00B701E6" w:rsidRPr="00AF3F1C" w:rsidRDefault="00B701E6" w:rsidP="00EC2D37">
            <w:pPr>
              <w:pStyle w:val="VCAAtablecondensedheading"/>
              <w:rPr>
                <w:color w:val="F2F2F2" w:themeColor="background1" w:themeShade="F2"/>
              </w:rPr>
            </w:pPr>
            <w:r>
              <w:rPr>
                <w:color w:val="F2F2F2" w:themeColor="background1" w:themeShade="F2"/>
              </w:rPr>
              <w:t>1</w:t>
            </w:r>
          </w:p>
        </w:tc>
        <w:tc>
          <w:tcPr>
            <w:tcW w:w="576" w:type="dxa"/>
          </w:tcPr>
          <w:p w14:paraId="0B80F501" w14:textId="77777777" w:rsidR="00B701E6" w:rsidRDefault="00B701E6" w:rsidP="00EC2D37">
            <w:pPr>
              <w:pStyle w:val="VCAAtablecondensedheading"/>
              <w:rPr>
                <w:color w:val="F2F2F2" w:themeColor="background1" w:themeShade="F2"/>
              </w:rPr>
            </w:pPr>
            <w:r>
              <w:rPr>
                <w:color w:val="F2F2F2" w:themeColor="background1" w:themeShade="F2"/>
              </w:rPr>
              <w:t>2</w:t>
            </w:r>
          </w:p>
        </w:tc>
        <w:tc>
          <w:tcPr>
            <w:tcW w:w="576" w:type="dxa"/>
          </w:tcPr>
          <w:p w14:paraId="6D43E5ED" w14:textId="77777777" w:rsidR="00B701E6" w:rsidRDefault="00B701E6" w:rsidP="00EC2D37">
            <w:pPr>
              <w:pStyle w:val="VCAAtablecondensedheading"/>
              <w:rPr>
                <w:color w:val="F2F2F2" w:themeColor="background1" w:themeShade="F2"/>
              </w:rPr>
            </w:pPr>
            <w:r>
              <w:rPr>
                <w:color w:val="F2F2F2" w:themeColor="background1" w:themeShade="F2"/>
              </w:rPr>
              <w:t>3</w:t>
            </w:r>
          </w:p>
        </w:tc>
        <w:tc>
          <w:tcPr>
            <w:tcW w:w="576" w:type="dxa"/>
          </w:tcPr>
          <w:p w14:paraId="60D8A8A3" w14:textId="77777777" w:rsidR="00B701E6" w:rsidRDefault="00B701E6" w:rsidP="00EC2D37">
            <w:pPr>
              <w:pStyle w:val="VCAAtablecondensedheading"/>
              <w:rPr>
                <w:color w:val="F2F2F2" w:themeColor="background1" w:themeShade="F2"/>
              </w:rPr>
            </w:pPr>
            <w:r>
              <w:rPr>
                <w:color w:val="F2F2F2" w:themeColor="background1" w:themeShade="F2"/>
              </w:rPr>
              <w:t>4</w:t>
            </w:r>
          </w:p>
        </w:tc>
        <w:tc>
          <w:tcPr>
            <w:tcW w:w="576" w:type="dxa"/>
          </w:tcPr>
          <w:p w14:paraId="72CA52A6" w14:textId="77777777" w:rsidR="00B701E6" w:rsidRDefault="00B701E6" w:rsidP="00EC2D37">
            <w:pPr>
              <w:pStyle w:val="VCAAtablecondensedheading"/>
              <w:rPr>
                <w:color w:val="F2F2F2" w:themeColor="background1" w:themeShade="F2"/>
              </w:rPr>
            </w:pPr>
            <w:r>
              <w:rPr>
                <w:color w:val="F2F2F2" w:themeColor="background1" w:themeShade="F2"/>
              </w:rPr>
              <w:t>5</w:t>
            </w:r>
          </w:p>
        </w:tc>
        <w:tc>
          <w:tcPr>
            <w:tcW w:w="576" w:type="dxa"/>
          </w:tcPr>
          <w:p w14:paraId="56D1978D" w14:textId="77777777" w:rsidR="00B701E6" w:rsidRDefault="00B701E6" w:rsidP="00EC2D37">
            <w:pPr>
              <w:pStyle w:val="VCAAtablecondensedheading"/>
              <w:rPr>
                <w:color w:val="F2F2F2" w:themeColor="background1" w:themeShade="F2"/>
              </w:rPr>
            </w:pPr>
            <w:r>
              <w:rPr>
                <w:color w:val="F2F2F2" w:themeColor="background1" w:themeShade="F2"/>
              </w:rPr>
              <w:t>6</w:t>
            </w:r>
          </w:p>
        </w:tc>
        <w:tc>
          <w:tcPr>
            <w:tcW w:w="576" w:type="dxa"/>
          </w:tcPr>
          <w:p w14:paraId="41AFCFC5" w14:textId="77777777" w:rsidR="00B701E6" w:rsidRDefault="00B701E6" w:rsidP="00EC2D37">
            <w:pPr>
              <w:pStyle w:val="VCAAtablecondensedheading"/>
              <w:rPr>
                <w:color w:val="F2F2F2" w:themeColor="background1" w:themeShade="F2"/>
              </w:rPr>
            </w:pPr>
            <w:r>
              <w:rPr>
                <w:color w:val="F2F2F2" w:themeColor="background1" w:themeShade="F2"/>
              </w:rPr>
              <w:t>7</w:t>
            </w:r>
          </w:p>
        </w:tc>
        <w:tc>
          <w:tcPr>
            <w:tcW w:w="576" w:type="dxa"/>
          </w:tcPr>
          <w:p w14:paraId="10C2805A" w14:textId="77777777" w:rsidR="00B701E6" w:rsidRDefault="00B701E6" w:rsidP="00EC2D37">
            <w:pPr>
              <w:pStyle w:val="VCAAtablecondensedheading"/>
              <w:rPr>
                <w:color w:val="F2F2F2" w:themeColor="background1" w:themeShade="F2"/>
              </w:rPr>
            </w:pPr>
            <w:r>
              <w:rPr>
                <w:color w:val="F2F2F2" w:themeColor="background1" w:themeShade="F2"/>
              </w:rPr>
              <w:t>8</w:t>
            </w:r>
          </w:p>
        </w:tc>
        <w:tc>
          <w:tcPr>
            <w:tcW w:w="576" w:type="dxa"/>
          </w:tcPr>
          <w:p w14:paraId="10C2B0A0" w14:textId="77777777" w:rsidR="00B701E6" w:rsidRDefault="00B701E6" w:rsidP="00EC2D37">
            <w:pPr>
              <w:pStyle w:val="VCAAtablecondensedheading"/>
              <w:rPr>
                <w:color w:val="F2F2F2" w:themeColor="background1" w:themeShade="F2"/>
              </w:rPr>
            </w:pPr>
            <w:r>
              <w:rPr>
                <w:color w:val="F2F2F2" w:themeColor="background1" w:themeShade="F2"/>
              </w:rPr>
              <w:t>9</w:t>
            </w:r>
          </w:p>
        </w:tc>
        <w:tc>
          <w:tcPr>
            <w:tcW w:w="576" w:type="dxa"/>
          </w:tcPr>
          <w:p w14:paraId="17FE98E2" w14:textId="77777777" w:rsidR="00B701E6" w:rsidRDefault="00B701E6" w:rsidP="00EC2D37">
            <w:pPr>
              <w:pStyle w:val="VCAAtablecondensedheading"/>
              <w:rPr>
                <w:color w:val="F2F2F2" w:themeColor="background1" w:themeShade="F2"/>
              </w:rPr>
            </w:pPr>
            <w:r>
              <w:rPr>
                <w:color w:val="F2F2F2" w:themeColor="background1" w:themeShade="F2"/>
              </w:rPr>
              <w:t>10</w:t>
            </w:r>
          </w:p>
        </w:tc>
        <w:tc>
          <w:tcPr>
            <w:tcW w:w="864" w:type="dxa"/>
          </w:tcPr>
          <w:p w14:paraId="1D3BD6C4" w14:textId="77777777" w:rsidR="00B701E6" w:rsidRDefault="00B701E6" w:rsidP="00EC2D37">
            <w:pPr>
              <w:pStyle w:val="VCAAtablecondensedheading"/>
              <w:rPr>
                <w:color w:val="F2F2F2" w:themeColor="background1" w:themeShade="F2"/>
              </w:rPr>
            </w:pPr>
            <w:r>
              <w:rPr>
                <w:color w:val="F2F2F2" w:themeColor="background1" w:themeShade="F2"/>
              </w:rPr>
              <w:t>Average</w:t>
            </w:r>
          </w:p>
        </w:tc>
      </w:tr>
      <w:tr w:rsidR="00EC4CAD" w14:paraId="5411206C" w14:textId="77777777" w:rsidTr="005161A0">
        <w:tc>
          <w:tcPr>
            <w:tcW w:w="894" w:type="dxa"/>
          </w:tcPr>
          <w:p w14:paraId="076CE2D6" w14:textId="77777777" w:rsidR="00B701E6" w:rsidRDefault="00B701E6" w:rsidP="00EC2D37">
            <w:pPr>
              <w:pStyle w:val="VCAAtablecondensed"/>
            </w:pPr>
            <w:r>
              <w:t>%</w:t>
            </w:r>
          </w:p>
        </w:tc>
        <w:tc>
          <w:tcPr>
            <w:tcW w:w="576" w:type="dxa"/>
          </w:tcPr>
          <w:p w14:paraId="7746EF2D" w14:textId="77777777" w:rsidR="00B701E6" w:rsidRDefault="00B701E6" w:rsidP="00EC2D37">
            <w:pPr>
              <w:pStyle w:val="VCAAtablecondensed"/>
            </w:pPr>
            <w:r>
              <w:t>0</w:t>
            </w:r>
          </w:p>
        </w:tc>
        <w:tc>
          <w:tcPr>
            <w:tcW w:w="576" w:type="dxa"/>
          </w:tcPr>
          <w:p w14:paraId="77527D77" w14:textId="705515C1" w:rsidR="00B701E6" w:rsidRDefault="00B701E6" w:rsidP="00EC2D37">
            <w:pPr>
              <w:pStyle w:val="VCAAtablecondensed"/>
            </w:pPr>
            <w:r>
              <w:t>0.</w:t>
            </w:r>
            <w:r w:rsidR="00DD11C8">
              <w:t>5</w:t>
            </w:r>
          </w:p>
        </w:tc>
        <w:tc>
          <w:tcPr>
            <w:tcW w:w="576" w:type="dxa"/>
          </w:tcPr>
          <w:p w14:paraId="32A442A1" w14:textId="082E2A94" w:rsidR="00B701E6" w:rsidRDefault="00EC4CAD" w:rsidP="00EC2D37">
            <w:pPr>
              <w:pStyle w:val="VCAAtablecondensed"/>
            </w:pPr>
            <w:r>
              <w:t>3</w:t>
            </w:r>
          </w:p>
        </w:tc>
        <w:tc>
          <w:tcPr>
            <w:tcW w:w="576" w:type="dxa"/>
          </w:tcPr>
          <w:p w14:paraId="629CF2D4" w14:textId="409A4901" w:rsidR="00B701E6" w:rsidRDefault="00EC4CAD" w:rsidP="00EC2D37">
            <w:pPr>
              <w:pStyle w:val="VCAAtablecondensed"/>
            </w:pPr>
            <w:r>
              <w:t>8</w:t>
            </w:r>
          </w:p>
        </w:tc>
        <w:tc>
          <w:tcPr>
            <w:tcW w:w="576" w:type="dxa"/>
          </w:tcPr>
          <w:p w14:paraId="3A1C8EC6" w14:textId="37F38E65" w:rsidR="00B701E6" w:rsidRDefault="00B701E6" w:rsidP="00EC2D37">
            <w:pPr>
              <w:pStyle w:val="VCAAtablecondensed"/>
            </w:pPr>
            <w:r>
              <w:t>11</w:t>
            </w:r>
          </w:p>
        </w:tc>
        <w:tc>
          <w:tcPr>
            <w:tcW w:w="576" w:type="dxa"/>
          </w:tcPr>
          <w:p w14:paraId="749E2103" w14:textId="410B629D" w:rsidR="00B701E6" w:rsidRDefault="00B701E6" w:rsidP="00EC2D37">
            <w:pPr>
              <w:pStyle w:val="VCAAtablecondensed"/>
            </w:pPr>
            <w:r>
              <w:t>1</w:t>
            </w:r>
            <w:r w:rsidR="00EC4CAD">
              <w:t>4</w:t>
            </w:r>
          </w:p>
        </w:tc>
        <w:tc>
          <w:tcPr>
            <w:tcW w:w="576" w:type="dxa"/>
          </w:tcPr>
          <w:p w14:paraId="71655D2F" w14:textId="6677374B" w:rsidR="00B701E6" w:rsidRDefault="00B701E6" w:rsidP="00EC2D37">
            <w:pPr>
              <w:pStyle w:val="VCAAtablecondensed"/>
            </w:pPr>
            <w:r>
              <w:t>20</w:t>
            </w:r>
          </w:p>
        </w:tc>
        <w:tc>
          <w:tcPr>
            <w:tcW w:w="576" w:type="dxa"/>
          </w:tcPr>
          <w:p w14:paraId="58B4BFE5" w14:textId="6EAEAF94" w:rsidR="00B701E6" w:rsidRDefault="00B701E6" w:rsidP="00EC2D37">
            <w:pPr>
              <w:pStyle w:val="VCAAtablecondensed"/>
            </w:pPr>
            <w:r>
              <w:t>1</w:t>
            </w:r>
            <w:r w:rsidR="00EC4CAD">
              <w:t>8</w:t>
            </w:r>
          </w:p>
        </w:tc>
        <w:tc>
          <w:tcPr>
            <w:tcW w:w="576" w:type="dxa"/>
          </w:tcPr>
          <w:p w14:paraId="29329CB8" w14:textId="65BB7E28" w:rsidR="00B701E6" w:rsidRDefault="00B701E6" w:rsidP="00EC2D37">
            <w:pPr>
              <w:pStyle w:val="VCAAtablecondensed"/>
            </w:pPr>
            <w:r>
              <w:t>1</w:t>
            </w:r>
            <w:r w:rsidR="00EC4CAD">
              <w:t>4</w:t>
            </w:r>
          </w:p>
        </w:tc>
        <w:tc>
          <w:tcPr>
            <w:tcW w:w="576" w:type="dxa"/>
          </w:tcPr>
          <w:p w14:paraId="15B3013C" w14:textId="4B540301" w:rsidR="00B701E6" w:rsidRDefault="00B701E6" w:rsidP="00EC2D37">
            <w:pPr>
              <w:pStyle w:val="VCAAtablecondensed"/>
            </w:pPr>
            <w:r>
              <w:t>8</w:t>
            </w:r>
          </w:p>
        </w:tc>
        <w:tc>
          <w:tcPr>
            <w:tcW w:w="576" w:type="dxa"/>
          </w:tcPr>
          <w:p w14:paraId="0F430BBA" w14:textId="181A8498" w:rsidR="00B701E6" w:rsidRDefault="00B701E6" w:rsidP="00EC2D37">
            <w:pPr>
              <w:pStyle w:val="VCAAtablecondensed"/>
            </w:pPr>
            <w:r>
              <w:t>4</w:t>
            </w:r>
          </w:p>
        </w:tc>
        <w:tc>
          <w:tcPr>
            <w:tcW w:w="864" w:type="dxa"/>
          </w:tcPr>
          <w:p w14:paraId="1A25A980" w14:textId="7400126E" w:rsidR="00B701E6" w:rsidRDefault="00B701E6" w:rsidP="00EC2D37">
            <w:pPr>
              <w:pStyle w:val="VCAAtablecondensed"/>
            </w:pPr>
            <w:r>
              <w:t>6.</w:t>
            </w:r>
            <w:r w:rsidR="00EC4CAD">
              <w:t>2</w:t>
            </w:r>
          </w:p>
        </w:tc>
      </w:tr>
    </w:tbl>
    <w:p w14:paraId="751187DB" w14:textId="7536C5E7" w:rsidR="00AD62AC" w:rsidRPr="009C604E" w:rsidRDefault="00AD62AC" w:rsidP="009C604E">
      <w:pPr>
        <w:pStyle w:val="VCAAbody"/>
      </w:pPr>
      <w:r w:rsidRPr="00AD62AC">
        <w:rPr>
          <w:lang w:eastAsia="en-GB"/>
        </w:rPr>
        <w:t>This aspect of the oral presentation requires students to critically reflect on and evaluate their extended investigation. Both the presentation and questions</w:t>
      </w:r>
      <w:r w:rsidR="00B701E6">
        <w:rPr>
          <w:lang w:eastAsia="en-GB"/>
        </w:rPr>
        <w:t xml:space="preserve"> and </w:t>
      </w:r>
      <w:r w:rsidRPr="00AD62AC">
        <w:rPr>
          <w:lang w:eastAsia="en-GB"/>
        </w:rPr>
        <w:t xml:space="preserve">challenges sections are used to assess </w:t>
      </w:r>
      <w:r w:rsidR="00B701E6">
        <w:rPr>
          <w:lang w:eastAsia="en-GB"/>
        </w:rPr>
        <w:t xml:space="preserve">against </w:t>
      </w:r>
      <w:r w:rsidRPr="00AD62AC">
        <w:rPr>
          <w:lang w:eastAsia="en-GB"/>
        </w:rPr>
        <w:t>this criterion. </w:t>
      </w:r>
    </w:p>
    <w:p w14:paraId="5849645E" w14:textId="51F7131B" w:rsidR="00AD62AC" w:rsidRPr="009C604E" w:rsidRDefault="00AD62AC" w:rsidP="009C604E">
      <w:pPr>
        <w:pStyle w:val="VCAAbody"/>
      </w:pPr>
      <w:r w:rsidRPr="00AD62AC">
        <w:rPr>
          <w:lang w:eastAsia="en-GB"/>
        </w:rPr>
        <w:t xml:space="preserve">COVID-19 impacted students to varying degrees in 2021. For some, the impact was significant, though others appeared to use COVID-19 as an excuse for collecting insufficient and unreliable data. Students </w:t>
      </w:r>
      <w:r w:rsidR="005C0D66">
        <w:rPr>
          <w:lang w:eastAsia="en-GB"/>
        </w:rPr>
        <w:t>who</w:t>
      </w:r>
      <w:r w:rsidR="005C0D66" w:rsidRPr="00AD62AC">
        <w:rPr>
          <w:lang w:eastAsia="en-GB"/>
        </w:rPr>
        <w:t xml:space="preserve"> </w:t>
      </w:r>
      <w:r w:rsidRPr="00AD62AC">
        <w:rPr>
          <w:lang w:eastAsia="en-GB"/>
        </w:rPr>
        <w:t xml:space="preserve">were able to come up with creative solutions to the practical problems of the year were also usually able to reflect on these decisions with accuracy and insight. Students need to understand the limitations and scope of their research. It is okay for a student to not have findings, or to have research that does not work the way they had </w:t>
      </w:r>
      <w:proofErr w:type="spellStart"/>
      <w:r w:rsidRPr="00AD62AC">
        <w:rPr>
          <w:lang w:eastAsia="en-GB"/>
        </w:rPr>
        <w:t>hypothesised</w:t>
      </w:r>
      <w:proofErr w:type="spellEnd"/>
      <w:r w:rsidRPr="00AD62AC">
        <w:rPr>
          <w:lang w:eastAsia="en-GB"/>
        </w:rPr>
        <w:t>, if they understand why it happened</w:t>
      </w:r>
      <w:r w:rsidR="00732855">
        <w:rPr>
          <w:lang w:eastAsia="en-GB"/>
        </w:rPr>
        <w:t>;</w:t>
      </w:r>
      <w:r w:rsidRPr="00AD62AC">
        <w:rPr>
          <w:lang w:eastAsia="en-GB"/>
        </w:rPr>
        <w:t xml:space="preserve"> this is a better approach to take than trying to extract significant findings from insufficient data.</w:t>
      </w:r>
    </w:p>
    <w:p w14:paraId="110B6586" w14:textId="630AF3F2" w:rsidR="00AD62AC" w:rsidRPr="009C604E" w:rsidRDefault="00AD62AC" w:rsidP="009C604E">
      <w:pPr>
        <w:pStyle w:val="VCAAbody"/>
      </w:pPr>
      <w:bookmarkStart w:id="2" w:name="_Hlk96095255"/>
      <w:r w:rsidRPr="00AD62AC">
        <w:rPr>
          <w:lang w:eastAsia="en-GB"/>
        </w:rPr>
        <w:lastRenderedPageBreak/>
        <w:t xml:space="preserve">When reflecting and evaluating, students are provided with an opportunity to further demonstrate critical thinking and conceptual clarity. </w:t>
      </w:r>
    </w:p>
    <w:bookmarkEnd w:id="2"/>
    <w:p w14:paraId="7AFADC05" w14:textId="640BC35B" w:rsidR="00AD62AC" w:rsidRPr="00AD62AC" w:rsidRDefault="00AD62AC" w:rsidP="009C604E">
      <w:pPr>
        <w:pStyle w:val="VCAAbody"/>
        <w:rPr>
          <w:lang w:eastAsia="en-GB"/>
        </w:rPr>
      </w:pPr>
      <w:r w:rsidRPr="009C604E">
        <w:rPr>
          <w:rStyle w:val="VCAAbodyChar"/>
        </w:rPr>
        <w:t xml:space="preserve">Students </w:t>
      </w:r>
      <w:r w:rsidR="000D1585">
        <w:rPr>
          <w:rStyle w:val="VCAAbodyChar"/>
        </w:rPr>
        <w:t xml:space="preserve">whose responses </w:t>
      </w:r>
      <w:r w:rsidRPr="009C604E">
        <w:rPr>
          <w:rStyle w:val="VCAAbodyChar"/>
        </w:rPr>
        <w:t>scor</w:t>
      </w:r>
      <w:r w:rsidR="000D1585">
        <w:rPr>
          <w:rStyle w:val="VCAAbodyChar"/>
        </w:rPr>
        <w:t>ed</w:t>
      </w:r>
      <w:r w:rsidRPr="009C604E">
        <w:rPr>
          <w:rStyle w:val="VCAAbodyChar"/>
        </w:rPr>
        <w:t xml:space="preserve"> </w:t>
      </w:r>
      <w:r w:rsidR="004B688F">
        <w:rPr>
          <w:rStyle w:val="VCAAbodyChar"/>
        </w:rPr>
        <w:t>highly</w:t>
      </w:r>
      <w:r w:rsidRPr="009C604E">
        <w:rPr>
          <w:rStyle w:val="VCAAbodyChar"/>
        </w:rPr>
        <w:t xml:space="preserve"> reflected </w:t>
      </w:r>
      <w:r w:rsidR="009745ED">
        <w:rPr>
          <w:rStyle w:val="VCAAbodyChar"/>
        </w:rPr>
        <w:t xml:space="preserve">thoughtfully and in detail </w:t>
      </w:r>
      <w:r w:rsidRPr="009C604E">
        <w:rPr>
          <w:rStyle w:val="VCAAbodyChar"/>
        </w:rPr>
        <w:t>on the decisions they made throughout their investigation and critically examine</w:t>
      </w:r>
      <w:r w:rsidR="000D1585">
        <w:rPr>
          <w:rStyle w:val="VCAAbodyChar"/>
        </w:rPr>
        <w:t>d</w:t>
      </w:r>
      <w:r w:rsidRPr="009C604E">
        <w:rPr>
          <w:rStyle w:val="VCAAbodyChar"/>
        </w:rPr>
        <w:t xml:space="preserve"> and evaluate</w:t>
      </w:r>
      <w:r w:rsidR="000D1585">
        <w:rPr>
          <w:rStyle w:val="VCAAbodyChar"/>
        </w:rPr>
        <w:t>d</w:t>
      </w:r>
      <w:r w:rsidR="009745ED">
        <w:rPr>
          <w:rStyle w:val="VCAAbodyChar"/>
        </w:rPr>
        <w:t xml:space="preserve"> the</w:t>
      </w:r>
      <w:r w:rsidR="000153DD">
        <w:rPr>
          <w:rStyle w:val="VCAAbodyChar"/>
        </w:rPr>
        <w:t>ir</w:t>
      </w:r>
      <w:r w:rsidR="009745ED">
        <w:rPr>
          <w:rStyle w:val="VCAAbodyChar"/>
        </w:rPr>
        <w:t xml:space="preserve"> r</w:t>
      </w:r>
      <w:r w:rsidRPr="009C604E">
        <w:rPr>
          <w:rStyle w:val="VCAAbodyChar"/>
        </w:rPr>
        <w:t xml:space="preserve">esearch process and findings. </w:t>
      </w:r>
      <w:r w:rsidR="009745ED">
        <w:rPr>
          <w:rStyle w:val="VCAAbodyChar"/>
        </w:rPr>
        <w:t xml:space="preserve">They </w:t>
      </w:r>
      <w:r w:rsidR="009745ED" w:rsidRPr="0034557F">
        <w:rPr>
          <w:rStyle w:val="VCAAbodyChar"/>
        </w:rPr>
        <w:t>often embedded their reflection and evaluation across the different stages of their investigation, from the significance of their topic and background literature to data collection decisions and the findings</w:t>
      </w:r>
      <w:r w:rsidR="00614136">
        <w:rPr>
          <w:rStyle w:val="VCAAbodyChar"/>
        </w:rPr>
        <w:t xml:space="preserve">. </w:t>
      </w:r>
      <w:r w:rsidRPr="009C604E">
        <w:rPr>
          <w:rStyle w:val="VCAAbodyChar"/>
        </w:rPr>
        <w:t xml:space="preserve">It is important </w:t>
      </w:r>
      <w:r w:rsidR="00614136">
        <w:rPr>
          <w:rStyle w:val="VCAAbodyChar"/>
        </w:rPr>
        <w:t xml:space="preserve">for </w:t>
      </w:r>
      <w:r w:rsidRPr="009C604E">
        <w:rPr>
          <w:rStyle w:val="VCAAbodyChar"/>
        </w:rPr>
        <w:t xml:space="preserve">students </w:t>
      </w:r>
      <w:r w:rsidR="00614136">
        <w:rPr>
          <w:rStyle w:val="VCAAbodyChar"/>
        </w:rPr>
        <w:t xml:space="preserve">to not limit </w:t>
      </w:r>
      <w:r w:rsidRPr="009C604E">
        <w:rPr>
          <w:rStyle w:val="VCAAbodyChar"/>
        </w:rPr>
        <w:t>their reflection and evaluation to discussing limitations and offering suggestions for further research.</w:t>
      </w:r>
    </w:p>
    <w:p w14:paraId="2BFEC77D" w14:textId="297FDFD7" w:rsidR="00AD62AC" w:rsidRPr="009C604E" w:rsidRDefault="00AD62AC" w:rsidP="009C604E">
      <w:pPr>
        <w:pStyle w:val="VCAAbody"/>
      </w:pPr>
      <w:r w:rsidRPr="00AD62AC">
        <w:rPr>
          <w:lang w:eastAsia="en-GB"/>
        </w:rPr>
        <w:t xml:space="preserve">These students </w:t>
      </w:r>
      <w:r w:rsidR="00C95949">
        <w:rPr>
          <w:lang w:eastAsia="en-GB"/>
        </w:rPr>
        <w:t xml:space="preserve">were </w:t>
      </w:r>
      <w:r w:rsidRPr="00AD62AC">
        <w:rPr>
          <w:lang w:eastAsia="en-GB"/>
        </w:rPr>
        <w:t>also ab</w:t>
      </w:r>
      <w:r w:rsidR="00C95949">
        <w:rPr>
          <w:lang w:eastAsia="en-GB"/>
        </w:rPr>
        <w:t>le</w:t>
      </w:r>
      <w:r w:rsidRPr="00AD62AC">
        <w:rPr>
          <w:lang w:eastAsia="en-GB"/>
        </w:rPr>
        <w:t xml:space="preserve"> to reflect on what they had learned</w:t>
      </w:r>
      <w:r w:rsidR="00C95949">
        <w:rPr>
          <w:lang w:eastAsia="en-GB"/>
        </w:rPr>
        <w:t>,</w:t>
      </w:r>
      <w:r w:rsidR="00C95949" w:rsidRPr="00C95949">
        <w:rPr>
          <w:lang w:eastAsia="en-GB"/>
        </w:rPr>
        <w:t xml:space="preserve"> </w:t>
      </w:r>
      <w:r w:rsidR="00C95949" w:rsidRPr="00AD62AC">
        <w:rPr>
          <w:lang w:eastAsia="en-GB"/>
        </w:rPr>
        <w:t>display</w:t>
      </w:r>
      <w:r w:rsidR="00C95949">
        <w:rPr>
          <w:lang w:eastAsia="en-GB"/>
        </w:rPr>
        <w:t>ing</w:t>
      </w:r>
      <w:r w:rsidR="00C95949" w:rsidRPr="00AD62AC">
        <w:rPr>
          <w:lang w:eastAsia="en-GB"/>
        </w:rPr>
        <w:t xml:space="preserve"> qualities of an inquiring mind</w:t>
      </w:r>
      <w:r w:rsidR="00C95949">
        <w:rPr>
          <w:lang w:eastAsia="en-GB"/>
        </w:rPr>
        <w:t>.</w:t>
      </w:r>
      <w:r w:rsidRPr="00AD62AC">
        <w:rPr>
          <w:lang w:eastAsia="en-GB"/>
        </w:rPr>
        <w:t xml:space="preserve"> </w:t>
      </w:r>
      <w:r w:rsidR="00C95949">
        <w:rPr>
          <w:lang w:eastAsia="en-GB"/>
        </w:rPr>
        <w:t>F</w:t>
      </w:r>
      <w:r w:rsidRPr="00AD62AC">
        <w:rPr>
          <w:lang w:eastAsia="en-GB"/>
        </w:rPr>
        <w:t xml:space="preserve">or example, </w:t>
      </w:r>
      <w:r w:rsidR="00C95949">
        <w:rPr>
          <w:lang w:eastAsia="en-GB"/>
        </w:rPr>
        <w:t xml:space="preserve">they were able to </w:t>
      </w:r>
      <w:r w:rsidRPr="00AD62AC">
        <w:rPr>
          <w:lang w:eastAsia="en-GB"/>
        </w:rPr>
        <w:t>demonstrate why their question was important, admit that they had, or may have, made mistakes</w:t>
      </w:r>
      <w:r w:rsidR="00C95949">
        <w:rPr>
          <w:lang w:eastAsia="en-GB"/>
        </w:rPr>
        <w:t xml:space="preserve">, </w:t>
      </w:r>
      <w:r w:rsidRPr="00AD62AC">
        <w:rPr>
          <w:lang w:eastAsia="en-GB"/>
        </w:rPr>
        <w:t>were surprised by certain findings</w:t>
      </w:r>
      <w:r w:rsidR="00C95949">
        <w:rPr>
          <w:lang w:eastAsia="en-GB"/>
        </w:rPr>
        <w:t xml:space="preserve"> and</w:t>
      </w:r>
      <w:r w:rsidRPr="00AD62AC">
        <w:rPr>
          <w:lang w:eastAsia="en-GB"/>
        </w:rPr>
        <w:t xml:space="preserve"> that, given their time over again, they would do some things differently.</w:t>
      </w:r>
      <w:r w:rsidR="00BB64A9">
        <w:rPr>
          <w:lang w:eastAsia="en-GB"/>
        </w:rPr>
        <w:t xml:space="preserve"> </w:t>
      </w:r>
      <w:r w:rsidR="00BB64A9" w:rsidRPr="00AD62AC">
        <w:rPr>
          <w:lang w:eastAsia="en-GB"/>
        </w:rPr>
        <w:t xml:space="preserve">They clearly understood the ethical dimensions of the research </w:t>
      </w:r>
      <w:r w:rsidRPr="00AD62AC">
        <w:rPr>
          <w:lang w:eastAsia="en-GB"/>
        </w:rPr>
        <w:t>and embodied the ethics in their work, rather than merely naming potential ethical issues.</w:t>
      </w:r>
    </w:p>
    <w:p w14:paraId="2D4BBBD8" w14:textId="66AAA590" w:rsidR="0069203C" w:rsidRPr="00447FDF" w:rsidRDefault="00AD62AC" w:rsidP="0069203C">
      <w:pPr>
        <w:pStyle w:val="VCAAbody"/>
      </w:pPr>
      <w:r w:rsidRPr="009C604E">
        <w:rPr>
          <w:rStyle w:val="VCAAbodyChar"/>
        </w:rPr>
        <w:t>In middle and lower range presentations students often listed limitations without expla</w:t>
      </w:r>
      <w:r w:rsidR="000153DD">
        <w:rPr>
          <w:rStyle w:val="VCAAbodyChar"/>
        </w:rPr>
        <w:t>ining</w:t>
      </w:r>
      <w:r w:rsidRPr="009C604E">
        <w:rPr>
          <w:rStyle w:val="VCAAbodyChar"/>
        </w:rPr>
        <w:t xml:space="preserve"> their impact, or cited issues such as time constraints, word count and lack of </w:t>
      </w:r>
      <w:proofErr w:type="spellStart"/>
      <w:r w:rsidRPr="009C604E">
        <w:rPr>
          <w:rStyle w:val="VCAAbodyChar"/>
        </w:rPr>
        <w:t>organisation</w:t>
      </w:r>
      <w:proofErr w:type="spellEnd"/>
      <w:r w:rsidRPr="009C604E">
        <w:rPr>
          <w:rStyle w:val="VCAAbodyChar"/>
        </w:rPr>
        <w:t xml:space="preserve"> as their key limitations. A number of students reflected on their investigations but did not critically explore how the limitations of their own planning or their research design affected their results.</w:t>
      </w:r>
      <w:r w:rsidR="004B688F">
        <w:rPr>
          <w:rStyle w:val="VCAAbodyChar"/>
        </w:rPr>
        <w:t xml:space="preserve"> </w:t>
      </w:r>
      <w:r w:rsidRPr="00AD62AC">
        <w:rPr>
          <w:lang w:eastAsia="en-GB"/>
        </w:rPr>
        <w:t xml:space="preserve">In considering what they might do differently, </w:t>
      </w:r>
      <w:r w:rsidR="00BB64A9">
        <w:rPr>
          <w:lang w:eastAsia="en-GB"/>
        </w:rPr>
        <w:t xml:space="preserve">these </w:t>
      </w:r>
      <w:r w:rsidRPr="00AD62AC">
        <w:rPr>
          <w:lang w:eastAsia="en-GB"/>
        </w:rPr>
        <w:t xml:space="preserve">students took the </w:t>
      </w:r>
      <w:r w:rsidR="00BB64A9">
        <w:rPr>
          <w:lang w:eastAsia="en-GB"/>
        </w:rPr>
        <w:t>‘</w:t>
      </w:r>
      <w:r w:rsidRPr="00AD62AC">
        <w:rPr>
          <w:lang w:eastAsia="en-GB"/>
        </w:rPr>
        <w:t>more and bigger</w:t>
      </w:r>
      <w:r w:rsidR="00BB64A9">
        <w:rPr>
          <w:lang w:eastAsia="en-GB"/>
        </w:rPr>
        <w:t>’</w:t>
      </w:r>
      <w:r w:rsidRPr="00AD62AC">
        <w:rPr>
          <w:lang w:eastAsia="en-GB"/>
        </w:rPr>
        <w:t xml:space="preserve"> approach (</w:t>
      </w:r>
      <w:r w:rsidR="00166ABF">
        <w:rPr>
          <w:lang w:eastAsia="en-GB"/>
        </w:rPr>
        <w:t>for example,</w:t>
      </w:r>
      <w:r w:rsidR="00BB64A9">
        <w:rPr>
          <w:lang w:eastAsia="en-GB"/>
        </w:rPr>
        <w:t xml:space="preserve"> </w:t>
      </w:r>
      <w:r w:rsidRPr="00AD62AC">
        <w:rPr>
          <w:lang w:eastAsia="en-GB"/>
        </w:rPr>
        <w:t>more time and bigger sample size). Whil</w:t>
      </w:r>
      <w:r w:rsidR="00BB64A9">
        <w:rPr>
          <w:lang w:eastAsia="en-GB"/>
        </w:rPr>
        <w:t>e</w:t>
      </w:r>
      <w:r w:rsidRPr="00AD62AC">
        <w:rPr>
          <w:lang w:eastAsia="en-GB"/>
        </w:rPr>
        <w:t xml:space="preserve"> this is not necessarily a problem, some students were unable to explain the impact this might have on their findings.</w:t>
      </w:r>
      <w:r w:rsidR="0069203C" w:rsidRPr="0069203C">
        <w:rPr>
          <w:lang w:eastAsia="en-GB"/>
        </w:rPr>
        <w:t xml:space="preserve"> </w:t>
      </w:r>
      <w:r w:rsidR="0069203C" w:rsidRPr="00AD62AC">
        <w:rPr>
          <w:lang w:eastAsia="en-GB"/>
        </w:rPr>
        <w:t>For many</w:t>
      </w:r>
      <w:r w:rsidR="004B688F">
        <w:rPr>
          <w:lang w:eastAsia="en-GB"/>
        </w:rPr>
        <w:t>,</w:t>
      </w:r>
      <w:r w:rsidR="0069203C" w:rsidRPr="00AD62AC">
        <w:rPr>
          <w:lang w:eastAsia="en-GB"/>
        </w:rPr>
        <w:t xml:space="preserve"> reflection </w:t>
      </w:r>
      <w:r w:rsidR="0069203C">
        <w:rPr>
          <w:lang w:eastAsia="en-GB"/>
        </w:rPr>
        <w:t>was</w:t>
      </w:r>
      <w:r w:rsidR="0069203C" w:rsidRPr="00AD62AC">
        <w:rPr>
          <w:lang w:eastAsia="en-GB"/>
        </w:rPr>
        <w:t xml:space="preserve"> not much more than telling the assessor that they enjoyed doing the research; </w:t>
      </w:r>
      <w:r w:rsidR="000153DD">
        <w:rPr>
          <w:lang w:eastAsia="en-GB"/>
        </w:rPr>
        <w:t xml:space="preserve">in response to the </w:t>
      </w:r>
      <w:r w:rsidR="0069203C" w:rsidRPr="00AD62AC">
        <w:rPr>
          <w:lang w:eastAsia="en-GB"/>
        </w:rPr>
        <w:t>commonly asked</w:t>
      </w:r>
      <w:r w:rsidR="00090FE3">
        <w:rPr>
          <w:lang w:eastAsia="en-GB"/>
        </w:rPr>
        <w:t xml:space="preserve"> question </w:t>
      </w:r>
      <w:r w:rsidR="000153DD">
        <w:rPr>
          <w:lang w:eastAsia="en-GB"/>
        </w:rPr>
        <w:t>‘</w:t>
      </w:r>
      <w:r w:rsidR="0069203C" w:rsidRPr="00AD62AC">
        <w:rPr>
          <w:lang w:eastAsia="en-GB"/>
        </w:rPr>
        <w:t>who would find your research of value</w:t>
      </w:r>
      <w:r w:rsidR="000153DD">
        <w:rPr>
          <w:lang w:eastAsia="en-GB"/>
        </w:rPr>
        <w:t>’</w:t>
      </w:r>
      <w:r w:rsidR="00090FE3">
        <w:rPr>
          <w:lang w:eastAsia="en-GB"/>
        </w:rPr>
        <w:t xml:space="preserve">, </w:t>
      </w:r>
      <w:r w:rsidR="0069203C">
        <w:rPr>
          <w:lang w:eastAsia="en-GB"/>
        </w:rPr>
        <w:t>these</w:t>
      </w:r>
      <w:r w:rsidR="0069203C" w:rsidRPr="00AD62AC">
        <w:rPr>
          <w:lang w:eastAsia="en-GB"/>
        </w:rPr>
        <w:t xml:space="preserve"> students struggled to reflect on where their research might fit in a broader context.</w:t>
      </w:r>
    </w:p>
    <w:p w14:paraId="021636F1" w14:textId="557D22DF" w:rsidR="00E17337" w:rsidRDefault="00AD62AC" w:rsidP="005161A0">
      <w:pPr>
        <w:pStyle w:val="VCAAbody"/>
        <w:rPr>
          <w:sz w:val="22"/>
        </w:rPr>
      </w:pPr>
      <w:bookmarkStart w:id="3" w:name="_Hlk94621572"/>
      <w:r w:rsidRPr="00AD62AC">
        <w:rPr>
          <w:lang w:eastAsia="en-GB"/>
        </w:rPr>
        <w:t xml:space="preserve">It is important that students take ethical issues seriously in their investigations and understand the ethical dimensions of their research. </w:t>
      </w:r>
      <w:r w:rsidR="00D62499">
        <w:rPr>
          <w:lang w:eastAsia="en-GB"/>
        </w:rPr>
        <w:t>S</w:t>
      </w:r>
      <w:r w:rsidRPr="00AD62AC">
        <w:rPr>
          <w:lang w:eastAsia="en-GB"/>
        </w:rPr>
        <w:t xml:space="preserve">tating that participants in interviews and surveys are provided with ethics forms to complete does not show a deep understanding. </w:t>
      </w:r>
      <w:r w:rsidR="00E17337">
        <w:rPr>
          <w:lang w:eastAsia="en-GB"/>
        </w:rPr>
        <w:t>Examples of demonstrating a</w:t>
      </w:r>
      <w:r w:rsidR="00E17337">
        <w:t xml:space="preserve"> deeper understanding of ethical considerations included exploring the environmental sustainability of materials used in scientific experiments or showing an understanding of the cultural, religious and language</w:t>
      </w:r>
      <w:r w:rsidR="004B688F">
        <w:t xml:space="preserve"> </w:t>
      </w:r>
      <w:r w:rsidR="00E17337">
        <w:t>differences of interview or focus group participants.</w:t>
      </w:r>
    </w:p>
    <w:bookmarkEnd w:id="3"/>
    <w:p w14:paraId="2E5FA61A" w14:textId="29465B19" w:rsidR="0044213C" w:rsidRPr="009C604E" w:rsidRDefault="0044213C" w:rsidP="00FD5429">
      <w:pPr>
        <w:pStyle w:val="VCAAbody"/>
      </w:pPr>
    </w:p>
    <w:sectPr w:rsidR="0044213C" w:rsidRPr="009C604E"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9E55" w14:textId="77777777" w:rsidR="004D036F" w:rsidRDefault="004D036F" w:rsidP="00304EA1">
      <w:r>
        <w:separator/>
      </w:r>
    </w:p>
  </w:endnote>
  <w:endnote w:type="continuationSeparator" w:id="0">
    <w:p w14:paraId="0F1E6599" w14:textId="77777777" w:rsidR="004D036F" w:rsidRDefault="004D036F"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B7210" w:rsidRPr="00D06414" w14:paraId="5DA420EB" w14:textId="77777777" w:rsidTr="00BB3BAB">
      <w:trPr>
        <w:trHeight w:val="476"/>
      </w:trPr>
      <w:tc>
        <w:tcPr>
          <w:tcW w:w="1667" w:type="pct"/>
          <w:tcMar>
            <w:left w:w="0" w:type="dxa"/>
            <w:right w:w="0" w:type="dxa"/>
          </w:tcMar>
        </w:tcPr>
        <w:p w14:paraId="56CA3BA1" w14:textId="77777777" w:rsidR="00FB7210" w:rsidRPr="00D06414" w:rsidRDefault="00FB7210"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75E6894" w14:textId="77777777" w:rsidR="00FB7210" w:rsidRPr="00D06414" w:rsidRDefault="00FB7210"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6BDECE7A" w14:textId="75B11C77" w:rsidR="00FB7210" w:rsidRPr="00D06414" w:rsidRDefault="00FB7210"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7746DD">
            <w:rPr>
              <w:rFonts w:asciiTheme="majorHAnsi" w:hAnsiTheme="majorHAnsi" w:cs="Arial"/>
              <w:noProof/>
              <w:color w:val="999999" w:themeColor="accent2"/>
              <w:sz w:val="18"/>
              <w:szCs w:val="18"/>
            </w:rPr>
            <w:t>5</w:t>
          </w:r>
          <w:r w:rsidRPr="00D06414">
            <w:rPr>
              <w:rFonts w:asciiTheme="majorHAnsi" w:hAnsiTheme="majorHAnsi" w:cs="Arial"/>
              <w:color w:val="999999" w:themeColor="accent2"/>
              <w:sz w:val="18"/>
              <w:szCs w:val="18"/>
            </w:rPr>
            <w:fldChar w:fldCharType="end"/>
          </w:r>
        </w:p>
      </w:tc>
    </w:tr>
  </w:tbl>
  <w:p w14:paraId="7C8FC849" w14:textId="77777777" w:rsidR="00FB7210" w:rsidRPr="00D06414" w:rsidRDefault="00FB7210"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59264" behindDoc="1" locked="1" layoutInCell="1" allowOverlap="1" wp14:anchorId="73CD3810" wp14:editId="22ECAB6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B7210" w:rsidRPr="00D06414" w14:paraId="0A11F30B" w14:textId="77777777" w:rsidTr="000F5AAF">
      <w:tc>
        <w:tcPr>
          <w:tcW w:w="1459" w:type="pct"/>
          <w:tcMar>
            <w:left w:w="0" w:type="dxa"/>
            <w:right w:w="0" w:type="dxa"/>
          </w:tcMar>
        </w:tcPr>
        <w:p w14:paraId="49C0A737" w14:textId="77777777" w:rsidR="00FB7210" w:rsidRPr="00D06414" w:rsidRDefault="00FB7210"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EDBCB95" w14:textId="77777777" w:rsidR="00FB7210" w:rsidRPr="00D06414" w:rsidRDefault="00FB7210"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11E14D4" w14:textId="77777777" w:rsidR="00FB7210" w:rsidRPr="00D06414" w:rsidRDefault="00FB7210"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DA5A14B" w14:textId="77777777" w:rsidR="00FB7210" w:rsidRPr="00D06414" w:rsidRDefault="00FB7210" w:rsidP="00D06414">
    <w:pPr>
      <w:pStyle w:val="Footer"/>
      <w:rPr>
        <w:sz w:val="2"/>
      </w:rPr>
    </w:pPr>
    <w:r>
      <w:rPr>
        <w:rFonts w:asciiTheme="majorHAnsi" w:hAnsiTheme="majorHAnsi" w:cs="Arial"/>
        <w:noProof/>
        <w:color w:val="999999" w:themeColor="accent2"/>
        <w:sz w:val="18"/>
        <w:szCs w:val="18"/>
        <w:lang w:eastAsia="en-AU"/>
      </w:rPr>
      <w:drawing>
        <wp:anchor distT="0" distB="0" distL="114300" distR="114300" simplePos="0" relativeHeight="251662336" behindDoc="1" locked="1" layoutInCell="1" allowOverlap="1" wp14:anchorId="02E4C970" wp14:editId="1E10786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FA47E" w14:textId="77777777" w:rsidR="004D036F" w:rsidRDefault="004D036F" w:rsidP="00304EA1">
      <w:r>
        <w:separator/>
      </w:r>
    </w:p>
  </w:footnote>
  <w:footnote w:type="continuationSeparator" w:id="0">
    <w:p w14:paraId="4C7AB09B" w14:textId="77777777" w:rsidR="004D036F" w:rsidRDefault="004D036F"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A532" w14:textId="77777777" w:rsidR="00FB7210" w:rsidRPr="00D86DE4" w:rsidRDefault="00FB7210"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F4BF" w14:textId="77777777" w:rsidR="00FB7210" w:rsidRPr="009370BC" w:rsidRDefault="00FB7210" w:rsidP="00970580">
    <w:pPr>
      <w:ind w:right="-142"/>
      <w:jc w:val="right"/>
    </w:pPr>
    <w:r>
      <w:rPr>
        <w:noProof/>
        <w:lang w:eastAsia="en-AU"/>
      </w:rPr>
      <w:drawing>
        <wp:anchor distT="0" distB="0" distL="114300" distR="114300" simplePos="0" relativeHeight="251660288" behindDoc="1" locked="1" layoutInCell="1" allowOverlap="1" wp14:anchorId="6C799145" wp14:editId="0EC6FD01">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CB58905A"/>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B25C49"/>
    <w:multiLevelType w:val="hybridMultilevel"/>
    <w:tmpl w:val="2D76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93E6E"/>
    <w:multiLevelType w:val="multilevel"/>
    <w:tmpl w:val="66BE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F5D3E"/>
    <w:multiLevelType w:val="hybridMultilevel"/>
    <w:tmpl w:val="D7AC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C248B8DE"/>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572C799B"/>
    <w:multiLevelType w:val="hybridMultilevel"/>
    <w:tmpl w:val="7BB41616"/>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74C6570E"/>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DCCE7128"/>
    <w:lvl w:ilvl="0" w:tplc="A57C1ABA">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6"/>
  </w:num>
  <w:num w:numId="6">
    <w:abstractNumId w:val="1"/>
  </w:num>
  <w:num w:numId="7">
    <w:abstractNumId w:val="3"/>
  </w:num>
  <w:num w:numId="8">
    <w:abstractNumId w:val="2"/>
  </w:num>
  <w:num w:numId="9">
    <w:abstractNumId w:val="7"/>
  </w:num>
  <w:num w:numId="10">
    <w:abstractNumId w:val="5"/>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C8"/>
    <w:rsid w:val="00003885"/>
    <w:rsid w:val="000153DD"/>
    <w:rsid w:val="00024018"/>
    <w:rsid w:val="000269FB"/>
    <w:rsid w:val="000343F6"/>
    <w:rsid w:val="00055438"/>
    <w:rsid w:val="0005780E"/>
    <w:rsid w:val="00065CC6"/>
    <w:rsid w:val="00070A17"/>
    <w:rsid w:val="00090D46"/>
    <w:rsid w:val="00090FE3"/>
    <w:rsid w:val="000924A2"/>
    <w:rsid w:val="000A4541"/>
    <w:rsid w:val="000A71F7"/>
    <w:rsid w:val="000D1585"/>
    <w:rsid w:val="000D5AAD"/>
    <w:rsid w:val="000F09E4"/>
    <w:rsid w:val="000F16FD"/>
    <w:rsid w:val="000F5AAF"/>
    <w:rsid w:val="00117826"/>
    <w:rsid w:val="00120DB9"/>
    <w:rsid w:val="00143520"/>
    <w:rsid w:val="0015140C"/>
    <w:rsid w:val="00153AD2"/>
    <w:rsid w:val="00165D36"/>
    <w:rsid w:val="00166ABF"/>
    <w:rsid w:val="00170F83"/>
    <w:rsid w:val="001779EA"/>
    <w:rsid w:val="00182027"/>
    <w:rsid w:val="00184297"/>
    <w:rsid w:val="00185B28"/>
    <w:rsid w:val="0019762A"/>
    <w:rsid w:val="001C0C3C"/>
    <w:rsid w:val="001C1DA5"/>
    <w:rsid w:val="001C3EEA"/>
    <w:rsid w:val="001C47B4"/>
    <w:rsid w:val="001C6475"/>
    <w:rsid w:val="001D3246"/>
    <w:rsid w:val="001F2A2E"/>
    <w:rsid w:val="001F7C83"/>
    <w:rsid w:val="002164BB"/>
    <w:rsid w:val="00224DEF"/>
    <w:rsid w:val="002279BA"/>
    <w:rsid w:val="002329F3"/>
    <w:rsid w:val="00232F03"/>
    <w:rsid w:val="00243F0D"/>
    <w:rsid w:val="00253997"/>
    <w:rsid w:val="00260767"/>
    <w:rsid w:val="002647BB"/>
    <w:rsid w:val="00271CED"/>
    <w:rsid w:val="002754C1"/>
    <w:rsid w:val="002764FD"/>
    <w:rsid w:val="002841C8"/>
    <w:rsid w:val="0028516B"/>
    <w:rsid w:val="00290684"/>
    <w:rsid w:val="00294D54"/>
    <w:rsid w:val="00297223"/>
    <w:rsid w:val="002A153E"/>
    <w:rsid w:val="002B7280"/>
    <w:rsid w:val="002C4732"/>
    <w:rsid w:val="002C6F90"/>
    <w:rsid w:val="002C6F99"/>
    <w:rsid w:val="002C7387"/>
    <w:rsid w:val="002D046F"/>
    <w:rsid w:val="002D63A3"/>
    <w:rsid w:val="002E4FB5"/>
    <w:rsid w:val="002E7C9D"/>
    <w:rsid w:val="00302FB8"/>
    <w:rsid w:val="00304EA1"/>
    <w:rsid w:val="00313587"/>
    <w:rsid w:val="00314D81"/>
    <w:rsid w:val="0032271E"/>
    <w:rsid w:val="00322FC6"/>
    <w:rsid w:val="0033645B"/>
    <w:rsid w:val="003444DC"/>
    <w:rsid w:val="00347DAC"/>
    <w:rsid w:val="00350651"/>
    <w:rsid w:val="0035293F"/>
    <w:rsid w:val="00354413"/>
    <w:rsid w:val="00362FDC"/>
    <w:rsid w:val="00385147"/>
    <w:rsid w:val="00391986"/>
    <w:rsid w:val="00392A03"/>
    <w:rsid w:val="00393AFF"/>
    <w:rsid w:val="003A00B4"/>
    <w:rsid w:val="003B2257"/>
    <w:rsid w:val="003B4E94"/>
    <w:rsid w:val="003C4177"/>
    <w:rsid w:val="003C5E71"/>
    <w:rsid w:val="003C6CA7"/>
    <w:rsid w:val="003D2F15"/>
    <w:rsid w:val="003D3975"/>
    <w:rsid w:val="003D6CBD"/>
    <w:rsid w:val="003D7C06"/>
    <w:rsid w:val="003E1686"/>
    <w:rsid w:val="003F709E"/>
    <w:rsid w:val="00400537"/>
    <w:rsid w:val="00417AA3"/>
    <w:rsid w:val="00425DFE"/>
    <w:rsid w:val="00434EDB"/>
    <w:rsid w:val="004367DB"/>
    <w:rsid w:val="00440B32"/>
    <w:rsid w:val="0044213C"/>
    <w:rsid w:val="004452FF"/>
    <w:rsid w:val="00446884"/>
    <w:rsid w:val="0046078D"/>
    <w:rsid w:val="004612C8"/>
    <w:rsid w:val="00462CAB"/>
    <w:rsid w:val="0048764F"/>
    <w:rsid w:val="00495C80"/>
    <w:rsid w:val="004A2ED8"/>
    <w:rsid w:val="004A434A"/>
    <w:rsid w:val="004B688F"/>
    <w:rsid w:val="004D036F"/>
    <w:rsid w:val="004D45EE"/>
    <w:rsid w:val="004D5592"/>
    <w:rsid w:val="004F5BDA"/>
    <w:rsid w:val="004F65A5"/>
    <w:rsid w:val="0050536A"/>
    <w:rsid w:val="005161A0"/>
    <w:rsid w:val="0051631E"/>
    <w:rsid w:val="005212E5"/>
    <w:rsid w:val="00530AE9"/>
    <w:rsid w:val="00535E76"/>
    <w:rsid w:val="00537A1F"/>
    <w:rsid w:val="0054478D"/>
    <w:rsid w:val="005570CF"/>
    <w:rsid w:val="00563B18"/>
    <w:rsid w:val="00566029"/>
    <w:rsid w:val="00566352"/>
    <w:rsid w:val="0056663B"/>
    <w:rsid w:val="005923CB"/>
    <w:rsid w:val="00595C26"/>
    <w:rsid w:val="0059616B"/>
    <w:rsid w:val="005A1EE4"/>
    <w:rsid w:val="005B391B"/>
    <w:rsid w:val="005C0D66"/>
    <w:rsid w:val="005D2AEA"/>
    <w:rsid w:val="005D2BE1"/>
    <w:rsid w:val="005D3D78"/>
    <w:rsid w:val="005E2EF0"/>
    <w:rsid w:val="005F4092"/>
    <w:rsid w:val="00602500"/>
    <w:rsid w:val="00614136"/>
    <w:rsid w:val="00617619"/>
    <w:rsid w:val="00620523"/>
    <w:rsid w:val="006254BA"/>
    <w:rsid w:val="00632CCB"/>
    <w:rsid w:val="00634128"/>
    <w:rsid w:val="00652508"/>
    <w:rsid w:val="00657A51"/>
    <w:rsid w:val="006663C6"/>
    <w:rsid w:val="0068087D"/>
    <w:rsid w:val="0068471E"/>
    <w:rsid w:val="00684F98"/>
    <w:rsid w:val="0069203C"/>
    <w:rsid w:val="00693FFD"/>
    <w:rsid w:val="006A1FA2"/>
    <w:rsid w:val="006A3DA7"/>
    <w:rsid w:val="006A7DAA"/>
    <w:rsid w:val="006D07FB"/>
    <w:rsid w:val="006D2159"/>
    <w:rsid w:val="006E4250"/>
    <w:rsid w:val="006F0687"/>
    <w:rsid w:val="006F4693"/>
    <w:rsid w:val="006F787C"/>
    <w:rsid w:val="00702636"/>
    <w:rsid w:val="00724507"/>
    <w:rsid w:val="00732855"/>
    <w:rsid w:val="00734F18"/>
    <w:rsid w:val="00740E3D"/>
    <w:rsid w:val="00741D82"/>
    <w:rsid w:val="007461E1"/>
    <w:rsid w:val="00747109"/>
    <w:rsid w:val="0075049F"/>
    <w:rsid w:val="00773E6C"/>
    <w:rsid w:val="007746DD"/>
    <w:rsid w:val="0077576C"/>
    <w:rsid w:val="00781FB1"/>
    <w:rsid w:val="00783700"/>
    <w:rsid w:val="0079593D"/>
    <w:rsid w:val="007A4828"/>
    <w:rsid w:val="007A4B91"/>
    <w:rsid w:val="007C16B0"/>
    <w:rsid w:val="007C600D"/>
    <w:rsid w:val="007D1317"/>
    <w:rsid w:val="007D1B6D"/>
    <w:rsid w:val="007D301C"/>
    <w:rsid w:val="007D467E"/>
    <w:rsid w:val="007D6CD9"/>
    <w:rsid w:val="007E0A69"/>
    <w:rsid w:val="007E534E"/>
    <w:rsid w:val="007E7CDF"/>
    <w:rsid w:val="007F651C"/>
    <w:rsid w:val="00813990"/>
    <w:rsid w:val="00813C37"/>
    <w:rsid w:val="008154B5"/>
    <w:rsid w:val="00822BF2"/>
    <w:rsid w:val="00823962"/>
    <w:rsid w:val="00840866"/>
    <w:rsid w:val="00841BBF"/>
    <w:rsid w:val="00846CB9"/>
    <w:rsid w:val="00850410"/>
    <w:rsid w:val="00852719"/>
    <w:rsid w:val="00860115"/>
    <w:rsid w:val="008759A6"/>
    <w:rsid w:val="00876487"/>
    <w:rsid w:val="00881EAE"/>
    <w:rsid w:val="0088783C"/>
    <w:rsid w:val="008B4508"/>
    <w:rsid w:val="008B4B7B"/>
    <w:rsid w:val="008F24CB"/>
    <w:rsid w:val="008F510F"/>
    <w:rsid w:val="009175A6"/>
    <w:rsid w:val="00924A74"/>
    <w:rsid w:val="009312BA"/>
    <w:rsid w:val="00933E29"/>
    <w:rsid w:val="009370BC"/>
    <w:rsid w:val="00942857"/>
    <w:rsid w:val="0095783A"/>
    <w:rsid w:val="00970580"/>
    <w:rsid w:val="0097175E"/>
    <w:rsid w:val="009745ED"/>
    <w:rsid w:val="009774DB"/>
    <w:rsid w:val="009823CC"/>
    <w:rsid w:val="00982AF2"/>
    <w:rsid w:val="0098739B"/>
    <w:rsid w:val="009906B5"/>
    <w:rsid w:val="009A3EAF"/>
    <w:rsid w:val="009B013B"/>
    <w:rsid w:val="009B3BC4"/>
    <w:rsid w:val="009B61E5"/>
    <w:rsid w:val="009C604E"/>
    <w:rsid w:val="009D0E9E"/>
    <w:rsid w:val="009D1E89"/>
    <w:rsid w:val="009D4C8D"/>
    <w:rsid w:val="009D5F27"/>
    <w:rsid w:val="009D68E6"/>
    <w:rsid w:val="009E5707"/>
    <w:rsid w:val="009E75A0"/>
    <w:rsid w:val="009F5B45"/>
    <w:rsid w:val="00A17661"/>
    <w:rsid w:val="00A24B2D"/>
    <w:rsid w:val="00A40966"/>
    <w:rsid w:val="00A61035"/>
    <w:rsid w:val="00A67052"/>
    <w:rsid w:val="00A921E0"/>
    <w:rsid w:val="00A922F4"/>
    <w:rsid w:val="00AA2E53"/>
    <w:rsid w:val="00AD62AC"/>
    <w:rsid w:val="00AE0A62"/>
    <w:rsid w:val="00AE5526"/>
    <w:rsid w:val="00AF051B"/>
    <w:rsid w:val="00AF580B"/>
    <w:rsid w:val="00B01578"/>
    <w:rsid w:val="00B0738F"/>
    <w:rsid w:val="00B07A50"/>
    <w:rsid w:val="00B13D3B"/>
    <w:rsid w:val="00B230DB"/>
    <w:rsid w:val="00B26583"/>
    <w:rsid w:val="00B26601"/>
    <w:rsid w:val="00B275B1"/>
    <w:rsid w:val="00B41951"/>
    <w:rsid w:val="00B53229"/>
    <w:rsid w:val="00B62480"/>
    <w:rsid w:val="00B701E6"/>
    <w:rsid w:val="00B717F4"/>
    <w:rsid w:val="00B8190A"/>
    <w:rsid w:val="00B81B70"/>
    <w:rsid w:val="00B8396F"/>
    <w:rsid w:val="00BB3BAB"/>
    <w:rsid w:val="00BB64A9"/>
    <w:rsid w:val="00BC64B1"/>
    <w:rsid w:val="00BD0724"/>
    <w:rsid w:val="00BD2B91"/>
    <w:rsid w:val="00BE5521"/>
    <w:rsid w:val="00BF0BBA"/>
    <w:rsid w:val="00BF6C23"/>
    <w:rsid w:val="00BF6E08"/>
    <w:rsid w:val="00C001FB"/>
    <w:rsid w:val="00C107CF"/>
    <w:rsid w:val="00C20C95"/>
    <w:rsid w:val="00C24E7C"/>
    <w:rsid w:val="00C3264F"/>
    <w:rsid w:val="00C35203"/>
    <w:rsid w:val="00C44888"/>
    <w:rsid w:val="00C44E45"/>
    <w:rsid w:val="00C53263"/>
    <w:rsid w:val="00C74C60"/>
    <w:rsid w:val="00C75F1D"/>
    <w:rsid w:val="00C83AB9"/>
    <w:rsid w:val="00C95156"/>
    <w:rsid w:val="00C95949"/>
    <w:rsid w:val="00CA0DC2"/>
    <w:rsid w:val="00CA3BE2"/>
    <w:rsid w:val="00CB68E8"/>
    <w:rsid w:val="00CC3D60"/>
    <w:rsid w:val="00CE02E2"/>
    <w:rsid w:val="00CE5F82"/>
    <w:rsid w:val="00CF1F39"/>
    <w:rsid w:val="00CF7E3C"/>
    <w:rsid w:val="00D04F01"/>
    <w:rsid w:val="00D06414"/>
    <w:rsid w:val="00D1416C"/>
    <w:rsid w:val="00D20ED9"/>
    <w:rsid w:val="00D24E5A"/>
    <w:rsid w:val="00D338E4"/>
    <w:rsid w:val="00D51947"/>
    <w:rsid w:val="00D532F0"/>
    <w:rsid w:val="00D56E0F"/>
    <w:rsid w:val="00D62499"/>
    <w:rsid w:val="00D67837"/>
    <w:rsid w:val="00D72F6C"/>
    <w:rsid w:val="00D77413"/>
    <w:rsid w:val="00D800CD"/>
    <w:rsid w:val="00D82759"/>
    <w:rsid w:val="00D86DE4"/>
    <w:rsid w:val="00D9133D"/>
    <w:rsid w:val="00D9772C"/>
    <w:rsid w:val="00DC3FF3"/>
    <w:rsid w:val="00DD11C8"/>
    <w:rsid w:val="00DE1909"/>
    <w:rsid w:val="00DE51DB"/>
    <w:rsid w:val="00DF43DD"/>
    <w:rsid w:val="00DF4A82"/>
    <w:rsid w:val="00E026E0"/>
    <w:rsid w:val="00E17337"/>
    <w:rsid w:val="00E2328D"/>
    <w:rsid w:val="00E23F1D"/>
    <w:rsid w:val="00E30AB1"/>
    <w:rsid w:val="00E30E05"/>
    <w:rsid w:val="00E35622"/>
    <w:rsid w:val="00E36361"/>
    <w:rsid w:val="00E55AE9"/>
    <w:rsid w:val="00E821F5"/>
    <w:rsid w:val="00E83939"/>
    <w:rsid w:val="00EA6DC9"/>
    <w:rsid w:val="00EB0C84"/>
    <w:rsid w:val="00EC3A08"/>
    <w:rsid w:val="00EC4CAD"/>
    <w:rsid w:val="00ED2CC8"/>
    <w:rsid w:val="00EE2291"/>
    <w:rsid w:val="00EF4188"/>
    <w:rsid w:val="00F141F6"/>
    <w:rsid w:val="00F17FDE"/>
    <w:rsid w:val="00F33BF8"/>
    <w:rsid w:val="00F36A1D"/>
    <w:rsid w:val="00F40D53"/>
    <w:rsid w:val="00F4525C"/>
    <w:rsid w:val="00F50D86"/>
    <w:rsid w:val="00F70AA0"/>
    <w:rsid w:val="00F871EA"/>
    <w:rsid w:val="00F95445"/>
    <w:rsid w:val="00FA6418"/>
    <w:rsid w:val="00FA6AA3"/>
    <w:rsid w:val="00FB7210"/>
    <w:rsid w:val="00FC258F"/>
    <w:rsid w:val="00FD29D3"/>
    <w:rsid w:val="00FD5429"/>
    <w:rsid w:val="00FE3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4D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unhideWhenUsed/>
    <w:qFormat/>
    <w:rsid w:val="0056663B"/>
    <w:pPr>
      <w:spacing w:after="0" w:line="240" w:lineRule="auto"/>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A1"/>
    <w:pPr>
      <w:tabs>
        <w:tab w:val="center" w:pos="4513"/>
        <w:tab w:val="right" w:pos="9026"/>
      </w:tabs>
    </w:pPr>
  </w:style>
  <w:style w:type="character" w:customStyle="1" w:styleId="HeaderChar">
    <w:name w:val="Header Char"/>
    <w:basedOn w:val="DefaultParagraphFont"/>
    <w:link w:val="Header"/>
    <w:uiPriority w:val="99"/>
    <w:rsid w:val="00313587"/>
    <w:rPr>
      <w:sz w:val="24"/>
      <w:szCs w:val="24"/>
      <w:lang w:val="en-AU"/>
    </w:rPr>
  </w:style>
  <w:style w:type="paragraph" w:styleId="Footer">
    <w:name w:val="footer"/>
    <w:basedOn w:val="Normal"/>
    <w:link w:val="FooterChar"/>
    <w:uiPriority w:val="99"/>
    <w:semiHidden/>
    <w:unhideWhenUsed/>
    <w:rsid w:val="00304EA1"/>
    <w:pPr>
      <w:tabs>
        <w:tab w:val="center" w:pos="4513"/>
        <w:tab w:val="right" w:pos="9026"/>
      </w:tabs>
    </w:pPr>
  </w:style>
  <w:style w:type="character" w:customStyle="1" w:styleId="FooterChar">
    <w:name w:val="Footer Char"/>
    <w:basedOn w:val="DefaultParagraphFont"/>
    <w:link w:val="Footer"/>
    <w:uiPriority w:val="99"/>
    <w:semiHidden/>
    <w:rsid w:val="00313587"/>
    <w:rPr>
      <w:sz w:val="24"/>
      <w:szCs w:val="24"/>
      <w:lang w:val="en-AU"/>
    </w:rPr>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313587"/>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13587"/>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313587"/>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autoRedefine/>
    <w:qFormat/>
    <w:rsid w:val="00313587"/>
    <w:pPr>
      <w:keepNext/>
      <w:keepLines/>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313587"/>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313587"/>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313587"/>
    <w:rPr>
      <w:color w:val="FFFFFF" w:themeColor="background1"/>
    </w:rPr>
  </w:style>
  <w:style w:type="paragraph" w:customStyle="1" w:styleId="VCAAbullet">
    <w:name w:val="VCAA bullet"/>
    <w:basedOn w:val="VCAAbody"/>
    <w:autoRedefine/>
    <w:qFormat/>
    <w:rsid w:val="00362FDC"/>
    <w:pPr>
      <w:numPr>
        <w:numId w:val="9"/>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13587"/>
    <w:pPr>
      <w:numPr>
        <w:numId w:val="10"/>
      </w:numPr>
    </w:pPr>
  </w:style>
  <w:style w:type="paragraph" w:customStyle="1" w:styleId="VCAAnumbers">
    <w:name w:val="VCAA numbers"/>
    <w:basedOn w:val="VCAAbullet"/>
    <w:qFormat/>
    <w:rsid w:val="00313587"/>
    <w:pPr>
      <w:numPr>
        <w:numId w:val="11"/>
      </w:numPr>
    </w:pPr>
    <w:rPr>
      <w:lang w:val="en-US"/>
    </w:rPr>
  </w:style>
  <w:style w:type="paragraph" w:customStyle="1" w:styleId="VCAAtablecondensedbullet">
    <w:name w:val="VCAA table condensed bullet"/>
    <w:basedOn w:val="Normal"/>
    <w:qFormat/>
    <w:rsid w:val="00313587"/>
    <w:pPr>
      <w:numPr>
        <w:numId w:val="12"/>
      </w:numPr>
      <w:tabs>
        <w:tab w:val="left" w:pos="425"/>
      </w:tabs>
      <w:overflowPunct w:val="0"/>
      <w:autoSpaceDE w:val="0"/>
      <w:autoSpaceDN w:val="0"/>
      <w:adjustRightInd w:val="0"/>
      <w:spacing w:before="80" w:after="80" w:line="280" w:lineRule="exact"/>
      <w:textAlignment w:val="baseline"/>
    </w:pPr>
    <w:rPr>
      <w:rFonts w:ascii="Arial Narrow" w:eastAsia="Times New Roman" w:hAnsi="Arial Narrow" w:cs="Arial"/>
      <w:sz w:val="20"/>
      <w:szCs w:val="22"/>
      <w:lang w:val="en-GB" w:eastAsia="ja-JP"/>
    </w:rPr>
  </w:style>
  <w:style w:type="paragraph" w:customStyle="1" w:styleId="VCAAHeading4">
    <w:name w:val="VCAA Heading 4"/>
    <w:next w:val="VCAAbody"/>
    <w:autoRedefine/>
    <w:qFormat/>
    <w:rsid w:val="00313587"/>
    <w:pPr>
      <w:keepNext/>
      <w:keepLines/>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313587"/>
    <w:pPr>
      <w:spacing w:after="360"/>
    </w:pPr>
    <w:rPr>
      <w:sz w:val="18"/>
      <w:szCs w:val="18"/>
    </w:rPr>
  </w:style>
  <w:style w:type="paragraph" w:customStyle="1" w:styleId="VCAAHeading5">
    <w:name w:val="VCAA Heading 5"/>
    <w:next w:val="VCAAbody"/>
    <w:autoRedefine/>
    <w:qFormat/>
    <w:rsid w:val="00313587"/>
    <w:pPr>
      <w:keepNext/>
      <w:keepLines/>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313587"/>
    <w:pPr>
      <w:spacing w:after="0" w:line="200" w:lineRule="exact"/>
    </w:pPr>
    <w:rPr>
      <w:sz w:val="16"/>
      <w:szCs w:val="16"/>
    </w:rPr>
  </w:style>
  <w:style w:type="character" w:styleId="PlaceholderText">
    <w:name w:val="Placeholder Text"/>
    <w:basedOn w:val="DefaultParagraphFont"/>
    <w:uiPriority w:val="99"/>
    <w:unhideWhenUsed/>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13587"/>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313587"/>
    <w:pPr>
      <w:numPr>
        <w:numId w:val="13"/>
      </w:numPr>
    </w:pPr>
    <w:rPr>
      <w:color w:val="000000" w:themeColor="text1"/>
    </w:rPr>
  </w:style>
  <w:style w:type="table" w:customStyle="1" w:styleId="VCAATableClosed">
    <w:name w:val="VCAA Table Closed"/>
    <w:basedOn w:val="VCAATable"/>
    <w:uiPriority w:val="99"/>
    <w:rsid w:val="0031358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313587"/>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313587"/>
    <w:pPr>
      <w:spacing w:after="200" w:line="276" w:lineRule="auto"/>
      <w:jc w:val="center"/>
      <w:outlineLvl w:val="1"/>
    </w:pPr>
    <w:rPr>
      <w:rFonts w:ascii="Arial" w:eastAsia="Arial" w:hAnsi="Arial" w:cs="Arial"/>
      <w:noProof/>
      <w:color w:val="0F7EB4"/>
      <w:sz w:val="56"/>
      <w:szCs w:val="48"/>
      <w:lang w:eastAsia="en-AU"/>
    </w:rPr>
  </w:style>
  <w:style w:type="paragraph" w:customStyle="1" w:styleId="VCAAfigures">
    <w:name w:val="VCAA figures"/>
    <w:basedOn w:val="VCAAbody"/>
    <w:link w:val="VCAAfiguresChar"/>
    <w:qFormat/>
    <w:rsid w:val="00313587"/>
    <w:pPr>
      <w:spacing w:line="240" w:lineRule="auto"/>
      <w:jc w:val="center"/>
    </w:pPr>
    <w:rPr>
      <w:noProof/>
    </w:rPr>
  </w:style>
  <w:style w:type="character" w:customStyle="1" w:styleId="VCAAbodyChar">
    <w:name w:val="VCAA body Char"/>
    <w:basedOn w:val="DefaultParagraphFont"/>
    <w:link w:val="VCAAbody"/>
    <w:rsid w:val="00313587"/>
    <w:rPr>
      <w:rFonts w:ascii="Arial" w:hAnsi="Arial" w:cs="Arial"/>
      <w:color w:val="000000" w:themeColor="text1"/>
      <w:sz w:val="20"/>
    </w:rPr>
  </w:style>
  <w:style w:type="character" w:customStyle="1" w:styleId="VCAAfiguresChar">
    <w:name w:val="VCAA figures Char"/>
    <w:basedOn w:val="VCAAbodyChar"/>
    <w:link w:val="VCAAfigures"/>
    <w:rsid w:val="00313587"/>
    <w:rPr>
      <w:rFonts w:ascii="Arial" w:hAnsi="Arial" w:cs="Arial"/>
      <w:noProof/>
      <w:color w:val="000000" w:themeColor="text1"/>
      <w:sz w:val="20"/>
    </w:rPr>
  </w:style>
  <w:style w:type="paragraph" w:styleId="Quote">
    <w:name w:val="Quote"/>
    <w:basedOn w:val="Normal"/>
    <w:next w:val="Normal"/>
    <w:link w:val="QuoteChar"/>
    <w:uiPriority w:val="29"/>
    <w:unhideWhenUsed/>
    <w:qFormat/>
    <w:rsid w:val="00350651"/>
    <w:pPr>
      <w:spacing w:line="360" w:lineRule="auto"/>
    </w:pPr>
    <w:rPr>
      <w:rFonts w:asciiTheme="majorHAnsi" w:eastAsiaTheme="minorEastAsia" w:hAnsiTheme="majorHAnsi"/>
      <w:i/>
      <w:color w:val="A6A6A6" w:themeColor="background1" w:themeShade="A6"/>
      <w:sz w:val="20"/>
      <w:szCs w:val="20"/>
    </w:rPr>
  </w:style>
  <w:style w:type="character" w:customStyle="1" w:styleId="QuoteChar">
    <w:name w:val="Quote Char"/>
    <w:basedOn w:val="DefaultParagraphFont"/>
    <w:link w:val="Quote"/>
    <w:uiPriority w:val="29"/>
    <w:rsid w:val="00313587"/>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rPr>
      <w:sz w:val="20"/>
      <w:szCs w:val="20"/>
    </w:rPr>
  </w:style>
  <w:style w:type="character" w:customStyle="1" w:styleId="CommentTextChar">
    <w:name w:val="Comment Text Char"/>
    <w:basedOn w:val="DefaultParagraphFont"/>
    <w:link w:val="CommentText"/>
    <w:uiPriority w:val="99"/>
    <w:semiHidden/>
    <w:rsid w:val="00313587"/>
    <w:rPr>
      <w:sz w:val="20"/>
      <w:szCs w:val="20"/>
      <w:lang w:val="en-AU"/>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313587"/>
    <w:rPr>
      <w:b/>
      <w:bCs/>
      <w:sz w:val="20"/>
      <w:szCs w:val="20"/>
      <w:lang w:val="en-AU"/>
    </w:rPr>
  </w:style>
  <w:style w:type="paragraph" w:styleId="ListParagraph">
    <w:name w:val="List Paragraph"/>
    <w:basedOn w:val="Normal"/>
    <w:uiPriority w:val="34"/>
    <w:unhideWhenUsed/>
    <w:qFormat/>
    <w:rsid w:val="002164BB"/>
    <w:pPr>
      <w:ind w:left="720"/>
      <w:contextualSpacing/>
    </w:pPr>
  </w:style>
  <w:style w:type="paragraph" w:customStyle="1" w:styleId="statsnumbers">
    <w:name w:val="*stats numbers"/>
    <w:basedOn w:val="Statshead"/>
    <w:rsid w:val="00634128"/>
    <w:pPr>
      <w:keepNext w:val="0"/>
    </w:pPr>
    <w:rPr>
      <w:rFonts w:eastAsia="Arial Unicode MS"/>
      <w:b w:val="0"/>
      <w:szCs w:val="20"/>
    </w:rPr>
  </w:style>
  <w:style w:type="paragraph" w:customStyle="1" w:styleId="Statshead">
    <w:name w:val="*Stats head"/>
    <w:basedOn w:val="Normal"/>
    <w:rsid w:val="00634128"/>
    <w:pPr>
      <w:keepNext/>
      <w:jc w:val="center"/>
    </w:pPr>
    <w:rPr>
      <w:rFonts w:ascii="Times New Roman" w:eastAsia="Times New Roman" w:hAnsi="Times New Roman" w:cs="Times New Roman"/>
      <w:b/>
      <w:sz w:val="20"/>
    </w:rPr>
  </w:style>
  <w:style w:type="paragraph" w:customStyle="1" w:styleId="Default">
    <w:name w:val="Default"/>
    <w:rsid w:val="00271CED"/>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semiHidden/>
    <w:unhideWhenUsed/>
    <w:rsid w:val="00AD62AC"/>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313587"/>
    <w:pPr>
      <w:spacing w:after="0" w:line="240" w:lineRule="auto"/>
    </w:pPr>
    <w:rPr>
      <w:sz w:val="24"/>
      <w:szCs w:val="24"/>
      <w:lang w:val="en-AU"/>
    </w:rPr>
  </w:style>
  <w:style w:type="character" w:customStyle="1" w:styleId="VCAAbold">
    <w:name w:val="VCAA bold"/>
    <w:basedOn w:val="DefaultParagraphFont"/>
    <w:uiPriority w:val="1"/>
    <w:qFormat/>
    <w:rsid w:val="00313587"/>
    <w:rPr>
      <w:b/>
      <w:bCs/>
      <w:lang w:eastAsia="en-AU"/>
    </w:rPr>
  </w:style>
  <w:style w:type="character" w:customStyle="1" w:styleId="VCAAitalics">
    <w:name w:val="VCAA italics"/>
    <w:basedOn w:val="DefaultParagraphFont"/>
    <w:uiPriority w:val="1"/>
    <w:qFormat/>
    <w:rsid w:val="00313587"/>
    <w:rPr>
      <w:i/>
      <w:iCs/>
    </w:rPr>
  </w:style>
  <w:style w:type="paragraph" w:customStyle="1" w:styleId="VCAAstatsnumbers">
    <w:name w:val="VCAA stats numbers"/>
    <w:basedOn w:val="Normal"/>
    <w:rsid w:val="00313587"/>
    <w:pPr>
      <w:keepNext/>
      <w:jc w:val="center"/>
    </w:pPr>
    <w:rPr>
      <w:rFonts w:ascii="Arial" w:eastAsia="Times New Roman" w:hAnsi="Arial" w:cs="Times New Roman"/>
      <w:sz w:val="22"/>
      <w:lang w:eastAsia="zh-CN"/>
    </w:rPr>
  </w:style>
  <w:style w:type="paragraph" w:customStyle="1" w:styleId="VCAAstudentresponse">
    <w:name w:val="VCAA student response"/>
    <w:basedOn w:val="VCAAbody"/>
    <w:qFormat/>
    <w:rsid w:val="00313587"/>
    <w:pPr>
      <w:ind w:left="284"/>
    </w:pPr>
    <w:rPr>
      <w:i/>
      <w:iCs/>
    </w:rPr>
  </w:style>
  <w:style w:type="table" w:customStyle="1" w:styleId="VCAATableClosed1">
    <w:name w:val="VCAA Table Closed1"/>
    <w:basedOn w:val="TableNormal"/>
    <w:uiPriority w:val="99"/>
    <w:rsid w:val="00313587"/>
    <w:pPr>
      <w:spacing w:before="40" w:after="0" w:line="240" w:lineRule="auto"/>
    </w:pPr>
    <w:rPr>
      <w:rFonts w:ascii="Arial Narrow" w:hAnsi="Arial Narrow"/>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centered">
    <w:name w:val="VCAA table condensed centered"/>
    <w:basedOn w:val="VCAAtablecondensed"/>
    <w:rsid w:val="00313587"/>
    <w:pPr>
      <w:jc w:val="center"/>
    </w:pPr>
    <w:rPr>
      <w:rFonts w:eastAsia="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4549">
      <w:bodyDiv w:val="1"/>
      <w:marLeft w:val="0"/>
      <w:marRight w:val="0"/>
      <w:marTop w:val="0"/>
      <w:marBottom w:val="0"/>
      <w:divBdr>
        <w:top w:val="none" w:sz="0" w:space="0" w:color="auto"/>
        <w:left w:val="none" w:sz="0" w:space="0" w:color="auto"/>
        <w:bottom w:val="none" w:sz="0" w:space="0" w:color="auto"/>
        <w:right w:val="none" w:sz="0" w:space="0" w:color="auto"/>
      </w:divBdr>
    </w:div>
    <w:div w:id="310868419">
      <w:bodyDiv w:val="1"/>
      <w:marLeft w:val="0"/>
      <w:marRight w:val="0"/>
      <w:marTop w:val="0"/>
      <w:marBottom w:val="0"/>
      <w:divBdr>
        <w:top w:val="none" w:sz="0" w:space="0" w:color="auto"/>
        <w:left w:val="none" w:sz="0" w:space="0" w:color="auto"/>
        <w:bottom w:val="none" w:sz="0" w:space="0" w:color="auto"/>
        <w:right w:val="none" w:sz="0" w:space="0" w:color="auto"/>
      </w:divBdr>
    </w:div>
    <w:div w:id="383062729">
      <w:bodyDiv w:val="1"/>
      <w:marLeft w:val="0"/>
      <w:marRight w:val="0"/>
      <w:marTop w:val="0"/>
      <w:marBottom w:val="0"/>
      <w:divBdr>
        <w:top w:val="none" w:sz="0" w:space="0" w:color="auto"/>
        <w:left w:val="none" w:sz="0" w:space="0" w:color="auto"/>
        <w:bottom w:val="none" w:sz="0" w:space="0" w:color="auto"/>
        <w:right w:val="none" w:sz="0" w:space="0" w:color="auto"/>
      </w:divBdr>
    </w:div>
    <w:div w:id="402607667">
      <w:bodyDiv w:val="1"/>
      <w:marLeft w:val="0"/>
      <w:marRight w:val="0"/>
      <w:marTop w:val="0"/>
      <w:marBottom w:val="0"/>
      <w:divBdr>
        <w:top w:val="none" w:sz="0" w:space="0" w:color="auto"/>
        <w:left w:val="none" w:sz="0" w:space="0" w:color="auto"/>
        <w:bottom w:val="none" w:sz="0" w:space="0" w:color="auto"/>
        <w:right w:val="none" w:sz="0" w:space="0" w:color="auto"/>
      </w:divBdr>
    </w:div>
    <w:div w:id="697587848">
      <w:bodyDiv w:val="1"/>
      <w:marLeft w:val="0"/>
      <w:marRight w:val="0"/>
      <w:marTop w:val="0"/>
      <w:marBottom w:val="0"/>
      <w:divBdr>
        <w:top w:val="none" w:sz="0" w:space="0" w:color="auto"/>
        <w:left w:val="none" w:sz="0" w:space="0" w:color="auto"/>
        <w:bottom w:val="none" w:sz="0" w:space="0" w:color="auto"/>
        <w:right w:val="none" w:sz="0" w:space="0" w:color="auto"/>
      </w:divBdr>
    </w:div>
    <w:div w:id="898250249">
      <w:bodyDiv w:val="1"/>
      <w:marLeft w:val="0"/>
      <w:marRight w:val="0"/>
      <w:marTop w:val="0"/>
      <w:marBottom w:val="0"/>
      <w:divBdr>
        <w:top w:val="none" w:sz="0" w:space="0" w:color="auto"/>
        <w:left w:val="none" w:sz="0" w:space="0" w:color="auto"/>
        <w:bottom w:val="none" w:sz="0" w:space="0" w:color="auto"/>
        <w:right w:val="none" w:sz="0" w:space="0" w:color="auto"/>
      </w:divBdr>
    </w:div>
    <w:div w:id="1252812376">
      <w:bodyDiv w:val="1"/>
      <w:marLeft w:val="0"/>
      <w:marRight w:val="0"/>
      <w:marTop w:val="0"/>
      <w:marBottom w:val="0"/>
      <w:divBdr>
        <w:top w:val="none" w:sz="0" w:space="0" w:color="auto"/>
        <w:left w:val="none" w:sz="0" w:space="0" w:color="auto"/>
        <w:bottom w:val="none" w:sz="0" w:space="0" w:color="auto"/>
        <w:right w:val="none" w:sz="0" w:space="0" w:color="auto"/>
      </w:divBdr>
    </w:div>
    <w:div w:id="17560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Victorian Curriculum and Assessment Authority</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2021 VCE Extended Investigation oral Externally-assessed Task report; Victorian Curriculum and Assessment Authority;  VCAA</DEECD_Keywords>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CD06052D-9A63-4450-BBBE-E860FD339457}">
  <ds:schemaRefs>
    <ds:schemaRef ds:uri="http://schemas.openxmlformats.org/officeDocument/2006/bibliography"/>
  </ds:schemaRefs>
</ds:datastoreItem>
</file>

<file path=customXml/itemProps2.xml><?xml version="1.0" encoding="utf-8"?>
<ds:datastoreItem xmlns:ds="http://schemas.openxmlformats.org/officeDocument/2006/customXml" ds:itemID="{27E7AD97-AE3C-43F3-84B8-BA16F0A6B9F2}"/>
</file>

<file path=customXml/itemProps3.xml><?xml version="1.0" encoding="utf-8"?>
<ds:datastoreItem xmlns:ds="http://schemas.openxmlformats.org/officeDocument/2006/customXml" ds:itemID="{A2F7AB7D-408B-42D3-86B9-F85558161880}"/>
</file>

<file path=customXml/itemProps4.xml><?xml version="1.0" encoding="utf-8"?>
<ds:datastoreItem xmlns:ds="http://schemas.openxmlformats.org/officeDocument/2006/customXml" ds:itemID="{C07AFAA9-522A-4A61-8234-708DB2AC8A25}"/>
</file>

<file path=docProps/app.xml><?xml version="1.0" encoding="utf-8"?>
<Properties xmlns="http://schemas.openxmlformats.org/officeDocument/2006/extended-properties" xmlns:vt="http://schemas.openxmlformats.org/officeDocument/2006/docPropsVTypes">
  <Template>Normal.dotm</Template>
  <TotalTime>0</TotalTime>
  <Pages>6</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VCE Extended Investigation oral Externally-assessed Task report</dc:title>
  <dc:creator/>
  <cp:keywords>2021; VCE; Extended Investigation; oral presentation; Externally-assessed Task; report</cp:keywords>
  <cp:lastModifiedBy/>
  <cp:revision>1</cp:revision>
  <dcterms:created xsi:type="dcterms:W3CDTF">2022-02-18T07:52:00Z</dcterms:created>
  <dcterms:modified xsi:type="dcterms:W3CDTF">2022-02-18T07:54:00Z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