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0A5BF85E" w:rsidR="00086CFC" w:rsidRPr="00BF62D9" w:rsidRDefault="00C2005D" w:rsidP="00BF62D9">
      <w:pPr>
        <w:pStyle w:val="VCAAHeading1"/>
        <w:rPr>
          <w:lang w:val="en-AU"/>
        </w:rPr>
      </w:pPr>
      <w:r w:rsidRPr="00BF62D9">
        <w:rPr>
          <w:lang w:val="en-AU"/>
        </w:rPr>
        <w:t>E</w:t>
      </w:r>
      <w:r w:rsidR="00E56D1D" w:rsidRPr="00BF62D9">
        <w:rPr>
          <w:lang w:val="en-AU"/>
        </w:rPr>
        <w:t>m</w:t>
      </w:r>
      <w:r w:rsidR="007E7D1F" w:rsidRPr="00BF62D9">
        <w:rPr>
          <w:lang w:val="en-AU"/>
        </w:rPr>
        <w:t xml:space="preserve">bedding career education in </w:t>
      </w:r>
      <w:r w:rsidR="00E56D1D" w:rsidRPr="00BF62D9">
        <w:rPr>
          <w:lang w:val="en-AU"/>
        </w:rPr>
        <w:t>the Victorian Curriculum F–10</w:t>
      </w:r>
      <w:r w:rsidR="00086CFC" w:rsidRPr="00BF62D9">
        <w:rPr>
          <w:lang w:val="en-AU"/>
        </w:rPr>
        <w:t xml:space="preserve"> </w:t>
      </w:r>
    </w:p>
    <w:p w14:paraId="309AA2D5" w14:textId="279A1EC7" w:rsidR="004F6DE0" w:rsidRPr="00BF62D9" w:rsidRDefault="007F1196" w:rsidP="004F6DE0">
      <w:pPr>
        <w:pStyle w:val="VCAAHeading2"/>
        <w:rPr>
          <w:lang w:val="en-AU"/>
        </w:rPr>
      </w:pPr>
      <w:bookmarkStart w:id="0" w:name="TemplateOverview"/>
      <w:bookmarkEnd w:id="0"/>
      <w:r w:rsidRPr="00BF62D9">
        <w:rPr>
          <w:lang w:val="en-AU"/>
        </w:rPr>
        <w:t>Critical and Creative Thinking</w:t>
      </w:r>
      <w:r w:rsidR="00E71CD7" w:rsidRPr="00BF62D9">
        <w:rPr>
          <w:lang w:val="en-AU"/>
        </w:rPr>
        <w:t>, Levels 7</w:t>
      </w:r>
      <w:r w:rsidR="004F6DE0" w:rsidRPr="00BF62D9">
        <w:rPr>
          <w:lang w:val="en-AU"/>
        </w:rPr>
        <w:t xml:space="preserve"> and </w:t>
      </w:r>
      <w:r w:rsidR="00E71CD7" w:rsidRPr="00BF62D9">
        <w:rPr>
          <w:lang w:val="en-AU"/>
        </w:rPr>
        <w:t>8</w:t>
      </w:r>
    </w:p>
    <w:p w14:paraId="2E354ED1" w14:textId="0553DBEF" w:rsidR="0038622E" w:rsidRPr="00BF62D9" w:rsidRDefault="008B1278" w:rsidP="004F6DE0">
      <w:pPr>
        <w:pStyle w:val="VCAAbodyintrotext"/>
        <w:rPr>
          <w:lang w:val="en-AU"/>
        </w:rPr>
      </w:pPr>
      <w:r w:rsidRPr="00BF62D9">
        <w:rPr>
          <w:lang w:val="en-AU"/>
        </w:rPr>
        <w:t>An e</w:t>
      </w:r>
      <w:r w:rsidR="00C6415E" w:rsidRPr="00BF62D9">
        <w:rPr>
          <w:lang w:val="en-AU"/>
        </w:rPr>
        <w:t>xisting l</w:t>
      </w:r>
      <w:r w:rsidRPr="00BF62D9">
        <w:rPr>
          <w:lang w:val="en-AU"/>
        </w:rPr>
        <w:t>earning activity</w:t>
      </w:r>
      <w:r w:rsidR="00254888" w:rsidRPr="00BF62D9">
        <w:rPr>
          <w:lang w:val="en-AU"/>
        </w:rPr>
        <w:t xml:space="preserve"> linked to</w:t>
      </w:r>
      <w:r w:rsidRPr="00BF62D9">
        <w:rPr>
          <w:lang w:val="en-AU"/>
        </w:rPr>
        <w:t xml:space="preserve"> a particular learning area or capability in the</w:t>
      </w:r>
      <w:r w:rsidR="00C6415E" w:rsidRPr="00BF62D9">
        <w:rPr>
          <w:lang w:val="en-AU"/>
        </w:rPr>
        <w:t xml:space="preserve"> Victorian Curriculum F–10</w:t>
      </w:r>
      <w:r w:rsidR="0038622E" w:rsidRPr="00BF62D9">
        <w:rPr>
          <w:lang w:val="en-AU"/>
        </w:rPr>
        <w:t xml:space="preserve"> can be</w:t>
      </w:r>
      <w:r w:rsidR="00255852" w:rsidRPr="00BF62D9">
        <w:rPr>
          <w:lang w:val="en-AU"/>
        </w:rPr>
        <w:t xml:space="preserve"> easily</w:t>
      </w:r>
      <w:r w:rsidR="0038622E" w:rsidRPr="00BF62D9">
        <w:rPr>
          <w:lang w:val="en-AU"/>
        </w:rPr>
        <w:t xml:space="preserve"> </w:t>
      </w:r>
      <w:r w:rsidR="00255852" w:rsidRPr="00BF62D9">
        <w:rPr>
          <w:lang w:val="en-AU"/>
        </w:rPr>
        <w:t xml:space="preserve">adapted </w:t>
      </w:r>
      <w:r w:rsidR="0038622E" w:rsidRPr="00BF62D9">
        <w:rPr>
          <w:lang w:val="en-AU"/>
        </w:rPr>
        <w:t>to incorporate career education</w:t>
      </w:r>
      <w:r w:rsidR="00255852" w:rsidRPr="00BF62D9">
        <w:rPr>
          <w:lang w:val="en-AU"/>
        </w:rPr>
        <w:t>, enriching students’ career-related learning and skill development</w:t>
      </w:r>
      <w:r w:rsidR="00C6415E" w:rsidRPr="00BF62D9">
        <w:rPr>
          <w:lang w:val="en-AU"/>
        </w:rPr>
        <w:t xml:space="preserve">. </w:t>
      </w:r>
    </w:p>
    <w:p w14:paraId="27EE590C" w14:textId="43E2E57C" w:rsidR="00255852" w:rsidRPr="00BF62D9" w:rsidRDefault="00254888" w:rsidP="004F6DE0">
      <w:pPr>
        <w:pStyle w:val="VCAAHeading3"/>
        <w:rPr>
          <w:lang w:val="en-AU"/>
        </w:rPr>
      </w:pPr>
      <w:r w:rsidRPr="00BF62D9">
        <w:rPr>
          <w:lang w:val="en-AU"/>
        </w:rPr>
        <w:t xml:space="preserve">1. Identify an existing learning activity </w:t>
      </w:r>
    </w:p>
    <w:p w14:paraId="0AE57492" w14:textId="40AA3201" w:rsidR="008B1278" w:rsidRPr="00BF62D9" w:rsidRDefault="008B1278" w:rsidP="00BF62D9">
      <w:pPr>
        <w:pStyle w:val="VCAAbody-withlargetabandhangingindent"/>
      </w:pPr>
      <w:r w:rsidRPr="00BF62D9">
        <w:rPr>
          <w:b/>
        </w:rPr>
        <w:t>Curriculum area</w:t>
      </w:r>
      <w:r w:rsidR="00EC7D86" w:rsidRPr="00BF62D9">
        <w:rPr>
          <w:b/>
        </w:rPr>
        <w:t>, sub-task</w:t>
      </w:r>
      <w:r w:rsidRPr="00BF62D9">
        <w:rPr>
          <w:b/>
        </w:rPr>
        <w:t xml:space="preserve"> and levels:</w:t>
      </w:r>
      <w:r w:rsidRPr="00BF62D9">
        <w:tab/>
      </w:r>
      <w:r w:rsidR="007F1196" w:rsidRPr="00BF62D9">
        <w:t>Critical and Creative Thinking</w:t>
      </w:r>
      <w:r w:rsidRPr="00BF62D9">
        <w:t xml:space="preserve">, Levels </w:t>
      </w:r>
      <w:r w:rsidR="00E71CD7" w:rsidRPr="00BF62D9">
        <w:t>7</w:t>
      </w:r>
      <w:r w:rsidRPr="00BF62D9">
        <w:t xml:space="preserve"> and </w:t>
      </w:r>
      <w:r w:rsidR="00E71CD7" w:rsidRPr="00BF62D9">
        <w:t>8</w:t>
      </w:r>
    </w:p>
    <w:p w14:paraId="1FB5B60B" w14:textId="10B82749" w:rsidR="008B1278" w:rsidRPr="00BF62D9" w:rsidRDefault="00254888" w:rsidP="008B1278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BF62D9">
        <w:rPr>
          <w:b/>
        </w:rPr>
        <w:t>Relevant c</w:t>
      </w:r>
      <w:r w:rsidR="008B1278" w:rsidRPr="00BF62D9">
        <w:rPr>
          <w:b/>
        </w:rPr>
        <w:t>ontent description:</w:t>
      </w:r>
      <w:r w:rsidR="006F58F8" w:rsidRPr="00BF62D9">
        <w:tab/>
      </w:r>
      <w:r w:rsidR="001D5F42" w:rsidRPr="00BF62D9">
        <w:t>Consider how to settle matters of fact and matters of value and the degree of confidence in the conclusions (</w:t>
      </w:r>
      <w:hyperlink r:id="rId11" w:history="1">
        <w:r w:rsidR="001D5F42" w:rsidRPr="00BF62D9">
          <w:rPr>
            <w:rStyle w:val="Hyperlink"/>
          </w:rPr>
          <w:t>VCCCTR038</w:t>
        </w:r>
      </w:hyperlink>
      <w:r w:rsidR="001D5F42" w:rsidRPr="00BF62D9">
        <w:t>)</w:t>
      </w:r>
    </w:p>
    <w:p w14:paraId="36A2C730" w14:textId="2D6FEF98" w:rsidR="007E7D1F" w:rsidRPr="00BF62D9" w:rsidRDefault="00B51FA6" w:rsidP="00B51FA6">
      <w:pPr>
        <w:pStyle w:val="VCAAbody-withlargetabandhangingindent"/>
      </w:pPr>
      <w:r w:rsidRPr="00BF62D9">
        <w:rPr>
          <w:b/>
        </w:rPr>
        <w:t>Existing a</w:t>
      </w:r>
      <w:r w:rsidR="00254888" w:rsidRPr="00BF62D9">
        <w:rPr>
          <w:b/>
        </w:rPr>
        <w:t>ctivity</w:t>
      </w:r>
      <w:r w:rsidR="00097F58" w:rsidRPr="00BF62D9">
        <w:rPr>
          <w:b/>
        </w:rPr>
        <w:t>:</w:t>
      </w:r>
      <w:r w:rsidR="00254888" w:rsidRPr="00BF62D9">
        <w:tab/>
      </w:r>
      <w:r w:rsidR="007A55F0" w:rsidRPr="00BF62D9">
        <w:t>I</w:t>
      </w:r>
      <w:r w:rsidR="001D5F42" w:rsidRPr="00BF62D9">
        <w:t xml:space="preserve">dentifying </w:t>
      </w:r>
      <w:r w:rsidR="007A55F0" w:rsidRPr="00BF62D9">
        <w:t>issues</w:t>
      </w:r>
      <w:r w:rsidR="001D5F42" w:rsidRPr="00BF62D9">
        <w:t xml:space="preserve"> that require technical expertise</w:t>
      </w:r>
      <w:r w:rsidR="007A55F0" w:rsidRPr="00BF62D9">
        <w:t xml:space="preserve"> </w:t>
      </w:r>
      <w:r w:rsidR="00D33688" w:rsidRPr="00BF62D9">
        <w:t xml:space="preserve">to understand, </w:t>
      </w:r>
      <w:r w:rsidR="007A55F0" w:rsidRPr="00BF62D9">
        <w:t xml:space="preserve">by </w:t>
      </w:r>
      <w:r w:rsidR="00B7304E" w:rsidRPr="00BF62D9">
        <w:t>comparing</w:t>
      </w:r>
      <w:r w:rsidR="007A55F0" w:rsidRPr="00BF62D9">
        <w:t xml:space="preserve"> recent controversies in the Australian media</w:t>
      </w:r>
      <w:r w:rsidR="00D35D07" w:rsidRPr="00BF62D9">
        <w:t xml:space="preserve">. </w:t>
      </w:r>
    </w:p>
    <w:p w14:paraId="2364A01C" w14:textId="45D9D226" w:rsidR="00421DB1" w:rsidRPr="00BF62D9" w:rsidRDefault="00421DB1" w:rsidP="00B51FA6">
      <w:pPr>
        <w:pStyle w:val="VCAAbody-withlargetabandhangingindent"/>
      </w:pPr>
      <w:r w:rsidRPr="00BF62D9">
        <w:rPr>
          <w:b/>
          <w:bCs/>
        </w:rPr>
        <w:t>Summary of adaptation, change, addition:</w:t>
      </w:r>
      <w:r w:rsidRPr="00BF62D9">
        <w:tab/>
      </w:r>
      <w:r w:rsidR="00D33688" w:rsidRPr="00BF62D9">
        <w:t xml:space="preserve">Exploring </w:t>
      </w:r>
      <w:r w:rsidR="004A5CEC" w:rsidRPr="00BF62D9">
        <w:t>in more detail</w:t>
      </w:r>
      <w:r w:rsidR="00821F00" w:rsidRPr="00BF62D9">
        <w:t xml:space="preserve"> the pathways that help people to develop expertise</w:t>
      </w:r>
      <w:r w:rsidR="004A5CEC" w:rsidRPr="00BF62D9">
        <w:t xml:space="preserve">, including how </w:t>
      </w:r>
      <w:r w:rsidR="00B07F5C" w:rsidRPr="00BF62D9">
        <w:t>specialised</w:t>
      </w:r>
      <w:r w:rsidR="004A5CEC" w:rsidRPr="00BF62D9">
        <w:t xml:space="preserve"> experiences may confer authority upon experts</w:t>
      </w:r>
      <w:r w:rsidR="00821F00" w:rsidRPr="00BF62D9">
        <w:t>.</w:t>
      </w:r>
    </w:p>
    <w:p w14:paraId="65DFB73F" w14:textId="505FE321" w:rsidR="00254888" w:rsidRPr="00BF62D9" w:rsidRDefault="00254888" w:rsidP="00BF62D9">
      <w:pPr>
        <w:pStyle w:val="VCAAHeading3"/>
        <w:rPr>
          <w:lang w:val="en-AU"/>
        </w:rPr>
      </w:pPr>
      <w:r w:rsidRPr="00BF62D9">
        <w:rPr>
          <w:lang w:val="en-AU"/>
        </w:rPr>
        <w:t xml:space="preserve">2. Adapt the learning activity to </w:t>
      </w:r>
      <w:r w:rsidR="00FF47DF" w:rsidRPr="00BF62D9">
        <w:rPr>
          <w:lang w:val="en-AU"/>
        </w:rPr>
        <w:t>include</w:t>
      </w:r>
      <w:r w:rsidRPr="00BF62D9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5098"/>
        <w:gridCol w:w="4791"/>
      </w:tblGrid>
      <w:tr w:rsidR="00254888" w:rsidRPr="00BF62D9" w14:paraId="47FFE019" w14:textId="77777777" w:rsidTr="00FC1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98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BF62D9" w:rsidRDefault="00254888" w:rsidP="00B51FA6">
            <w:pPr>
              <w:pStyle w:val="VCAAtablecondensedheading"/>
              <w:rPr>
                <w:lang w:val="en-AU"/>
              </w:rPr>
            </w:pPr>
            <w:r w:rsidRPr="00BF62D9">
              <w:rPr>
                <w:lang w:val="en-AU"/>
              </w:rPr>
              <w:t>Existing learning activity</w:t>
            </w:r>
          </w:p>
        </w:tc>
        <w:tc>
          <w:tcPr>
            <w:tcW w:w="4791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BF62D9" w:rsidRDefault="00E9592C" w:rsidP="00B51FA6">
            <w:pPr>
              <w:pStyle w:val="VCAAtablecondensedheading"/>
              <w:rPr>
                <w:lang w:val="en-AU"/>
              </w:rPr>
            </w:pPr>
            <w:r w:rsidRPr="00BF62D9">
              <w:rPr>
                <w:lang w:val="en-AU"/>
              </w:rPr>
              <w:t>Adaptations, changes or extensions that can be made</w:t>
            </w:r>
          </w:p>
        </w:tc>
      </w:tr>
      <w:tr w:rsidR="00510D99" w:rsidRPr="00BF62D9" w14:paraId="20588B85" w14:textId="77777777" w:rsidTr="00FC1E90">
        <w:tc>
          <w:tcPr>
            <w:tcW w:w="5098" w:type="dxa"/>
          </w:tcPr>
          <w:p w14:paraId="4E8E51A1" w14:textId="09995557" w:rsidR="00510D99" w:rsidRPr="00BF62D9" w:rsidRDefault="00510D99" w:rsidP="00510D99">
            <w:pPr>
              <w:pStyle w:val="VCAAtablecondensed"/>
              <w:rPr>
                <w:lang w:val="en-AU"/>
              </w:rPr>
            </w:pPr>
            <w:r w:rsidRPr="00BF62D9">
              <w:rPr>
                <w:lang w:val="en-AU"/>
              </w:rPr>
              <w:t>Teacher identifies several issue</w:t>
            </w:r>
            <w:r w:rsidR="00D33688" w:rsidRPr="00BF62D9">
              <w:rPr>
                <w:lang w:val="en-AU"/>
              </w:rPr>
              <w:t>s</w:t>
            </w:r>
            <w:r w:rsidRPr="00BF62D9">
              <w:rPr>
                <w:lang w:val="en-AU"/>
              </w:rPr>
              <w:t xml:space="preserve"> recently discussed in Australian news. For example, a sports or celebrity controversy, television event, or </w:t>
            </w:r>
            <w:r w:rsidR="00D33688" w:rsidRPr="00BF62D9">
              <w:rPr>
                <w:lang w:val="en-AU"/>
              </w:rPr>
              <w:t>another</w:t>
            </w:r>
            <w:r w:rsidRPr="00BF62D9">
              <w:rPr>
                <w:lang w:val="en-AU"/>
              </w:rPr>
              <w:t xml:space="preserve"> newsworthy occurrence. Teacher presents examples to students.</w:t>
            </w:r>
          </w:p>
          <w:p w14:paraId="46A85701" w14:textId="42A28D63" w:rsidR="00510D99" w:rsidRPr="00BF62D9" w:rsidRDefault="00510D99" w:rsidP="00113A86">
            <w:pPr>
              <w:pStyle w:val="VCAAtablecondensed"/>
              <w:rPr>
                <w:lang w:val="en-AU"/>
              </w:rPr>
            </w:pPr>
            <w:r w:rsidRPr="00BF62D9">
              <w:rPr>
                <w:color w:val="auto"/>
                <w:lang w:val="en-AU"/>
              </w:rPr>
              <w:t xml:space="preserve">See Considerations for advice on teaching this activity within </w:t>
            </w:r>
            <w:r w:rsidR="00D33688" w:rsidRPr="00BF62D9">
              <w:rPr>
                <w:color w:val="auto"/>
                <w:lang w:val="en-AU"/>
              </w:rPr>
              <w:t xml:space="preserve">various </w:t>
            </w:r>
            <w:r w:rsidRPr="00BF62D9">
              <w:rPr>
                <w:color w:val="auto"/>
                <w:lang w:val="en-AU"/>
              </w:rPr>
              <w:t>learning areas.</w:t>
            </w:r>
            <w:r w:rsidR="00113A86" w:rsidRPr="00BF62D9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791" w:type="dxa"/>
          </w:tcPr>
          <w:p w14:paraId="05F6948B" w14:textId="1B0E802A" w:rsidR="00510D99" w:rsidRPr="00BF62D9" w:rsidRDefault="00510D99" w:rsidP="00510D99">
            <w:pPr>
              <w:pStyle w:val="VCAAtablecondensed"/>
              <w:rPr>
                <w:lang w:val="en-AU"/>
              </w:rPr>
            </w:pPr>
            <w:r w:rsidRPr="00BF62D9">
              <w:rPr>
                <w:lang w:val="en-AU"/>
              </w:rPr>
              <w:t>Teacher emphasises</w:t>
            </w:r>
            <w:r w:rsidR="00B07F5C" w:rsidRPr="00BF62D9">
              <w:rPr>
                <w:lang w:val="en-AU"/>
              </w:rPr>
              <w:t xml:space="preserve"> at least one issue</w:t>
            </w:r>
            <w:r w:rsidRPr="00BF62D9">
              <w:rPr>
                <w:lang w:val="en-AU"/>
              </w:rPr>
              <w:t xml:space="preserve"> that refer</w:t>
            </w:r>
            <w:r w:rsidR="008622AE" w:rsidRPr="00BF62D9">
              <w:rPr>
                <w:lang w:val="en-AU"/>
              </w:rPr>
              <w:t>s</w:t>
            </w:r>
            <w:r w:rsidRPr="00BF62D9">
              <w:rPr>
                <w:lang w:val="en-AU"/>
              </w:rPr>
              <w:t xml:space="preserve"> to more</w:t>
            </w:r>
            <w:r w:rsidR="00B07F5C" w:rsidRPr="00BF62D9">
              <w:rPr>
                <w:lang w:val="en-AU"/>
              </w:rPr>
              <w:t xml:space="preserve"> a</w:t>
            </w:r>
            <w:r w:rsidRPr="00BF62D9">
              <w:rPr>
                <w:lang w:val="en-AU"/>
              </w:rPr>
              <w:t xml:space="preserve"> common work context.</w:t>
            </w:r>
          </w:p>
          <w:p w14:paraId="092660B4" w14:textId="31B15F43" w:rsidR="00510D99" w:rsidRPr="00BF62D9" w:rsidRDefault="00510D99" w:rsidP="00B07F5C">
            <w:pPr>
              <w:pStyle w:val="VCAAtablecondensed"/>
              <w:rPr>
                <w:color w:val="auto"/>
                <w:lang w:val="en-AU"/>
              </w:rPr>
            </w:pPr>
            <w:r w:rsidRPr="00BF62D9">
              <w:rPr>
                <w:lang w:val="en-AU"/>
              </w:rPr>
              <w:t xml:space="preserve">For example, instead of a sporting issue (where comparatively few people work), consider an issue </w:t>
            </w:r>
            <w:r w:rsidR="00B07F5C" w:rsidRPr="00BF62D9">
              <w:rPr>
                <w:lang w:val="en-AU"/>
              </w:rPr>
              <w:t>relating to</w:t>
            </w:r>
            <w:r w:rsidRPr="00BF62D9">
              <w:rPr>
                <w:lang w:val="en-AU"/>
              </w:rPr>
              <w:t xml:space="preserve"> a growing industry</w:t>
            </w:r>
            <w:r w:rsidR="00B07F5C" w:rsidRPr="00BF62D9">
              <w:rPr>
                <w:lang w:val="en-AU"/>
              </w:rPr>
              <w:t>,</w:t>
            </w:r>
            <w:r w:rsidRPr="00BF62D9">
              <w:rPr>
                <w:lang w:val="en-AU"/>
              </w:rPr>
              <w:t xml:space="preserve"> such as aged care or nursing. </w:t>
            </w:r>
          </w:p>
        </w:tc>
      </w:tr>
      <w:tr w:rsidR="00510D99" w:rsidRPr="00BF62D9" w14:paraId="47C09381" w14:textId="77777777" w:rsidTr="00FC1E90">
        <w:tc>
          <w:tcPr>
            <w:tcW w:w="5098" w:type="dxa"/>
          </w:tcPr>
          <w:p w14:paraId="7127379F" w14:textId="5BB7ACF2" w:rsidR="00D33688" w:rsidRPr="00BF62D9" w:rsidRDefault="00D33688" w:rsidP="00510D99">
            <w:pPr>
              <w:pStyle w:val="VCAAtablecondensed"/>
              <w:rPr>
                <w:lang w:val="en-AU"/>
              </w:rPr>
            </w:pPr>
            <w:r w:rsidRPr="00BF62D9">
              <w:rPr>
                <w:lang w:val="en-AU"/>
              </w:rPr>
              <w:t>Teacher draws a line on the board representing a scale with ‘essential’ at one end, and ‘unnecessary’ at the other. The scale represents how important expertise is to understand an issue.</w:t>
            </w:r>
          </w:p>
          <w:p w14:paraId="123E135F" w14:textId="2A06F5FF" w:rsidR="00510D99" w:rsidRPr="00BF62D9" w:rsidRDefault="00510D99" w:rsidP="00510D99">
            <w:pPr>
              <w:pStyle w:val="VCAAtablecondensed"/>
              <w:rPr>
                <w:lang w:val="en-AU"/>
              </w:rPr>
            </w:pPr>
            <w:r w:rsidRPr="00BF62D9">
              <w:rPr>
                <w:lang w:val="en-AU"/>
              </w:rPr>
              <w:t xml:space="preserve">In small groups, students discuss the extent to which experts are required for properly understanding </w:t>
            </w:r>
            <w:r w:rsidR="00D33688" w:rsidRPr="00BF62D9">
              <w:rPr>
                <w:lang w:val="en-AU"/>
              </w:rPr>
              <w:t xml:space="preserve">a selected </w:t>
            </w:r>
            <w:r w:rsidRPr="00BF62D9">
              <w:rPr>
                <w:lang w:val="en-AU"/>
              </w:rPr>
              <w:t>issue</w:t>
            </w:r>
            <w:r w:rsidR="00D33688" w:rsidRPr="00BF62D9">
              <w:rPr>
                <w:lang w:val="en-AU"/>
              </w:rPr>
              <w:t xml:space="preserve">. </w:t>
            </w:r>
            <w:r w:rsidR="009E5138" w:rsidRPr="00BF62D9">
              <w:rPr>
                <w:lang w:val="en-AU"/>
              </w:rPr>
              <w:t>They explore the relationship between expertise, trust and authority.</w:t>
            </w:r>
          </w:p>
        </w:tc>
        <w:tc>
          <w:tcPr>
            <w:tcW w:w="4791" w:type="dxa"/>
          </w:tcPr>
          <w:p w14:paraId="7279DA82" w14:textId="79897EDC" w:rsidR="00510D99" w:rsidRPr="00BF62D9" w:rsidRDefault="008622AE" w:rsidP="00510D99">
            <w:pPr>
              <w:pStyle w:val="VCAAtablecondensed"/>
              <w:rPr>
                <w:color w:val="auto"/>
                <w:lang w:val="en-AU"/>
              </w:rPr>
            </w:pPr>
            <w:r w:rsidRPr="00BF62D9">
              <w:rPr>
                <w:color w:val="auto"/>
                <w:lang w:val="en-AU"/>
              </w:rPr>
              <w:t>Discussion of issues from existing activity runs unchanged.</w:t>
            </w:r>
          </w:p>
        </w:tc>
      </w:tr>
      <w:tr w:rsidR="00510D99" w:rsidRPr="00BF62D9" w14:paraId="3F7C9F0C" w14:textId="77777777" w:rsidTr="00FC1E90">
        <w:tc>
          <w:tcPr>
            <w:tcW w:w="5098" w:type="dxa"/>
            <w:tcBorders>
              <w:bottom w:val="single" w:sz="4" w:space="0" w:color="auto"/>
            </w:tcBorders>
          </w:tcPr>
          <w:p w14:paraId="11E34414" w14:textId="051B3D43" w:rsidR="00510D99" w:rsidRPr="00BF62D9" w:rsidRDefault="00510D99" w:rsidP="00510D99">
            <w:pPr>
              <w:pStyle w:val="VCAAtablecondensed"/>
              <w:rPr>
                <w:lang w:val="en-AU"/>
              </w:rPr>
            </w:pPr>
            <w:r w:rsidRPr="00BF62D9">
              <w:rPr>
                <w:lang w:val="en-AU"/>
              </w:rPr>
              <w:t xml:space="preserve">Small groups take turns explaining where on the scale they rated </w:t>
            </w:r>
            <w:r w:rsidR="00D33688" w:rsidRPr="00BF62D9">
              <w:rPr>
                <w:lang w:val="en-AU"/>
              </w:rPr>
              <w:t>the issue they discussed</w:t>
            </w:r>
            <w:r w:rsidRPr="00BF62D9">
              <w:rPr>
                <w:lang w:val="en-AU"/>
              </w:rPr>
              <w:t xml:space="preserve">. After each group has rated the issue on the scale, they explain their reasoning, including </w:t>
            </w:r>
            <w:r w:rsidR="00D33688" w:rsidRPr="00BF62D9">
              <w:rPr>
                <w:lang w:val="en-AU"/>
              </w:rPr>
              <w:t xml:space="preserve">which </w:t>
            </w:r>
            <w:r w:rsidRPr="00BF62D9">
              <w:rPr>
                <w:lang w:val="en-AU"/>
              </w:rPr>
              <w:t xml:space="preserve">experts </w:t>
            </w:r>
            <w:r w:rsidR="00D33688" w:rsidRPr="00BF62D9">
              <w:rPr>
                <w:lang w:val="en-AU"/>
              </w:rPr>
              <w:t>would be associated with the issue</w:t>
            </w:r>
            <w:r w:rsidRPr="00BF62D9">
              <w:rPr>
                <w:lang w:val="en-AU"/>
              </w:rPr>
              <w:t xml:space="preserve">. </w:t>
            </w:r>
          </w:p>
          <w:p w14:paraId="446FB8DB" w14:textId="0D656CF9" w:rsidR="00510D99" w:rsidRPr="00BF62D9" w:rsidRDefault="00510D99" w:rsidP="00510D99">
            <w:pPr>
              <w:pStyle w:val="VCAAtablecondensed"/>
              <w:rPr>
                <w:lang w:val="en-AU"/>
              </w:rPr>
            </w:pPr>
            <w:r w:rsidRPr="00BF62D9">
              <w:rPr>
                <w:lang w:val="en-AU"/>
              </w:rPr>
              <w:lastRenderedPageBreak/>
              <w:t xml:space="preserve">For example, in a sports controversy, sporting administrators </w:t>
            </w:r>
            <w:bookmarkStart w:id="1" w:name="_GoBack"/>
            <w:bookmarkEnd w:id="1"/>
            <w:r w:rsidRPr="00BF62D9">
              <w:rPr>
                <w:lang w:val="en-AU"/>
              </w:rPr>
              <w:t xml:space="preserve">would </w:t>
            </w:r>
            <w:r w:rsidR="00EC7D86" w:rsidRPr="00BF62D9">
              <w:rPr>
                <w:lang w:val="en-AU"/>
              </w:rPr>
              <w:t>presumably have more access to expert sources than</w:t>
            </w:r>
            <w:r w:rsidRPr="00BF62D9">
              <w:rPr>
                <w:lang w:val="en-AU"/>
              </w:rPr>
              <w:t xml:space="preserve"> a social media commentator</w:t>
            </w:r>
            <w:r w:rsidR="006527D0" w:rsidRPr="00BF62D9">
              <w:rPr>
                <w:lang w:val="en-AU"/>
              </w:rPr>
              <w:t xml:space="preserve">, and thus would be a more valid source of authority when </w:t>
            </w:r>
            <w:r w:rsidR="00EC7D86" w:rsidRPr="00BF62D9">
              <w:rPr>
                <w:lang w:val="en-AU"/>
              </w:rPr>
              <w:t>trying</w:t>
            </w:r>
            <w:r w:rsidR="006527D0" w:rsidRPr="00BF62D9">
              <w:rPr>
                <w:lang w:val="en-AU"/>
              </w:rPr>
              <w:t xml:space="preserve"> to understand the issue.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0D137BAF" w14:textId="2A512178" w:rsidR="0002492A" w:rsidRPr="00BF62D9" w:rsidRDefault="0002492A" w:rsidP="0002492A">
            <w:pPr>
              <w:pStyle w:val="VCAAtablecondensed"/>
              <w:rPr>
                <w:color w:val="auto"/>
                <w:lang w:val="en-AU"/>
              </w:rPr>
            </w:pPr>
            <w:r w:rsidRPr="00BF62D9">
              <w:rPr>
                <w:lang w:val="en-AU"/>
              </w:rPr>
              <w:lastRenderedPageBreak/>
              <w:t>In addition</w:t>
            </w:r>
            <w:r w:rsidR="008622AE" w:rsidRPr="00BF62D9">
              <w:rPr>
                <w:lang w:val="en-AU"/>
              </w:rPr>
              <w:t xml:space="preserve"> to the existing activity</w:t>
            </w:r>
            <w:r w:rsidRPr="00BF62D9">
              <w:rPr>
                <w:lang w:val="en-AU"/>
              </w:rPr>
              <w:t xml:space="preserve">, teacher and class discuss how one develops the sort of expertise relevant for this issue, </w:t>
            </w:r>
            <w:r w:rsidR="00B07F5C" w:rsidRPr="00BF62D9">
              <w:rPr>
                <w:lang w:val="en-AU"/>
              </w:rPr>
              <w:t>including how different specialisations exist within broader industries</w:t>
            </w:r>
            <w:r w:rsidRPr="00BF62D9">
              <w:rPr>
                <w:lang w:val="en-AU"/>
              </w:rPr>
              <w:t xml:space="preserve">. For example, </w:t>
            </w:r>
            <w:r w:rsidR="00DA2979" w:rsidRPr="00BF62D9">
              <w:rPr>
                <w:lang w:val="en-AU"/>
              </w:rPr>
              <w:t xml:space="preserve">students consider </w:t>
            </w:r>
            <w:r w:rsidRPr="00BF62D9">
              <w:rPr>
                <w:lang w:val="en-AU"/>
              </w:rPr>
              <w:t xml:space="preserve">how the study and experiences involved in becoming a nurse may differ from </w:t>
            </w:r>
            <w:r w:rsidRPr="00BF62D9">
              <w:rPr>
                <w:lang w:val="en-AU"/>
              </w:rPr>
              <w:lastRenderedPageBreak/>
              <w:t>another health speci</w:t>
            </w:r>
            <w:r w:rsidR="00B07F5C" w:rsidRPr="00BF62D9">
              <w:rPr>
                <w:lang w:val="en-AU"/>
              </w:rPr>
              <w:t>alist, such as an immunologist</w:t>
            </w:r>
            <w:r w:rsidR="00E329BF" w:rsidRPr="00BF62D9">
              <w:rPr>
                <w:lang w:val="en-AU"/>
              </w:rPr>
              <w:t>, although both may have shared background studies in health</w:t>
            </w:r>
            <w:r w:rsidR="00B07F5C" w:rsidRPr="00BF62D9">
              <w:rPr>
                <w:lang w:val="en-AU"/>
              </w:rPr>
              <w:t>.</w:t>
            </w:r>
            <w:r w:rsidR="00DA2979" w:rsidRPr="00BF62D9">
              <w:rPr>
                <w:lang w:val="en-AU"/>
              </w:rPr>
              <w:t xml:space="preserve"> Students may examine the career path/experience of experts associated with their topic.</w:t>
            </w:r>
          </w:p>
        </w:tc>
      </w:tr>
      <w:tr w:rsidR="00510D99" w:rsidRPr="00BF62D9" w14:paraId="63793E0F" w14:textId="77777777" w:rsidTr="00FC1E90">
        <w:tc>
          <w:tcPr>
            <w:tcW w:w="5098" w:type="dxa"/>
          </w:tcPr>
          <w:p w14:paraId="7674DB26" w14:textId="4754FA1E" w:rsidR="00510D99" w:rsidRPr="00BF62D9" w:rsidRDefault="00510D99" w:rsidP="00B07F5C">
            <w:pPr>
              <w:pStyle w:val="VCAAtablecondensed"/>
              <w:rPr>
                <w:lang w:val="en-AU"/>
              </w:rPr>
            </w:pPr>
            <w:r w:rsidRPr="00BF62D9">
              <w:rPr>
                <w:lang w:val="en-AU"/>
              </w:rPr>
              <w:lastRenderedPageBreak/>
              <w:t xml:space="preserve">As a class, </w:t>
            </w:r>
            <w:r w:rsidR="006527D0" w:rsidRPr="00BF62D9">
              <w:rPr>
                <w:lang w:val="en-AU"/>
              </w:rPr>
              <w:t xml:space="preserve">students </w:t>
            </w:r>
            <w:r w:rsidRPr="00BF62D9">
              <w:rPr>
                <w:lang w:val="en-AU"/>
              </w:rPr>
              <w:t xml:space="preserve">debate how confident </w:t>
            </w:r>
            <w:r w:rsidR="006527D0" w:rsidRPr="00BF62D9">
              <w:rPr>
                <w:lang w:val="en-AU"/>
              </w:rPr>
              <w:t xml:space="preserve">they </w:t>
            </w:r>
            <w:r w:rsidRPr="00BF62D9">
              <w:rPr>
                <w:lang w:val="en-AU"/>
              </w:rPr>
              <w:t xml:space="preserve">can be (as a matter of degree) in forming </w:t>
            </w:r>
            <w:r w:rsidR="006527D0" w:rsidRPr="00BF62D9">
              <w:rPr>
                <w:lang w:val="en-AU"/>
              </w:rPr>
              <w:t xml:space="preserve">their </w:t>
            </w:r>
            <w:r w:rsidRPr="00BF62D9">
              <w:rPr>
                <w:lang w:val="en-AU"/>
              </w:rPr>
              <w:t>own judgements on these issues</w:t>
            </w:r>
            <w:r w:rsidR="00B07F5C" w:rsidRPr="00BF62D9">
              <w:rPr>
                <w:lang w:val="en-AU"/>
              </w:rPr>
              <w:t xml:space="preserve">, referring back to the degree of trust we have in different types of expertise. </w:t>
            </w:r>
          </w:p>
        </w:tc>
        <w:tc>
          <w:tcPr>
            <w:tcW w:w="4791" w:type="dxa"/>
          </w:tcPr>
          <w:p w14:paraId="5C7790EF" w14:textId="5F691797" w:rsidR="003B717E" w:rsidRPr="00BF62D9" w:rsidRDefault="00B07F5C" w:rsidP="00B96D1F">
            <w:pPr>
              <w:pStyle w:val="VCAAtablecondensed"/>
              <w:rPr>
                <w:lang w:val="en-AU"/>
              </w:rPr>
            </w:pPr>
            <w:r w:rsidRPr="00BF62D9">
              <w:rPr>
                <w:lang w:val="en-AU"/>
              </w:rPr>
              <w:t>In addition</w:t>
            </w:r>
            <w:r w:rsidR="008622AE" w:rsidRPr="00BF62D9">
              <w:rPr>
                <w:lang w:val="en-AU"/>
              </w:rPr>
              <w:t xml:space="preserve"> to the existing discussion</w:t>
            </w:r>
            <w:r w:rsidRPr="00BF62D9">
              <w:rPr>
                <w:lang w:val="en-AU"/>
              </w:rPr>
              <w:t xml:space="preserve">, teacher reinforces contrasts between different specialisations </w:t>
            </w:r>
            <w:r w:rsidR="003B717E" w:rsidRPr="00BF62D9">
              <w:rPr>
                <w:lang w:val="en-AU"/>
              </w:rPr>
              <w:t xml:space="preserve">in otherwise related industries, and their shared pathways. For example, </w:t>
            </w:r>
            <w:r w:rsidR="00DA2979" w:rsidRPr="00BF62D9">
              <w:rPr>
                <w:lang w:val="en-AU"/>
              </w:rPr>
              <w:t>teacher could highlight the</w:t>
            </w:r>
            <w:r w:rsidR="008622AE" w:rsidRPr="00BF62D9">
              <w:rPr>
                <w:lang w:val="en-AU"/>
              </w:rPr>
              <w:t xml:space="preserve"> varied </w:t>
            </w:r>
            <w:r w:rsidR="003B717E" w:rsidRPr="00BF62D9">
              <w:rPr>
                <w:lang w:val="en-AU"/>
              </w:rPr>
              <w:t>prerequisite VCE studies as an entry point to university studies</w:t>
            </w:r>
            <w:r w:rsidR="00DA2979" w:rsidRPr="00BF62D9">
              <w:rPr>
                <w:lang w:val="en-AU"/>
              </w:rPr>
              <w:t xml:space="preserve"> within the health field</w:t>
            </w:r>
            <w:r w:rsidR="003B717E" w:rsidRPr="00BF62D9">
              <w:rPr>
                <w:lang w:val="en-AU"/>
              </w:rPr>
              <w:t>.</w:t>
            </w:r>
          </w:p>
          <w:p w14:paraId="258AD130" w14:textId="77777777" w:rsidR="00B13F80" w:rsidRPr="00BF62D9" w:rsidRDefault="00944956" w:rsidP="00B96D1F">
            <w:pPr>
              <w:pStyle w:val="VCAAtablecondensed"/>
              <w:rPr>
                <w:lang w:val="en-AU"/>
              </w:rPr>
            </w:pPr>
            <w:r w:rsidRPr="00BF62D9">
              <w:rPr>
                <w:lang w:val="en-AU"/>
              </w:rPr>
              <w:t>Students research other specialisations within the relevant industry, noting how they are connected.</w:t>
            </w:r>
          </w:p>
          <w:p w14:paraId="7C083F81" w14:textId="08DDB7C9" w:rsidR="007052BF" w:rsidRPr="00BF62D9" w:rsidRDefault="007052BF" w:rsidP="00B96D1F">
            <w:pPr>
              <w:pStyle w:val="VCAAtablecondensed"/>
              <w:rPr>
                <w:color w:val="auto"/>
                <w:lang w:val="en-AU"/>
              </w:rPr>
            </w:pPr>
            <w:r w:rsidRPr="00BF62D9">
              <w:rPr>
                <w:lang w:val="en-AU"/>
              </w:rPr>
              <w:t xml:space="preserve">Students can be asked to reflect on how their findings relate to their own interests and skills, or whether this activity has </w:t>
            </w:r>
            <w:r w:rsidR="007A78CE">
              <w:rPr>
                <w:lang w:val="en-AU"/>
              </w:rPr>
              <w:t>given them ideas for</w:t>
            </w:r>
            <w:r w:rsidRPr="00BF62D9">
              <w:rPr>
                <w:lang w:val="en-AU"/>
              </w:rPr>
              <w:t xml:space="preserve"> planning future exploration. </w:t>
            </w:r>
          </w:p>
        </w:tc>
      </w:tr>
    </w:tbl>
    <w:p w14:paraId="3F52BE49" w14:textId="0D4D11B4" w:rsidR="00DB533D" w:rsidRPr="00BF62D9" w:rsidRDefault="00B51FA6" w:rsidP="004F6DE0">
      <w:pPr>
        <w:pStyle w:val="VCAAHeading4"/>
        <w:rPr>
          <w:lang w:val="en-AU"/>
        </w:rPr>
      </w:pPr>
      <w:r w:rsidRPr="00BF62D9">
        <w:rPr>
          <w:lang w:val="en-AU"/>
        </w:rPr>
        <w:t>C</w:t>
      </w:r>
      <w:r w:rsidR="0038622E" w:rsidRPr="00BF62D9">
        <w:rPr>
          <w:lang w:val="en-AU"/>
        </w:rPr>
        <w:t>onsiderations</w:t>
      </w:r>
      <w:r w:rsidR="00255852" w:rsidRPr="00BF62D9">
        <w:rPr>
          <w:lang w:val="en-AU"/>
        </w:rPr>
        <w:t xml:space="preserve"> when </w:t>
      </w:r>
      <w:r w:rsidR="001A39A9" w:rsidRPr="00BF62D9">
        <w:rPr>
          <w:lang w:val="en-AU"/>
        </w:rPr>
        <w:t xml:space="preserve">adapting the </w:t>
      </w:r>
      <w:r w:rsidR="001926FE" w:rsidRPr="00BF62D9">
        <w:rPr>
          <w:lang w:val="en-AU"/>
        </w:rPr>
        <w:t>learning</w:t>
      </w:r>
      <w:r w:rsidR="00255852" w:rsidRPr="00BF62D9">
        <w:rPr>
          <w:lang w:val="en-AU"/>
        </w:rPr>
        <w:t xml:space="preserve"> activity</w:t>
      </w:r>
    </w:p>
    <w:p w14:paraId="60ACE0FC" w14:textId="64694698" w:rsidR="00DB533D" w:rsidRPr="00BF62D9" w:rsidRDefault="00776288" w:rsidP="00BF62D9">
      <w:pPr>
        <w:pStyle w:val="VCAAbullet"/>
        <w:rPr>
          <w:lang w:val="en-AU" w:eastAsia="en-AU"/>
        </w:rPr>
      </w:pPr>
      <w:r w:rsidRPr="00BF62D9">
        <w:rPr>
          <w:lang w:val="en-AU"/>
        </w:rPr>
        <w:t xml:space="preserve">This activity can exist in a cross-curricular context by exploring how people </w:t>
      </w:r>
      <w:r w:rsidR="00EA05B8">
        <w:rPr>
          <w:lang w:val="en-AU"/>
        </w:rPr>
        <w:t>gain authority</w:t>
      </w:r>
      <w:r w:rsidRPr="00BF62D9">
        <w:rPr>
          <w:lang w:val="en-AU"/>
        </w:rPr>
        <w:t xml:space="preserve"> within subject-specific work areas. For instance, </w:t>
      </w:r>
      <w:r w:rsidR="004A5CEC" w:rsidRPr="00BF62D9">
        <w:rPr>
          <w:lang w:val="en-AU"/>
        </w:rPr>
        <w:t>in the context of Science, teachers may discuss the importance of publishing peer-reviewed research and the role that this process plays in legitimatising scientific research.</w:t>
      </w:r>
      <w:r w:rsidR="00B96D1F" w:rsidRPr="00BF62D9">
        <w:rPr>
          <w:lang w:val="en-AU"/>
        </w:rPr>
        <w:t xml:space="preserve"> </w:t>
      </w:r>
    </w:p>
    <w:p w14:paraId="7B8C7A50" w14:textId="0AEC5BA0" w:rsidR="008D57CA" w:rsidRPr="00BF62D9" w:rsidRDefault="009B6382" w:rsidP="00BF62D9">
      <w:pPr>
        <w:pStyle w:val="VCAAbullet"/>
        <w:rPr>
          <w:lang w:val="en-AU"/>
        </w:rPr>
      </w:pPr>
      <w:r w:rsidRPr="00BF62D9">
        <w:rPr>
          <w:lang w:val="en-AU"/>
        </w:rPr>
        <w:t>Teachers should prepare for this activity by ensuring that they</w:t>
      </w:r>
      <w:r w:rsidR="008622AE" w:rsidRPr="00BF62D9">
        <w:rPr>
          <w:lang w:val="en-AU"/>
        </w:rPr>
        <w:t xml:space="preserve"> can</w:t>
      </w:r>
      <w:r w:rsidRPr="00BF62D9">
        <w:rPr>
          <w:lang w:val="en-AU"/>
        </w:rPr>
        <w:t xml:space="preserve"> explain some</w:t>
      </w:r>
      <w:r w:rsidR="008622AE" w:rsidRPr="00BF62D9">
        <w:rPr>
          <w:lang w:val="en-AU"/>
        </w:rPr>
        <w:t xml:space="preserve"> contrasts in careers in related industries (such as between a doctor and a nurse)</w:t>
      </w:r>
      <w:r w:rsidRPr="00BF62D9">
        <w:rPr>
          <w:lang w:val="en-AU"/>
        </w:rPr>
        <w:t xml:space="preserve">, </w:t>
      </w:r>
      <w:r w:rsidR="007A78CE">
        <w:rPr>
          <w:lang w:val="en-AU"/>
        </w:rPr>
        <w:t xml:space="preserve">without </w:t>
      </w:r>
      <w:r w:rsidRPr="00BF62D9">
        <w:rPr>
          <w:lang w:val="en-AU"/>
        </w:rPr>
        <w:t xml:space="preserve">relying on class knowledge. </w:t>
      </w:r>
      <w:r w:rsidR="006671CC" w:rsidRPr="00BF62D9">
        <w:rPr>
          <w:lang w:val="en-AU"/>
        </w:rPr>
        <w:t xml:space="preserve">A discussion </w:t>
      </w:r>
      <w:r w:rsidR="007A78CE">
        <w:rPr>
          <w:lang w:val="en-AU"/>
        </w:rPr>
        <w:t>that</w:t>
      </w:r>
      <w:r w:rsidR="006671CC" w:rsidRPr="00BF62D9">
        <w:rPr>
          <w:lang w:val="en-AU"/>
        </w:rPr>
        <w:t xml:space="preserve"> exposes students to the breadth of different options within a given field of interest or study will be effective at this stage of their career development.</w:t>
      </w:r>
    </w:p>
    <w:p w14:paraId="1B9077A4" w14:textId="77777777" w:rsidR="00776288" w:rsidRPr="00BF62D9" w:rsidRDefault="00776288" w:rsidP="00776288">
      <w:pPr>
        <w:pStyle w:val="VCAAHeading4"/>
        <w:rPr>
          <w:lang w:val="en-AU"/>
        </w:rPr>
      </w:pPr>
      <w:r w:rsidRPr="00BF62D9">
        <w:rPr>
          <w:lang w:val="en-AU"/>
        </w:rPr>
        <w:t>Additional resources to help when adapting the learning activity</w:t>
      </w:r>
    </w:p>
    <w:p w14:paraId="765AA93C" w14:textId="02EF1208" w:rsidR="00B07F5C" w:rsidRPr="00BF62D9" w:rsidRDefault="0002492A" w:rsidP="00BF62D9">
      <w:pPr>
        <w:pStyle w:val="VCAAbullet"/>
        <w:rPr>
          <w:lang w:val="en-AU" w:eastAsia="en-AU"/>
        </w:rPr>
      </w:pPr>
      <w:r w:rsidRPr="00BF62D9">
        <w:rPr>
          <w:lang w:val="en-AU"/>
        </w:rPr>
        <w:t>Labour Market Information Portal</w:t>
      </w:r>
      <w:r w:rsidR="008622AE" w:rsidRPr="00BF62D9">
        <w:rPr>
          <w:lang w:val="en-AU"/>
        </w:rPr>
        <w:t>, ‘</w:t>
      </w:r>
      <w:hyperlink r:id="rId12" w:history="1">
        <w:r w:rsidR="008622AE" w:rsidRPr="00BF62D9">
          <w:rPr>
            <w:rStyle w:val="Hyperlink"/>
            <w:lang w:val="en-AU"/>
          </w:rPr>
          <w:t>Industry Information</w:t>
        </w:r>
      </w:hyperlink>
      <w:r w:rsidR="008622AE" w:rsidRPr="00BF62D9">
        <w:rPr>
          <w:lang w:val="en-AU"/>
        </w:rPr>
        <w:t xml:space="preserve">’ </w:t>
      </w:r>
    </w:p>
    <w:p w14:paraId="56185FFB" w14:textId="487AC1AF" w:rsidR="006671CC" w:rsidRPr="00BF62D9" w:rsidRDefault="006671CC" w:rsidP="00BF62D9">
      <w:pPr>
        <w:pStyle w:val="VCAAbullet"/>
        <w:rPr>
          <w:lang w:val="en-AU"/>
        </w:rPr>
      </w:pPr>
      <w:r w:rsidRPr="00BF62D9">
        <w:rPr>
          <w:lang w:val="en-AU"/>
        </w:rPr>
        <w:t>Job Outlook</w:t>
      </w:r>
      <w:r w:rsidR="008622AE" w:rsidRPr="00BF62D9">
        <w:rPr>
          <w:lang w:val="en-AU"/>
        </w:rPr>
        <w:t>, ‘</w:t>
      </w:r>
      <w:hyperlink r:id="rId13" w:history="1">
        <w:r w:rsidR="008622AE" w:rsidRPr="00BF62D9">
          <w:rPr>
            <w:rStyle w:val="Hyperlink"/>
            <w:lang w:val="en-AU"/>
          </w:rPr>
          <w:t>Your guide to Australian careers</w:t>
        </w:r>
      </w:hyperlink>
      <w:r w:rsidR="008622AE" w:rsidRPr="00BF62D9">
        <w:rPr>
          <w:lang w:val="en-AU"/>
        </w:rPr>
        <w:t>’</w:t>
      </w:r>
      <w:r w:rsidRPr="00BF62D9">
        <w:rPr>
          <w:lang w:val="en-AU" w:eastAsia="en-AU"/>
        </w:rPr>
        <w:t xml:space="preserve"> </w:t>
      </w:r>
    </w:p>
    <w:p w14:paraId="5B6532E0" w14:textId="2661014A" w:rsidR="00F01253" w:rsidRPr="00BF62D9" w:rsidRDefault="00905484" w:rsidP="004F6DE0">
      <w:pPr>
        <w:pStyle w:val="VCAAHeading3"/>
        <w:rPr>
          <w:lang w:val="en-AU"/>
        </w:rPr>
      </w:pPr>
      <w:r w:rsidRPr="00BF62D9">
        <w:rPr>
          <w:lang w:val="en-AU"/>
        </w:rPr>
        <w:t>B</w:t>
      </w:r>
      <w:r w:rsidR="0038622E" w:rsidRPr="00BF62D9">
        <w:rPr>
          <w:lang w:val="en-AU"/>
        </w:rPr>
        <w:t>enefit</w:t>
      </w:r>
      <w:r w:rsidR="00425FD1" w:rsidRPr="00BF62D9">
        <w:rPr>
          <w:lang w:val="en-AU"/>
        </w:rPr>
        <w:t>s</w:t>
      </w:r>
      <w:r w:rsidR="00EA05B8">
        <w:rPr>
          <w:lang w:val="en-AU"/>
        </w:rPr>
        <w:t xml:space="preserve"> </w:t>
      </w:r>
      <w:r w:rsidR="00425FD1" w:rsidRPr="00BF62D9">
        <w:rPr>
          <w:lang w:val="en-AU"/>
        </w:rPr>
        <w:t>for</w:t>
      </w:r>
      <w:r w:rsidR="0038622E" w:rsidRPr="00BF62D9">
        <w:rPr>
          <w:lang w:val="en-AU"/>
        </w:rPr>
        <w:t xml:space="preserve"> </w:t>
      </w:r>
      <w:r w:rsidR="007E7D1F" w:rsidRPr="00BF62D9">
        <w:rPr>
          <w:lang w:val="en-AU"/>
        </w:rPr>
        <w:t>students</w:t>
      </w:r>
    </w:p>
    <w:p w14:paraId="0AE436CB" w14:textId="06FA867E" w:rsidR="007052BF" w:rsidRPr="00BF62D9" w:rsidRDefault="00EC7D86" w:rsidP="00F01253">
      <w:pPr>
        <w:pStyle w:val="VCAAbody"/>
        <w:rPr>
          <w:lang w:val="en-AU"/>
        </w:rPr>
      </w:pPr>
      <w:r w:rsidRPr="00BF62D9">
        <w:rPr>
          <w:lang w:val="en-AU"/>
        </w:rPr>
        <w:t>Know yourself – self-development</w:t>
      </w:r>
      <w:r w:rsidR="007052BF" w:rsidRPr="00BF62D9">
        <w:rPr>
          <w:lang w:val="en-AU"/>
        </w:rPr>
        <w:t>:</w:t>
      </w:r>
    </w:p>
    <w:p w14:paraId="5C7A82AA" w14:textId="77777777" w:rsidR="00EA05B8" w:rsidRPr="00BF62D9" w:rsidRDefault="00EA05B8" w:rsidP="00EA05B8">
      <w:pPr>
        <w:pStyle w:val="VCAAbullet"/>
        <w:rPr>
          <w:lang w:val="en-AU"/>
        </w:rPr>
      </w:pPr>
      <w:r w:rsidRPr="00BF62D9">
        <w:rPr>
          <w:lang w:val="en-AU"/>
        </w:rPr>
        <w:t xml:space="preserve">Students develop an appreciation that careers progress over long periods of time, and becoming a </w:t>
      </w:r>
      <w:r w:rsidRPr="00EA05B8">
        <w:rPr>
          <w:bCs/>
          <w:lang w:val="en-AU"/>
        </w:rPr>
        <w:t>lifelong learner is</w:t>
      </w:r>
      <w:r w:rsidRPr="00BF62D9">
        <w:rPr>
          <w:lang w:val="en-AU"/>
        </w:rPr>
        <w:t xml:space="preserve"> important for pursuing specialisation in any industry. </w:t>
      </w:r>
    </w:p>
    <w:p w14:paraId="66FA02DD" w14:textId="06B0CB08" w:rsidR="00F01253" w:rsidRPr="00BF62D9" w:rsidRDefault="00EC7D86" w:rsidP="00F01253">
      <w:pPr>
        <w:pStyle w:val="VCAAbody"/>
        <w:rPr>
          <w:lang w:val="en-AU"/>
        </w:rPr>
      </w:pPr>
      <w:r w:rsidRPr="00BF62D9">
        <w:rPr>
          <w:lang w:val="en-AU"/>
        </w:rPr>
        <w:t>Know your world – career exploration:</w:t>
      </w:r>
    </w:p>
    <w:p w14:paraId="5F3D185F" w14:textId="008BD350" w:rsidR="00EA05B8" w:rsidRPr="00BF62D9" w:rsidRDefault="00EA05B8" w:rsidP="00EA05B8">
      <w:pPr>
        <w:pStyle w:val="VCAAbullet"/>
        <w:rPr>
          <w:lang w:val="en-AU"/>
        </w:rPr>
      </w:pPr>
      <w:r>
        <w:rPr>
          <w:lang w:val="en-AU"/>
        </w:rPr>
        <w:t>Students explore</w:t>
      </w:r>
      <w:r w:rsidRPr="00BF62D9">
        <w:rPr>
          <w:lang w:val="en-AU"/>
        </w:rPr>
        <w:t xml:space="preserve"> new career opportunities that align with existing skills or interests. </w:t>
      </w:r>
    </w:p>
    <w:p w14:paraId="235EE798" w14:textId="338C3D32" w:rsidR="00DB533D" w:rsidRPr="00BF62D9" w:rsidRDefault="00944956" w:rsidP="00BF62D9">
      <w:pPr>
        <w:pStyle w:val="VCAAbullet"/>
        <w:rPr>
          <w:lang w:val="en-AU"/>
        </w:rPr>
      </w:pPr>
      <w:r w:rsidRPr="00BF62D9">
        <w:rPr>
          <w:lang w:val="en-AU"/>
        </w:rPr>
        <w:t>In identifying that specialisations often have a shared background, students can better distinguish between long-term career goals (e.g. become an epidemiologist) and short-term career goals (e.g. work in the health industries).</w:t>
      </w:r>
    </w:p>
    <w:p w14:paraId="5E11C16D" w14:textId="2BC30745" w:rsidR="00F01253" w:rsidRPr="00BF62D9" w:rsidRDefault="00EC7D86" w:rsidP="00F01253">
      <w:pPr>
        <w:pStyle w:val="VCAAbody"/>
        <w:rPr>
          <w:lang w:val="en-AU"/>
        </w:rPr>
      </w:pPr>
      <w:r w:rsidRPr="00BF62D9">
        <w:rPr>
          <w:lang w:val="en-AU"/>
        </w:rPr>
        <w:t>Manage your future – be proactive:</w:t>
      </w:r>
    </w:p>
    <w:p w14:paraId="77CB426E" w14:textId="77777777" w:rsidR="00EA05B8" w:rsidRPr="00BF62D9" w:rsidRDefault="00EA05B8" w:rsidP="00EA05B8">
      <w:pPr>
        <w:pStyle w:val="VCAAbullet"/>
        <w:rPr>
          <w:lang w:val="en-AU"/>
        </w:rPr>
      </w:pPr>
      <w:r>
        <w:rPr>
          <w:lang w:val="en-AU"/>
        </w:rPr>
        <w:t>Students d</w:t>
      </w:r>
      <w:r w:rsidRPr="00BF62D9">
        <w:rPr>
          <w:lang w:val="en-AU"/>
        </w:rPr>
        <w:t>evelop the</w:t>
      </w:r>
      <w:r>
        <w:rPr>
          <w:lang w:val="en-AU"/>
        </w:rPr>
        <w:t>ir</w:t>
      </w:r>
      <w:r w:rsidRPr="00BF62D9">
        <w:rPr>
          <w:lang w:val="en-AU"/>
        </w:rPr>
        <w:t xml:space="preserve"> capacity to think creatively and critically about how issues are presented, and how to evaluate information effectively, </w:t>
      </w:r>
      <w:r>
        <w:rPr>
          <w:lang w:val="en-AU"/>
        </w:rPr>
        <w:t>which helps them to make informed decisions</w:t>
      </w:r>
      <w:r w:rsidRPr="00BF62D9">
        <w:rPr>
          <w:lang w:val="en-AU"/>
        </w:rPr>
        <w:t>.</w:t>
      </w:r>
    </w:p>
    <w:p w14:paraId="7D43C90F" w14:textId="657E0811" w:rsidR="00C821B1" w:rsidRPr="00BF62D9" w:rsidRDefault="009C7941" w:rsidP="00BF62D9">
      <w:pPr>
        <w:pStyle w:val="VCAAbullet"/>
        <w:rPr>
          <w:lang w:val="en-AU"/>
        </w:rPr>
      </w:pPr>
      <w:r w:rsidRPr="00BF62D9">
        <w:rPr>
          <w:lang w:val="en-AU"/>
        </w:rPr>
        <w:t>Focusing on issues relating to common</w:t>
      </w:r>
      <w:r w:rsidR="00D25BEE" w:rsidRPr="00BF62D9">
        <w:rPr>
          <w:lang w:val="en-AU"/>
        </w:rPr>
        <w:t xml:space="preserve"> and growing</w:t>
      </w:r>
      <w:r w:rsidRPr="00BF62D9">
        <w:rPr>
          <w:lang w:val="en-AU"/>
        </w:rPr>
        <w:t xml:space="preserve"> workplace contexts</w:t>
      </w:r>
      <w:r w:rsidR="00D25BEE" w:rsidRPr="00BF62D9">
        <w:rPr>
          <w:lang w:val="en-AU"/>
        </w:rPr>
        <w:t xml:space="preserve"> </w:t>
      </w:r>
      <w:r w:rsidRPr="00BF62D9">
        <w:rPr>
          <w:lang w:val="en-AU"/>
        </w:rPr>
        <w:t xml:space="preserve">can help students to better their </w:t>
      </w:r>
      <w:r w:rsidR="00C821B1" w:rsidRPr="00BF62D9">
        <w:rPr>
          <w:lang w:val="en-AU"/>
        </w:rPr>
        <w:t xml:space="preserve">knowledge </w:t>
      </w:r>
      <w:r w:rsidRPr="00BF62D9">
        <w:rPr>
          <w:lang w:val="en-AU"/>
        </w:rPr>
        <w:t xml:space="preserve">of the labour market. </w:t>
      </w:r>
    </w:p>
    <w:sectPr w:rsidR="00C821B1" w:rsidRPr="00BF62D9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CCD546" w16cid:durableId="231D85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7A78CE" w:rsidRDefault="007A78C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7A78CE" w:rsidRDefault="007A78C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A78C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7A78CE" w:rsidRPr="00D06414" w:rsidRDefault="007A78C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7A78CE" w:rsidRPr="00D06414" w:rsidRDefault="007A78C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71EC55F" w:rsidR="007A78CE" w:rsidRPr="00D06414" w:rsidRDefault="007A78C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2450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7A78CE" w:rsidRPr="00D06414" w:rsidRDefault="007A78C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78C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7A78CE" w:rsidRPr="00D06414" w:rsidRDefault="007A78C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A78CE" w:rsidRPr="00D06414" w:rsidRDefault="007A78C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A78CE" w:rsidRPr="00D06414" w:rsidRDefault="007A78C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7A78CE" w:rsidRPr="00D06414" w:rsidRDefault="007A78C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7A78CE" w:rsidRDefault="007A78C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7A78CE" w:rsidRDefault="007A78C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F086BB0" w:rsidR="007A78CE" w:rsidRDefault="007A78CE" w:rsidP="0038622E">
    <w:pPr>
      <w:pStyle w:val="VCAAbody"/>
    </w:pPr>
    <w:r>
      <w:t>Embedding career education in the Victorian Curriculum F–10 – Critical and Creative Thinking, Levels 7 and 8</w:t>
    </w:r>
  </w:p>
  <w:p w14:paraId="0F4EB06A" w14:textId="77777777" w:rsidR="007A78CE" w:rsidRPr="0038622E" w:rsidRDefault="007A78CE" w:rsidP="0038622E">
    <w:pPr>
      <w:pStyle w:val="VCAAbody"/>
      <w:rPr>
        <w:color w:val="0F7EB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7A78CE" w:rsidRPr="009370BC" w:rsidRDefault="007A78CE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DA7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C4F9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CE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225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30E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01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EA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30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CC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226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645A37CA"/>
    <w:lvl w:ilvl="0" w:tplc="A1FE301E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76B1"/>
    <w:rsid w:val="00024505"/>
    <w:rsid w:val="0002492A"/>
    <w:rsid w:val="00033048"/>
    <w:rsid w:val="0005780E"/>
    <w:rsid w:val="00065CC6"/>
    <w:rsid w:val="00072AF1"/>
    <w:rsid w:val="00086CFC"/>
    <w:rsid w:val="00086F84"/>
    <w:rsid w:val="00097F58"/>
    <w:rsid w:val="000A71F7"/>
    <w:rsid w:val="000B152F"/>
    <w:rsid w:val="000C5A73"/>
    <w:rsid w:val="000F09E4"/>
    <w:rsid w:val="000F16FD"/>
    <w:rsid w:val="000F5AAF"/>
    <w:rsid w:val="00113A86"/>
    <w:rsid w:val="0012374D"/>
    <w:rsid w:val="00143520"/>
    <w:rsid w:val="00153AD2"/>
    <w:rsid w:val="0017308A"/>
    <w:rsid w:val="001779EA"/>
    <w:rsid w:val="001926FE"/>
    <w:rsid w:val="001A39A9"/>
    <w:rsid w:val="001D3246"/>
    <w:rsid w:val="001D5F42"/>
    <w:rsid w:val="001E2722"/>
    <w:rsid w:val="001F5D88"/>
    <w:rsid w:val="002279BA"/>
    <w:rsid w:val="002329F3"/>
    <w:rsid w:val="00243F0D"/>
    <w:rsid w:val="00254888"/>
    <w:rsid w:val="00255852"/>
    <w:rsid w:val="00260767"/>
    <w:rsid w:val="002647BB"/>
    <w:rsid w:val="002754C1"/>
    <w:rsid w:val="002841C8"/>
    <w:rsid w:val="0028516B"/>
    <w:rsid w:val="002B103A"/>
    <w:rsid w:val="002C6F90"/>
    <w:rsid w:val="002E4FB5"/>
    <w:rsid w:val="00302FB8"/>
    <w:rsid w:val="00304EA1"/>
    <w:rsid w:val="00307944"/>
    <w:rsid w:val="00314D81"/>
    <w:rsid w:val="00322FC6"/>
    <w:rsid w:val="0035293F"/>
    <w:rsid w:val="00356697"/>
    <w:rsid w:val="0037615D"/>
    <w:rsid w:val="0038622E"/>
    <w:rsid w:val="00391986"/>
    <w:rsid w:val="00392864"/>
    <w:rsid w:val="003A00B4"/>
    <w:rsid w:val="003B717E"/>
    <w:rsid w:val="003C394F"/>
    <w:rsid w:val="003C5E71"/>
    <w:rsid w:val="003F6006"/>
    <w:rsid w:val="004000EE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8438A"/>
    <w:rsid w:val="00495592"/>
    <w:rsid w:val="00495C80"/>
    <w:rsid w:val="004A2ED8"/>
    <w:rsid w:val="004A5CEC"/>
    <w:rsid w:val="004D70CD"/>
    <w:rsid w:val="004F5BDA"/>
    <w:rsid w:val="004F6DE0"/>
    <w:rsid w:val="00510D99"/>
    <w:rsid w:val="0051631E"/>
    <w:rsid w:val="00537A1F"/>
    <w:rsid w:val="00563E1D"/>
    <w:rsid w:val="00566029"/>
    <w:rsid w:val="00567A20"/>
    <w:rsid w:val="00567FD3"/>
    <w:rsid w:val="005923CB"/>
    <w:rsid w:val="005B391B"/>
    <w:rsid w:val="005D3D78"/>
    <w:rsid w:val="005D7236"/>
    <w:rsid w:val="005E2EF0"/>
    <w:rsid w:val="005F4092"/>
    <w:rsid w:val="00610518"/>
    <w:rsid w:val="006527D0"/>
    <w:rsid w:val="006671CC"/>
    <w:rsid w:val="0068471E"/>
    <w:rsid w:val="00684F98"/>
    <w:rsid w:val="00687800"/>
    <w:rsid w:val="00693FFD"/>
    <w:rsid w:val="006D2159"/>
    <w:rsid w:val="006F58F8"/>
    <w:rsid w:val="006F787C"/>
    <w:rsid w:val="00702636"/>
    <w:rsid w:val="007052BF"/>
    <w:rsid w:val="00724507"/>
    <w:rsid w:val="007472AE"/>
    <w:rsid w:val="007623B9"/>
    <w:rsid w:val="00773E6C"/>
    <w:rsid w:val="00776288"/>
    <w:rsid w:val="00781FB1"/>
    <w:rsid w:val="007A0E4B"/>
    <w:rsid w:val="007A55F0"/>
    <w:rsid w:val="007A78CE"/>
    <w:rsid w:val="007D1B6D"/>
    <w:rsid w:val="007D6335"/>
    <w:rsid w:val="007E7D1F"/>
    <w:rsid w:val="007F1196"/>
    <w:rsid w:val="00813C37"/>
    <w:rsid w:val="008154B5"/>
    <w:rsid w:val="00821F00"/>
    <w:rsid w:val="00823962"/>
    <w:rsid w:val="00852719"/>
    <w:rsid w:val="00853835"/>
    <w:rsid w:val="00860115"/>
    <w:rsid w:val="008622AE"/>
    <w:rsid w:val="00862F22"/>
    <w:rsid w:val="0088783C"/>
    <w:rsid w:val="008B1278"/>
    <w:rsid w:val="008C0A84"/>
    <w:rsid w:val="008D0ABF"/>
    <w:rsid w:val="008D57CA"/>
    <w:rsid w:val="00905484"/>
    <w:rsid w:val="009370BC"/>
    <w:rsid w:val="00944956"/>
    <w:rsid w:val="00970580"/>
    <w:rsid w:val="009824E2"/>
    <w:rsid w:val="0098739B"/>
    <w:rsid w:val="009B61E5"/>
    <w:rsid w:val="009B6382"/>
    <w:rsid w:val="009C7941"/>
    <w:rsid w:val="009D0BE9"/>
    <w:rsid w:val="009D1E89"/>
    <w:rsid w:val="009E5138"/>
    <w:rsid w:val="009E5707"/>
    <w:rsid w:val="00A13223"/>
    <w:rsid w:val="00A17661"/>
    <w:rsid w:val="00A24B2D"/>
    <w:rsid w:val="00A27DCD"/>
    <w:rsid w:val="00A40966"/>
    <w:rsid w:val="00A50E81"/>
    <w:rsid w:val="00A54050"/>
    <w:rsid w:val="00A921E0"/>
    <w:rsid w:val="00A922F4"/>
    <w:rsid w:val="00AA0101"/>
    <w:rsid w:val="00AD59D5"/>
    <w:rsid w:val="00AE5526"/>
    <w:rsid w:val="00AF051B"/>
    <w:rsid w:val="00B01578"/>
    <w:rsid w:val="00B0738F"/>
    <w:rsid w:val="00B07F5C"/>
    <w:rsid w:val="00B13D3B"/>
    <w:rsid w:val="00B13F80"/>
    <w:rsid w:val="00B230DB"/>
    <w:rsid w:val="00B26601"/>
    <w:rsid w:val="00B30E01"/>
    <w:rsid w:val="00B41951"/>
    <w:rsid w:val="00B51FA6"/>
    <w:rsid w:val="00B53229"/>
    <w:rsid w:val="00B62480"/>
    <w:rsid w:val="00B7304E"/>
    <w:rsid w:val="00B74D78"/>
    <w:rsid w:val="00B81B70"/>
    <w:rsid w:val="00B962F8"/>
    <w:rsid w:val="00B96D1F"/>
    <w:rsid w:val="00BB3BAB"/>
    <w:rsid w:val="00BD0724"/>
    <w:rsid w:val="00BD2B91"/>
    <w:rsid w:val="00BE5521"/>
    <w:rsid w:val="00BF62D9"/>
    <w:rsid w:val="00BF6C23"/>
    <w:rsid w:val="00C2005D"/>
    <w:rsid w:val="00C3702C"/>
    <w:rsid w:val="00C53263"/>
    <w:rsid w:val="00C6415E"/>
    <w:rsid w:val="00C75F1D"/>
    <w:rsid w:val="00C821B1"/>
    <w:rsid w:val="00C95156"/>
    <w:rsid w:val="00CA0DC2"/>
    <w:rsid w:val="00CB68E8"/>
    <w:rsid w:val="00D04F01"/>
    <w:rsid w:val="00D06414"/>
    <w:rsid w:val="00D24E5A"/>
    <w:rsid w:val="00D25BEE"/>
    <w:rsid w:val="00D33688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A2979"/>
    <w:rsid w:val="00DB533D"/>
    <w:rsid w:val="00DE1909"/>
    <w:rsid w:val="00DE51DB"/>
    <w:rsid w:val="00E23F1D"/>
    <w:rsid w:val="00E30E05"/>
    <w:rsid w:val="00E329BF"/>
    <w:rsid w:val="00E36361"/>
    <w:rsid w:val="00E55AE9"/>
    <w:rsid w:val="00E56D1D"/>
    <w:rsid w:val="00E71CD7"/>
    <w:rsid w:val="00E77D7D"/>
    <w:rsid w:val="00E9592C"/>
    <w:rsid w:val="00EA05B8"/>
    <w:rsid w:val="00EA2830"/>
    <w:rsid w:val="00EB0C84"/>
    <w:rsid w:val="00EB64BB"/>
    <w:rsid w:val="00EC7D86"/>
    <w:rsid w:val="00ED116A"/>
    <w:rsid w:val="00EF1E25"/>
    <w:rsid w:val="00F01253"/>
    <w:rsid w:val="00F17FDE"/>
    <w:rsid w:val="00F40D53"/>
    <w:rsid w:val="00F4525C"/>
    <w:rsid w:val="00F50D86"/>
    <w:rsid w:val="00F60795"/>
    <w:rsid w:val="00F6610F"/>
    <w:rsid w:val="00FB23F1"/>
    <w:rsid w:val="00FB67FA"/>
    <w:rsid w:val="00FC1E90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F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EC7D86"/>
    <w:pPr>
      <w:numPr>
        <w:numId w:val="1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kern w:val="22"/>
      <w:szCs w:val="18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1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71CC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oboutlook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mip.gov.au/default.aspx?LMIP/GainInsights/IndustryInforma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CCTR03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8C9E4-D3B6-4315-AAC6-8F2295E09AF9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C3E232-F77E-41F7-9AFA-A2FF959E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crtiical and creative thinking</cp:keywords>
  <cp:lastModifiedBy>Witt, Kylie I</cp:lastModifiedBy>
  <cp:revision>4</cp:revision>
  <cp:lastPrinted>2020-03-04T04:43:00Z</cp:lastPrinted>
  <dcterms:created xsi:type="dcterms:W3CDTF">2020-09-29T00:02:00Z</dcterms:created>
  <dcterms:modified xsi:type="dcterms:W3CDTF">2020-09-30T04:15:00Z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