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C30E4" w14:textId="513CF493" w:rsidR="00086CFC" w:rsidRDefault="00C2005D" w:rsidP="00162B85">
      <w:pPr>
        <w:pStyle w:val="VCAAHeading1"/>
      </w:pPr>
      <w:r>
        <w:t>E</w:t>
      </w:r>
      <w:r w:rsidR="00E56D1D">
        <w:t>m</w:t>
      </w:r>
      <w:r w:rsidR="007E7D1F">
        <w:t xml:space="preserve">bedding </w:t>
      </w:r>
      <w:r w:rsidR="000962BB">
        <w:t>career education</w:t>
      </w:r>
      <w:r w:rsidR="007E7D1F">
        <w:t xml:space="preserve"> in </w:t>
      </w:r>
      <w:r w:rsidR="00E56D1D">
        <w:t>the Victorian Curriculum F–10</w:t>
      </w:r>
      <w:r w:rsidR="00086CFC">
        <w:t xml:space="preserve"> </w:t>
      </w:r>
    </w:p>
    <w:p w14:paraId="309AA2D5" w14:textId="44505244" w:rsidR="004F6DE0" w:rsidRPr="008C0A84" w:rsidRDefault="00BF26C3" w:rsidP="004F6DE0">
      <w:pPr>
        <w:pStyle w:val="VCAAHeading2"/>
        <w:rPr>
          <w:lang w:val="en-AU"/>
        </w:rPr>
      </w:pPr>
      <w:bookmarkStart w:id="0" w:name="TemplateOverview"/>
      <w:bookmarkEnd w:id="0"/>
      <w:r>
        <w:rPr>
          <w:lang w:val="en-AU"/>
        </w:rPr>
        <w:t xml:space="preserve">Mathematics, Level </w:t>
      </w:r>
      <w:r w:rsidR="004A5F8E">
        <w:rPr>
          <w:lang w:val="en-AU"/>
        </w:rPr>
        <w:t>10</w:t>
      </w:r>
    </w:p>
    <w:p w14:paraId="2E354ED1" w14:textId="2A7F938E"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w:t>
      </w:r>
      <w:proofErr w:type="gramStart"/>
      <w:r w:rsidRPr="008C0A84">
        <w:rPr>
          <w:lang w:val="en-AU"/>
        </w:rPr>
        <w:t>particular learning</w:t>
      </w:r>
      <w:proofErr w:type="gramEnd"/>
      <w:r w:rsidRPr="008C0A84">
        <w:rPr>
          <w:lang w:val="en-AU"/>
        </w:rPr>
        <w:t xml:space="preserve">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0962BB">
        <w:rPr>
          <w:lang w:val="en-AU"/>
        </w:rPr>
        <w:t>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42B1CB3A" w14:textId="7B4C747E" w:rsidR="00E4172B" w:rsidRPr="008C0A84" w:rsidRDefault="00E4172B" w:rsidP="00162B85">
      <w:pPr>
        <w:pStyle w:val="VCAAbody-withlargetabandhangingindent"/>
      </w:pPr>
      <w:r w:rsidRPr="00162B85">
        <w:rPr>
          <w:b/>
          <w:bCs/>
        </w:rPr>
        <w:t>Curriculum area and level:</w:t>
      </w:r>
      <w:r w:rsidRPr="008C0A84">
        <w:tab/>
        <w:t>M</w:t>
      </w:r>
      <w:r>
        <w:t>athematics</w:t>
      </w:r>
      <w:r w:rsidRPr="008C0A84">
        <w:t xml:space="preserve">, </w:t>
      </w:r>
      <w:r w:rsidRPr="00C27FC7">
        <w:t>Level</w:t>
      </w:r>
      <w:r w:rsidRPr="008C0A84">
        <w:t xml:space="preserve"> </w:t>
      </w:r>
      <w:r>
        <w:t>10</w:t>
      </w:r>
    </w:p>
    <w:p w14:paraId="05192C05" w14:textId="7ACD1C89" w:rsidR="003C3008" w:rsidRDefault="00E4172B" w:rsidP="00E4172B">
      <w:pPr>
        <w:pStyle w:val="VCAAbody-withlargetabandhangingindent"/>
      </w:pPr>
      <w:r w:rsidRPr="008C0A84">
        <w:rPr>
          <w:b/>
        </w:rPr>
        <w:t>Relevant content description:</w:t>
      </w:r>
      <w:r w:rsidRPr="008C0A84">
        <w:tab/>
      </w:r>
      <w:r w:rsidRPr="008127DB">
        <w:t>Solve right-angled triangle problems including those involving direction and angles of elevation and</w:t>
      </w:r>
      <w:r w:rsidR="00E00372">
        <w:t xml:space="preserve"> </w:t>
      </w:r>
      <w:r w:rsidRPr="008127DB">
        <w:t>depression</w:t>
      </w:r>
      <w:r w:rsidR="00E00372">
        <w:t xml:space="preserve"> </w:t>
      </w:r>
      <w:hyperlink r:id="rId11" w:tooltip="View elaborations and additional details of VCMMG346" w:history="1">
        <w:r w:rsidRPr="008127DB">
          <w:t>(</w:t>
        </w:r>
        <w:r w:rsidRPr="00162B85">
          <w:rPr>
            <w:rStyle w:val="Hyperlink"/>
          </w:rPr>
          <w:t>VCMMG346</w:t>
        </w:r>
        <w:r w:rsidRPr="008127DB">
          <w:t>)</w:t>
        </w:r>
      </w:hyperlink>
    </w:p>
    <w:p w14:paraId="36A2C730" w14:textId="1AC31597" w:rsidR="007E7D1F" w:rsidRPr="003C3008" w:rsidRDefault="00E4172B" w:rsidP="003C3008">
      <w:pPr>
        <w:pStyle w:val="VCAAbody-withlargetabandhangingindent"/>
      </w:pPr>
      <w:r w:rsidRPr="008C0A84">
        <w:rPr>
          <w:b/>
        </w:rPr>
        <w:t>Existing activity:</w:t>
      </w:r>
      <w:r w:rsidRPr="008C0A84">
        <w:tab/>
      </w:r>
      <w:r>
        <w:t>A</w:t>
      </w:r>
      <w:r w:rsidRPr="008127DB">
        <w:t xml:space="preserve">pplying Pythagoras </w:t>
      </w:r>
      <w:r w:rsidR="000962BB">
        <w:t>t</w:t>
      </w:r>
      <w:r w:rsidRPr="008127DB">
        <w:t xml:space="preserve">heorem and trigonometry to </w:t>
      </w:r>
      <w:r w:rsidR="005E303C">
        <w:t>real-world scenarios</w:t>
      </w:r>
      <w:r w:rsidRPr="008127DB">
        <w:t>.</w:t>
      </w:r>
    </w:p>
    <w:p w14:paraId="2364A01C" w14:textId="12DD44BA" w:rsidR="00421DB1" w:rsidRPr="008C0A84" w:rsidRDefault="00421DB1" w:rsidP="00B51FA6">
      <w:pPr>
        <w:pStyle w:val="VCAAbody-withlargetabandhangingindent"/>
      </w:pPr>
      <w:r w:rsidRPr="000443B8">
        <w:rPr>
          <w:b/>
          <w:bCs/>
        </w:rPr>
        <w:t>Summary of adaptation, change, addition:</w:t>
      </w:r>
      <w:r>
        <w:tab/>
      </w:r>
      <w:r w:rsidR="008D6738">
        <w:t>Investigating ways trigonometry is used in engineering</w:t>
      </w:r>
      <w:r w:rsidR="00DB533D" w:rsidRPr="00162B85">
        <w:t>.</w:t>
      </w:r>
    </w:p>
    <w:p w14:paraId="65DFB73F" w14:textId="1556B941" w:rsidR="00254888" w:rsidRDefault="00254888" w:rsidP="00162B85">
      <w:pPr>
        <w:pStyle w:val="VCAAHeading3"/>
        <w:rPr>
          <w:lang w:val="en-AU"/>
        </w:rPr>
      </w:pPr>
      <w:r w:rsidRPr="008C0A84">
        <w:rPr>
          <w:lang w:val="en-AU"/>
        </w:rPr>
        <w:t xml:space="preserve">2. Adapt the learning activity to </w:t>
      </w:r>
      <w:r w:rsidR="00FF47DF" w:rsidRPr="008C0A84">
        <w:rPr>
          <w:lang w:val="en-AU"/>
        </w:rPr>
        <w:t>include</w:t>
      </w:r>
      <w:r w:rsidRPr="008C0A84">
        <w:rPr>
          <w:lang w:val="en-AU"/>
        </w:rPr>
        <w:t xml:space="preserve"> a </w:t>
      </w:r>
      <w:r w:rsidR="000962BB">
        <w:rPr>
          <w:lang w:val="en-AU"/>
        </w:rPr>
        <w:t>career education</w:t>
      </w:r>
      <w:r w:rsidRPr="008C0A84">
        <w:rPr>
          <w:lang w:val="en-AU"/>
        </w:rPr>
        <w:t xml:space="preserve"> </w:t>
      </w:r>
      <w:r w:rsidRPr="00162B85">
        <w:t>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964"/>
        <w:gridCol w:w="5925"/>
      </w:tblGrid>
      <w:tr w:rsidR="00254888" w:rsidRPr="008C0A84" w14:paraId="47FFE019" w14:textId="77777777" w:rsidTr="00567FD3">
        <w:trPr>
          <w:cnfStyle w:val="100000000000" w:firstRow="1" w:lastRow="0" w:firstColumn="0" w:lastColumn="0" w:oddVBand="0" w:evenVBand="0" w:oddHBand="0" w:evenHBand="0" w:firstRowFirstColumn="0" w:firstRowLastColumn="0" w:lastRowFirstColumn="0" w:lastRowLastColumn="0"/>
        </w:trPr>
        <w:tc>
          <w:tcPr>
            <w:tcW w:w="3964"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925"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 xml:space="preserve">Adaptations, </w:t>
            </w:r>
            <w:proofErr w:type="gramStart"/>
            <w:r>
              <w:rPr>
                <w:lang w:val="en-AU"/>
              </w:rPr>
              <w:t>changes</w:t>
            </w:r>
            <w:proofErr w:type="gramEnd"/>
            <w:r>
              <w:rPr>
                <w:lang w:val="en-AU"/>
              </w:rPr>
              <w:t xml:space="preserve"> or extensions that can be made</w:t>
            </w:r>
          </w:p>
        </w:tc>
      </w:tr>
      <w:tr w:rsidR="00254888" w:rsidRPr="008C0A84" w14:paraId="20588B85" w14:textId="77777777" w:rsidTr="00567FD3">
        <w:tc>
          <w:tcPr>
            <w:tcW w:w="3964" w:type="dxa"/>
          </w:tcPr>
          <w:p w14:paraId="2351905F" w14:textId="17D96689" w:rsidR="000962BB" w:rsidRDefault="000962BB" w:rsidP="00E4172B">
            <w:pPr>
              <w:pStyle w:val="VCAAtablecondensed"/>
              <w:rPr>
                <w:lang w:val="en-AU"/>
              </w:rPr>
            </w:pPr>
            <w:r w:rsidRPr="000962BB">
              <w:rPr>
                <w:lang w:val="en-AU"/>
              </w:rPr>
              <w:t>Teacher provides example diagrams involving the interpretation of angles of elevation and depression and demonstrates use of sine, cosine or tangent to find missing angles.</w:t>
            </w:r>
          </w:p>
          <w:p w14:paraId="25F93626" w14:textId="0A3F4FEB" w:rsidR="00E4172B" w:rsidRPr="00E4172B" w:rsidRDefault="00E4172B" w:rsidP="00E4172B">
            <w:pPr>
              <w:pStyle w:val="VCAAtablecondensed"/>
              <w:rPr>
                <w:lang w:val="en-AU"/>
              </w:rPr>
            </w:pPr>
            <w:r w:rsidRPr="00E4172B">
              <w:rPr>
                <w:lang w:val="en-AU"/>
              </w:rPr>
              <w:t>Students review example diagrams during classroom demonstration.</w:t>
            </w:r>
          </w:p>
          <w:p w14:paraId="46A85701" w14:textId="23762D39" w:rsidR="00F83515" w:rsidRPr="00E4172B" w:rsidRDefault="00F83515" w:rsidP="00E4172B">
            <w:pPr>
              <w:pStyle w:val="VCAAtablecondensed"/>
              <w:rPr>
                <w:lang w:val="en-AU"/>
              </w:rPr>
            </w:pPr>
          </w:p>
        </w:tc>
        <w:tc>
          <w:tcPr>
            <w:tcW w:w="5925" w:type="dxa"/>
          </w:tcPr>
          <w:p w14:paraId="2B5BD3CE" w14:textId="592DE6F3" w:rsidR="002F033B" w:rsidRPr="00162B85" w:rsidRDefault="008E7EFC" w:rsidP="00162B85">
            <w:pPr>
              <w:pStyle w:val="VCAAtablecondensed"/>
            </w:pPr>
            <w:r w:rsidRPr="00162B85">
              <w:t xml:space="preserve">Teacher </w:t>
            </w:r>
            <w:r w:rsidR="002F033B" w:rsidRPr="00162B85">
              <w:t>introduces the work of an engineer, including various types of engineering</w:t>
            </w:r>
            <w:r w:rsidR="00612F4A" w:rsidRPr="00162B85">
              <w:t>, such as</w:t>
            </w:r>
            <w:r w:rsidR="002F033B" w:rsidRPr="00162B85">
              <w:t xml:space="preserve"> civil, structural, software, mechanical</w:t>
            </w:r>
            <w:r w:rsidR="00612F4A" w:rsidRPr="00162B85">
              <w:t>.</w:t>
            </w:r>
          </w:p>
          <w:p w14:paraId="413B85DB" w14:textId="51B7EE99" w:rsidR="002F033B" w:rsidRPr="00162B85" w:rsidRDefault="002F033B" w:rsidP="00162B85">
            <w:pPr>
              <w:pStyle w:val="VCAAtablecondensed"/>
            </w:pPr>
            <w:r w:rsidRPr="00162B85">
              <w:t>Teacher groups students and has them find descriptions of each type of engineering occupations</w:t>
            </w:r>
            <w:r w:rsidR="00612F4A" w:rsidRPr="00162B85">
              <w:t>.</w:t>
            </w:r>
            <w:r w:rsidRPr="00162B85">
              <w:t xml:space="preserve">  </w:t>
            </w:r>
          </w:p>
          <w:p w14:paraId="0871858C" w14:textId="77777777" w:rsidR="000962BB" w:rsidRDefault="000962BB" w:rsidP="000962BB">
            <w:pPr>
              <w:pStyle w:val="VCAAtablecondensed"/>
            </w:pPr>
            <w:r>
              <w:t xml:space="preserve">Teacher reviews the method for the interpretation of angles of elevation and depression and demonstrates use of sine, cosine or tangent to find missing angles using several </w:t>
            </w:r>
            <w:proofErr w:type="spellStart"/>
            <w:r>
              <w:t>contextualised</w:t>
            </w:r>
            <w:proofErr w:type="spellEnd"/>
            <w:r>
              <w:t xml:space="preserve"> engineering examples. </w:t>
            </w:r>
          </w:p>
          <w:p w14:paraId="092660B4" w14:textId="18DE21D8" w:rsidR="008E7EFC" w:rsidRPr="00162B85" w:rsidRDefault="000962BB">
            <w:pPr>
              <w:pStyle w:val="VCAAtablecondensed"/>
            </w:pPr>
            <w:r>
              <w:t>Students review Pythagoras theorem and some examples the interpretation of angles of elevation and depression using sine, cosine or tangent</w:t>
            </w:r>
          </w:p>
        </w:tc>
      </w:tr>
      <w:tr w:rsidR="00254888" w:rsidRPr="008C0A84" w14:paraId="47C09381" w14:textId="77777777" w:rsidTr="00567FD3">
        <w:tc>
          <w:tcPr>
            <w:tcW w:w="3964" w:type="dxa"/>
          </w:tcPr>
          <w:p w14:paraId="3C727AC9" w14:textId="485910D9" w:rsidR="000962BB" w:rsidRDefault="000962BB" w:rsidP="00E4172B">
            <w:pPr>
              <w:pStyle w:val="VCAAtablecondensed"/>
              <w:rPr>
                <w:lang w:val="en-AU"/>
              </w:rPr>
            </w:pPr>
            <w:r w:rsidRPr="000962BB">
              <w:rPr>
                <w:lang w:val="en-AU"/>
              </w:rPr>
              <w:t xml:space="preserve">Teacher discusses practical situations in which angles might be derived, e.g. finding the angle </w:t>
            </w:r>
            <w:r w:rsidR="005D5CD1">
              <w:rPr>
                <w:lang w:val="en-AU"/>
              </w:rPr>
              <w:t>that</w:t>
            </w:r>
            <w:r w:rsidRPr="000962BB">
              <w:rPr>
                <w:lang w:val="en-AU"/>
              </w:rPr>
              <w:t xml:space="preserve"> a ladder leaning against a vertical wall makes with the floor.</w:t>
            </w:r>
          </w:p>
          <w:p w14:paraId="0A35E735" w14:textId="12497309" w:rsidR="00E4172B" w:rsidRPr="00E4172B" w:rsidRDefault="00E4172B" w:rsidP="00E4172B">
            <w:pPr>
              <w:pStyle w:val="VCAAtablecondensed"/>
              <w:rPr>
                <w:lang w:val="en-AU"/>
              </w:rPr>
            </w:pPr>
            <w:r w:rsidRPr="00E4172B">
              <w:rPr>
                <w:lang w:val="en-AU"/>
              </w:rPr>
              <w:t>Teacher sets students a variety of practical problems, including those involving angles of elevation and depression.</w:t>
            </w:r>
          </w:p>
          <w:p w14:paraId="123E135F" w14:textId="26CECE34" w:rsidR="008E7EFC" w:rsidRPr="008C0A84" w:rsidRDefault="00E4172B" w:rsidP="00E4172B">
            <w:pPr>
              <w:pStyle w:val="VCAAtablecondensed"/>
              <w:rPr>
                <w:lang w:val="en-AU"/>
              </w:rPr>
            </w:pPr>
            <w:r w:rsidRPr="00E4172B">
              <w:rPr>
                <w:lang w:val="en-AU"/>
              </w:rPr>
              <w:lastRenderedPageBreak/>
              <w:t>Students complete problems from an appropriate text or online source, including those involving angles of elevation and depression</w:t>
            </w:r>
            <w:r w:rsidR="0062216D">
              <w:rPr>
                <w:lang w:val="en-AU"/>
              </w:rPr>
              <w:t>.</w:t>
            </w:r>
          </w:p>
        </w:tc>
        <w:tc>
          <w:tcPr>
            <w:tcW w:w="5925" w:type="dxa"/>
          </w:tcPr>
          <w:p w14:paraId="2FB4BBD9" w14:textId="5B42C553" w:rsidR="002F033B" w:rsidRPr="002F033B" w:rsidRDefault="002F033B" w:rsidP="002F033B">
            <w:pPr>
              <w:pStyle w:val="VCAAtablecondensed"/>
              <w:rPr>
                <w:lang w:val="en-AU"/>
              </w:rPr>
            </w:pPr>
            <w:r w:rsidRPr="002F033B">
              <w:rPr>
                <w:lang w:val="en-AU"/>
              </w:rPr>
              <w:lastRenderedPageBreak/>
              <w:t>Teacher groups students into teams each specialising in a type of engineer</w:t>
            </w:r>
            <w:r w:rsidR="00612F4A">
              <w:rPr>
                <w:lang w:val="en-AU"/>
              </w:rPr>
              <w:t>. Teacher</w:t>
            </w:r>
            <w:r w:rsidRPr="002F033B">
              <w:rPr>
                <w:lang w:val="en-AU"/>
              </w:rPr>
              <w:t xml:space="preserve"> asks each team to consider how their type of engineer might need to use </w:t>
            </w:r>
            <w:r w:rsidR="000962BB" w:rsidRPr="002F033B">
              <w:rPr>
                <w:lang w:val="en-AU"/>
              </w:rPr>
              <w:t>Pythagor</w:t>
            </w:r>
            <w:r w:rsidR="000962BB">
              <w:rPr>
                <w:lang w:val="en-AU"/>
              </w:rPr>
              <w:t>as</w:t>
            </w:r>
            <w:r w:rsidR="000962BB" w:rsidRPr="002F033B">
              <w:rPr>
                <w:lang w:val="en-AU"/>
              </w:rPr>
              <w:t xml:space="preserve"> </w:t>
            </w:r>
            <w:r w:rsidR="000962BB">
              <w:rPr>
                <w:lang w:val="en-AU"/>
              </w:rPr>
              <w:t>t</w:t>
            </w:r>
            <w:r w:rsidR="000962BB" w:rsidRPr="002F033B">
              <w:rPr>
                <w:lang w:val="en-AU"/>
              </w:rPr>
              <w:t xml:space="preserve">heorem </w:t>
            </w:r>
            <w:r w:rsidRPr="002F033B">
              <w:rPr>
                <w:lang w:val="en-AU"/>
              </w:rPr>
              <w:t>and trigonometry to solve problems in their work</w:t>
            </w:r>
            <w:r w:rsidR="00612F4A">
              <w:rPr>
                <w:lang w:val="en-AU"/>
              </w:rPr>
              <w:t>.</w:t>
            </w:r>
          </w:p>
          <w:p w14:paraId="221506F8" w14:textId="64D70ECF" w:rsidR="002F033B" w:rsidRPr="00162B85" w:rsidRDefault="002F033B" w:rsidP="002F033B">
            <w:pPr>
              <w:pStyle w:val="VCAAtablecondensed"/>
              <w:rPr>
                <w:lang w:val="en-AU"/>
              </w:rPr>
            </w:pPr>
            <w:r w:rsidRPr="00162B85">
              <w:rPr>
                <w:lang w:val="en-AU"/>
              </w:rPr>
              <w:t xml:space="preserve">Possible examples </w:t>
            </w:r>
            <w:r w:rsidR="00612F4A" w:rsidRPr="00162B85">
              <w:rPr>
                <w:lang w:val="en-AU"/>
              </w:rPr>
              <w:t>include</w:t>
            </w:r>
            <w:r w:rsidRPr="00162B85">
              <w:rPr>
                <w:lang w:val="en-AU"/>
              </w:rPr>
              <w:t xml:space="preserve"> electrical engineers find heights and/or angles of elevation for overhead electrical wires; </w:t>
            </w:r>
            <w:r w:rsidR="005D5CD1">
              <w:rPr>
                <w:lang w:val="en-AU"/>
              </w:rPr>
              <w:t xml:space="preserve">and </w:t>
            </w:r>
            <w:r w:rsidRPr="00162B85">
              <w:rPr>
                <w:lang w:val="en-AU"/>
              </w:rPr>
              <w:t>software engineers find angle trajectories and line lengths when creating digital graphics</w:t>
            </w:r>
            <w:r w:rsidR="00612F4A" w:rsidRPr="00162B85">
              <w:rPr>
                <w:lang w:val="en-AU"/>
              </w:rPr>
              <w:t>.</w:t>
            </w:r>
          </w:p>
          <w:p w14:paraId="7279DA82" w14:textId="767F5B70" w:rsidR="002F033B" w:rsidRPr="00B74D78" w:rsidRDefault="000962BB" w:rsidP="002F033B">
            <w:pPr>
              <w:pStyle w:val="VCAAtablecondensed"/>
              <w:rPr>
                <w:color w:val="auto"/>
                <w:lang w:val="en-AU"/>
              </w:rPr>
            </w:pPr>
            <w:r>
              <w:rPr>
                <w:lang w:val="en-AU"/>
              </w:rPr>
              <w:lastRenderedPageBreak/>
              <w:t xml:space="preserve">In teams, students </w:t>
            </w:r>
            <w:r w:rsidRPr="002F033B">
              <w:rPr>
                <w:lang w:val="en-AU"/>
              </w:rPr>
              <w:t xml:space="preserve">research a type of engineering </w:t>
            </w:r>
            <w:r w:rsidR="005D5CD1">
              <w:rPr>
                <w:lang w:val="en-AU"/>
              </w:rPr>
              <w:t xml:space="preserve">in more detail, </w:t>
            </w:r>
            <w:r w:rsidRPr="002F033B">
              <w:rPr>
                <w:lang w:val="en-AU"/>
              </w:rPr>
              <w:t>and describe the work done by a given type of engineer</w:t>
            </w:r>
            <w:r w:rsidR="005D5CD1">
              <w:rPr>
                <w:lang w:val="en-AU"/>
              </w:rPr>
              <w:t>.</w:t>
            </w:r>
            <w:r w:rsidRPr="002F033B">
              <w:rPr>
                <w:lang w:val="en-AU"/>
              </w:rPr>
              <w:t xml:space="preserve"> </w:t>
            </w:r>
            <w:r w:rsidR="005D5CD1">
              <w:rPr>
                <w:lang w:val="en-AU"/>
              </w:rPr>
              <w:t>They research how</w:t>
            </w:r>
            <w:r w:rsidRPr="002F033B">
              <w:rPr>
                <w:lang w:val="en-AU"/>
              </w:rPr>
              <w:t xml:space="preserve"> their type of engineer might need to use Pythagor</w:t>
            </w:r>
            <w:r>
              <w:rPr>
                <w:lang w:val="en-AU"/>
              </w:rPr>
              <w:t>as</w:t>
            </w:r>
            <w:r w:rsidRPr="002F033B">
              <w:rPr>
                <w:lang w:val="en-AU"/>
              </w:rPr>
              <w:t xml:space="preserve"> </w:t>
            </w:r>
            <w:r>
              <w:rPr>
                <w:lang w:val="en-AU"/>
              </w:rPr>
              <w:t>t</w:t>
            </w:r>
            <w:r w:rsidRPr="002F033B">
              <w:rPr>
                <w:lang w:val="en-AU"/>
              </w:rPr>
              <w:t xml:space="preserve">heorem and trigonometry to solve problems in their work, and then compose a mathematical problem (complete with diagram/s) </w:t>
            </w:r>
            <w:r w:rsidR="005D5CD1">
              <w:rPr>
                <w:lang w:val="en-AU"/>
              </w:rPr>
              <w:t>that</w:t>
            </w:r>
            <w:r w:rsidRPr="002F033B">
              <w:rPr>
                <w:lang w:val="en-AU"/>
              </w:rPr>
              <w:t xml:space="preserve"> requires the use of trigonometry to solve it.</w:t>
            </w:r>
          </w:p>
        </w:tc>
      </w:tr>
      <w:tr w:rsidR="00254888" w:rsidRPr="008C0A84" w14:paraId="3F7C9F0C" w14:textId="77777777" w:rsidTr="00567FD3">
        <w:tc>
          <w:tcPr>
            <w:tcW w:w="3964" w:type="dxa"/>
            <w:tcBorders>
              <w:bottom w:val="single" w:sz="4" w:space="0" w:color="auto"/>
            </w:tcBorders>
          </w:tcPr>
          <w:p w14:paraId="58B97C61" w14:textId="77777777" w:rsidR="004A1D37" w:rsidRDefault="00E4172B" w:rsidP="004A1D37">
            <w:pPr>
              <w:pStyle w:val="VCAAtablecondensed"/>
              <w:rPr>
                <w:lang w:val="en-AU"/>
              </w:rPr>
            </w:pPr>
            <w:r>
              <w:rPr>
                <w:lang w:val="en-AU"/>
              </w:rPr>
              <w:lastRenderedPageBreak/>
              <w:t xml:space="preserve">Teacher </w:t>
            </w:r>
            <w:r w:rsidR="002F033B">
              <w:rPr>
                <w:lang w:val="en-AU"/>
              </w:rPr>
              <w:t>a</w:t>
            </w:r>
            <w:r w:rsidR="002F033B" w:rsidRPr="002F033B">
              <w:rPr>
                <w:lang w:val="en-AU"/>
              </w:rPr>
              <w:t>ssesses solutions by marking set exercises together with class.</w:t>
            </w:r>
          </w:p>
          <w:p w14:paraId="446FB8DB" w14:textId="79C0FFCA" w:rsidR="002F033B" w:rsidRPr="008C0A84" w:rsidRDefault="002F033B" w:rsidP="004A1D37">
            <w:pPr>
              <w:pStyle w:val="VCAAtablecondensed"/>
              <w:rPr>
                <w:lang w:val="en-AU"/>
              </w:rPr>
            </w:pPr>
            <w:r>
              <w:rPr>
                <w:lang w:val="en-AU"/>
              </w:rPr>
              <w:t xml:space="preserve">Students </w:t>
            </w:r>
            <w:r w:rsidR="00612F4A">
              <w:rPr>
                <w:lang w:val="en-AU"/>
              </w:rPr>
              <w:t>h</w:t>
            </w:r>
            <w:r w:rsidRPr="002F033B">
              <w:rPr>
                <w:lang w:val="en-AU"/>
              </w:rPr>
              <w:t>ave work checked or marked by classroom teacher and review by comparing responses and working in class.</w:t>
            </w:r>
          </w:p>
        </w:tc>
        <w:tc>
          <w:tcPr>
            <w:tcW w:w="5925" w:type="dxa"/>
            <w:tcBorders>
              <w:bottom w:val="single" w:sz="4" w:space="0" w:color="auto"/>
            </w:tcBorders>
          </w:tcPr>
          <w:p w14:paraId="4401D62E" w14:textId="77777777" w:rsidR="004A1D37" w:rsidRDefault="002F033B" w:rsidP="002F033B">
            <w:pPr>
              <w:pStyle w:val="VCAAtablecondensed"/>
              <w:rPr>
                <w:lang w:val="en-AU"/>
              </w:rPr>
            </w:pPr>
            <w:r w:rsidRPr="002F033B">
              <w:rPr>
                <w:lang w:val="en-AU"/>
              </w:rPr>
              <w:t>Students work with others and the teacher to solve peers’ sample trigonometric ‘engineering problems’, and review solutions</w:t>
            </w:r>
            <w:r w:rsidR="008D6738">
              <w:rPr>
                <w:lang w:val="en-AU"/>
              </w:rPr>
              <w:t>.</w:t>
            </w:r>
          </w:p>
          <w:p w14:paraId="0D137BAF" w14:textId="4B0AB238" w:rsidR="00612F4A" w:rsidRPr="00162B85" w:rsidRDefault="00612F4A" w:rsidP="002F033B">
            <w:pPr>
              <w:pStyle w:val="VCAAtablecondensed"/>
              <w:rPr>
                <w:lang w:val="en-AU"/>
              </w:rPr>
            </w:pPr>
            <w:r>
              <w:rPr>
                <w:lang w:val="en-AU"/>
              </w:rPr>
              <w:t>Teacher reinforces the links between the trigonometry studied at school, and its useful application in work.</w:t>
            </w:r>
          </w:p>
        </w:tc>
      </w:tr>
    </w:tbl>
    <w:p w14:paraId="3F52BE49" w14:textId="0D4D11B4" w:rsidR="00DB533D" w:rsidRDefault="00B51FA6" w:rsidP="00E40CF1">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14FF9B6E" w14:textId="63ECC9C9" w:rsidR="000962BB" w:rsidRPr="00224847" w:rsidRDefault="000962BB" w:rsidP="002F033B">
      <w:pPr>
        <w:pStyle w:val="VCAAbullet"/>
        <w:tabs>
          <w:tab w:val="clear" w:pos="425"/>
          <w:tab w:val="left" w:pos="284"/>
        </w:tabs>
        <w:ind w:left="284" w:hanging="284"/>
      </w:pPr>
      <w:r w:rsidRPr="000962BB">
        <w:t>Teachers should endeavour to use natural examples that illustrate the use of Pythagoras theorem and trigonometry in various engineering contexts.</w:t>
      </w:r>
    </w:p>
    <w:p w14:paraId="02CC1361" w14:textId="44976995" w:rsidR="000962BB" w:rsidRDefault="000962BB" w:rsidP="002F033B">
      <w:pPr>
        <w:pStyle w:val="VCAAbullet"/>
        <w:tabs>
          <w:tab w:val="clear" w:pos="425"/>
          <w:tab w:val="left" w:pos="284"/>
        </w:tabs>
        <w:ind w:left="284" w:hanging="284"/>
      </w:pPr>
      <w:r w:rsidRPr="000962BB">
        <w:t xml:space="preserve">Where there is a school </w:t>
      </w:r>
      <w:r w:rsidR="005D5CD1">
        <w:t>C</w:t>
      </w:r>
      <w:r w:rsidRPr="000962BB">
        <w:t xml:space="preserve">areers </w:t>
      </w:r>
      <w:r w:rsidR="005D5CD1">
        <w:t>P</w:t>
      </w:r>
      <w:r w:rsidRPr="000962BB">
        <w:t>ractitioner, teacher could engage their help in sourcing appropriate examples of the range of engineering roles available</w:t>
      </w:r>
      <w:r>
        <w:t xml:space="preserve">. </w:t>
      </w:r>
    </w:p>
    <w:p w14:paraId="6E5E4757" w14:textId="56370074" w:rsidR="000962BB" w:rsidRDefault="000962BB" w:rsidP="002F033B">
      <w:pPr>
        <w:pStyle w:val="VCAAbullet"/>
        <w:tabs>
          <w:tab w:val="clear" w:pos="425"/>
          <w:tab w:val="left" w:pos="284"/>
        </w:tabs>
        <w:ind w:left="284" w:hanging="284"/>
      </w:pPr>
      <w:r>
        <w:t xml:space="preserve">This activity would be enhanced if </w:t>
      </w:r>
      <w:r w:rsidRPr="000962BB">
        <w:t xml:space="preserve">students could interview </w:t>
      </w:r>
      <w:r>
        <w:t>an engineer about the ways they use Pythagoras theorem in their work life and</w:t>
      </w:r>
      <w:r w:rsidRPr="000962BB">
        <w:t xml:space="preserve"> learn more about the</w:t>
      </w:r>
      <w:r>
        <w:t>ir</w:t>
      </w:r>
      <w:r w:rsidRPr="000962BB">
        <w:t xml:space="preserve"> role and career </w:t>
      </w:r>
      <w:r>
        <w:t>journey</w:t>
      </w:r>
      <w:r w:rsidRPr="000962BB">
        <w:t>. Teachers will need to facilitate this, with the help of the school Careers Practitioner if possible. The Careers Practitioner can also work with students to demonstrate how to identify and contact people to learn more about specific careers.</w:t>
      </w:r>
    </w:p>
    <w:p w14:paraId="17193337" w14:textId="2D536E14" w:rsidR="000962BB" w:rsidRDefault="000962BB" w:rsidP="00162B85">
      <w:pPr>
        <w:pStyle w:val="VCAAbullet"/>
        <w:tabs>
          <w:tab w:val="clear" w:pos="425"/>
          <w:tab w:val="left" w:pos="284"/>
        </w:tabs>
        <w:ind w:left="284" w:hanging="284"/>
      </w:pPr>
      <w:r>
        <w:t>An explicitly taught review of trigonometric methods should remind students of these concepts and techniques prior to the groupwork.</w:t>
      </w:r>
    </w:p>
    <w:p w14:paraId="11F8A002" w14:textId="0E359B97" w:rsidR="00DB533D" w:rsidRDefault="00DB533D" w:rsidP="002F033B">
      <w:pPr>
        <w:pStyle w:val="VCAAHeading4"/>
      </w:pPr>
      <w:r>
        <w:t xml:space="preserve">Additional resources to help when adapting the learning activity </w:t>
      </w:r>
    </w:p>
    <w:p w14:paraId="57DEFC81" w14:textId="0FB6400E" w:rsidR="002F033B" w:rsidRPr="002F033B" w:rsidRDefault="008556A4" w:rsidP="002F033B">
      <w:pPr>
        <w:pStyle w:val="VCAAbullet"/>
        <w:tabs>
          <w:tab w:val="clear" w:pos="425"/>
          <w:tab w:val="left" w:pos="284"/>
        </w:tabs>
        <w:ind w:left="284" w:hanging="284"/>
      </w:pPr>
      <w:r>
        <w:t>Career Trend, ‘</w:t>
      </w:r>
      <w:hyperlink r:id="rId12" w:history="1">
        <w:r w:rsidRPr="00762E77">
          <w:rPr>
            <w:rStyle w:val="Hyperlink"/>
          </w:rPr>
          <w:t>Jobs that use Pythagorean theorem</w:t>
        </w:r>
      </w:hyperlink>
      <w:r>
        <w:t>’</w:t>
      </w:r>
      <w:r w:rsidR="00762E77" w:rsidRPr="002F033B" w:rsidDel="00762E77">
        <w:t xml:space="preserve"> </w:t>
      </w:r>
    </w:p>
    <w:p w14:paraId="41BE82D3" w14:textId="702AE4E8" w:rsidR="002F033B" w:rsidRDefault="002F033B" w:rsidP="002F033B">
      <w:pPr>
        <w:pStyle w:val="VCAAbullet"/>
        <w:tabs>
          <w:tab w:val="clear" w:pos="425"/>
          <w:tab w:val="left" w:pos="284"/>
        </w:tabs>
        <w:ind w:left="284" w:hanging="284"/>
      </w:pPr>
      <w:r w:rsidRPr="00224847">
        <w:t>AMSI</w:t>
      </w:r>
      <w:r w:rsidR="00762E77">
        <w:t>,</w:t>
      </w:r>
      <w:r w:rsidRPr="00224847">
        <w:t xml:space="preserve"> </w:t>
      </w:r>
      <w:r w:rsidR="00762E77">
        <w:t>‘</w:t>
      </w:r>
      <w:hyperlink r:id="rId13" w:history="1">
        <w:r w:rsidRPr="00762E77">
          <w:rPr>
            <w:rStyle w:val="Hyperlink"/>
          </w:rPr>
          <w:t>TIMES modules</w:t>
        </w:r>
      </w:hyperlink>
      <w:r w:rsidR="00762E77">
        <w:t>’</w:t>
      </w:r>
      <w:r w:rsidR="006D0D30">
        <w:t xml:space="preserve"> (for teachers)</w:t>
      </w:r>
    </w:p>
    <w:p w14:paraId="3988A9E4" w14:textId="1969A7FE" w:rsidR="002F033B" w:rsidRDefault="008556A4" w:rsidP="002F033B">
      <w:pPr>
        <w:pStyle w:val="VCAAbullet"/>
        <w:tabs>
          <w:tab w:val="clear" w:pos="425"/>
          <w:tab w:val="left" w:pos="284"/>
        </w:tabs>
        <w:ind w:left="284" w:hanging="284"/>
      </w:pPr>
      <w:r>
        <w:t>AMSI Careers, ‘</w:t>
      </w:r>
      <w:hyperlink r:id="rId14" w:history="1">
        <w:r w:rsidRPr="00762E77">
          <w:rPr>
            <w:rStyle w:val="Hyperlink"/>
          </w:rPr>
          <w:t>Engineering and resources</w:t>
        </w:r>
      </w:hyperlink>
      <w:r>
        <w:t>’</w:t>
      </w:r>
    </w:p>
    <w:p w14:paraId="1D60FF45" w14:textId="1D87E59F" w:rsidR="008D6738" w:rsidRPr="002F033B" w:rsidRDefault="008D6738" w:rsidP="002F033B">
      <w:pPr>
        <w:pStyle w:val="VCAAbullet"/>
        <w:tabs>
          <w:tab w:val="clear" w:pos="425"/>
          <w:tab w:val="left" w:pos="284"/>
        </w:tabs>
        <w:ind w:left="284" w:hanging="284"/>
      </w:pPr>
      <w:r w:rsidRPr="009304C1">
        <w:t>Engineers Australia</w:t>
      </w:r>
      <w:r w:rsidR="008556A4">
        <w:t>,</w:t>
      </w:r>
      <w:r w:rsidRPr="009304C1">
        <w:t xml:space="preserve"> ‘</w:t>
      </w:r>
      <w:hyperlink r:id="rId15" w:history="1">
        <w:r w:rsidRPr="00762E77">
          <w:rPr>
            <w:rStyle w:val="Hyperlink"/>
          </w:rPr>
          <w:t>Areas of Practice</w:t>
        </w:r>
      </w:hyperlink>
      <w:r w:rsidRPr="009304C1">
        <w:t>’</w:t>
      </w:r>
    </w:p>
    <w:p w14:paraId="5B6532E0" w14:textId="400AD0C9"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3C34B294" w14:textId="2F4D1944" w:rsidR="008D6738" w:rsidRPr="00162B85" w:rsidRDefault="000962BB">
      <w:pPr>
        <w:pStyle w:val="VCAAbody"/>
      </w:pPr>
      <w:r w:rsidRPr="000962BB">
        <w:rPr>
          <w:lang w:val="en-AU"/>
        </w:rPr>
        <w:t>Know yourself – self-development</w:t>
      </w:r>
      <w:r w:rsidR="008D6738" w:rsidRPr="008D6738">
        <w:rPr>
          <w:lang w:val="en-AU"/>
        </w:rPr>
        <w:t xml:space="preserve">: </w:t>
      </w:r>
    </w:p>
    <w:p w14:paraId="4CB39BCD" w14:textId="4B00CFF4" w:rsidR="008D6738" w:rsidRDefault="008D6738">
      <w:pPr>
        <w:pStyle w:val="VCAAbullet"/>
      </w:pPr>
      <w:r w:rsidRPr="00241D41">
        <w:t xml:space="preserve">Working in a </w:t>
      </w:r>
      <w:r>
        <w:t>team</w:t>
      </w:r>
      <w:r w:rsidRPr="00241D41">
        <w:t xml:space="preserve"> requires students to use communication </w:t>
      </w:r>
      <w:r w:rsidRPr="006D0D30">
        <w:t>skills</w:t>
      </w:r>
      <w:r w:rsidRPr="00241D41">
        <w:t xml:space="preserve">, interact effectively and </w:t>
      </w:r>
      <w:r w:rsidRPr="00162B85">
        <w:t>work well with others.</w:t>
      </w:r>
      <w:r w:rsidRPr="00241D41">
        <w:t xml:space="preserve">  </w:t>
      </w:r>
    </w:p>
    <w:p w14:paraId="69AB29E6" w14:textId="0D4EC00E" w:rsidR="000962BB" w:rsidRPr="00162B85" w:rsidRDefault="000962BB" w:rsidP="00162B85">
      <w:pPr>
        <w:pStyle w:val="VCAAbullet"/>
        <w:rPr>
          <w:b/>
        </w:rPr>
      </w:pPr>
      <w:r w:rsidRPr="00F01962">
        <w:t xml:space="preserve">Students </w:t>
      </w:r>
      <w:r>
        <w:t xml:space="preserve">more clearly recognise links between maths at school and its application in real occupational contexts, thus fostering attitudes conducive to </w:t>
      </w:r>
      <w:r w:rsidRPr="008A3BE9">
        <w:t>lifelong learning.</w:t>
      </w:r>
    </w:p>
    <w:p w14:paraId="68A51063" w14:textId="36E7D53E" w:rsidR="008D6738" w:rsidRPr="008D6738" w:rsidRDefault="000962BB" w:rsidP="00162B85">
      <w:pPr>
        <w:pStyle w:val="VCAAbody"/>
        <w:rPr>
          <w:lang w:val="en-AU"/>
        </w:rPr>
      </w:pPr>
      <w:r w:rsidRPr="000962BB">
        <w:t>Know your world – career exploration</w:t>
      </w:r>
      <w:r w:rsidR="008D6738" w:rsidRPr="008D6738">
        <w:rPr>
          <w:lang w:val="en-AU"/>
        </w:rPr>
        <w:t xml:space="preserve">: </w:t>
      </w:r>
    </w:p>
    <w:p w14:paraId="0B88DADE" w14:textId="3A727A17" w:rsidR="008D6738" w:rsidRPr="00162B85" w:rsidRDefault="008D6738" w:rsidP="008D6738">
      <w:pPr>
        <w:pStyle w:val="VCAAbullet"/>
        <w:rPr>
          <w:bCs/>
        </w:rPr>
      </w:pPr>
      <w:r>
        <w:t xml:space="preserve">Researching the scenarios through which people might utilise trigonometry in industrial problems in a variety of contexts helps students to better </w:t>
      </w:r>
      <w:r w:rsidRPr="00162B85">
        <w:t>understand work</w:t>
      </w:r>
      <w:r w:rsidRPr="00F01962">
        <w:t>.</w:t>
      </w:r>
    </w:p>
    <w:p w14:paraId="50ACAC42" w14:textId="7D3AD8FA" w:rsidR="000962BB" w:rsidRPr="00162B85" w:rsidRDefault="000962BB" w:rsidP="00162B85">
      <w:pPr>
        <w:pStyle w:val="VCAAbullet"/>
      </w:pPr>
      <w:r>
        <w:t xml:space="preserve">By working in teams, using research </w:t>
      </w:r>
      <w:proofErr w:type="gramStart"/>
      <w:r>
        <w:t>skills</w:t>
      </w:r>
      <w:proofErr w:type="gramEnd"/>
      <w:r>
        <w:t xml:space="preserve"> and sharing knowledge of roles and occupations in a range of high-demand engineering occupations, students explore</w:t>
      </w:r>
      <w:r w:rsidRPr="00B50051">
        <w:rPr>
          <w:b/>
          <w:bCs/>
        </w:rPr>
        <w:t xml:space="preserve"> </w:t>
      </w:r>
      <w:r w:rsidRPr="008A3BE9">
        <w:t>the labour market</w:t>
      </w:r>
      <w:r>
        <w:t xml:space="preserve">. </w:t>
      </w:r>
      <w:r w:rsidRPr="00F01962">
        <w:t xml:space="preserve"> </w:t>
      </w:r>
    </w:p>
    <w:p w14:paraId="1C4127BB" w14:textId="4ADF62F4" w:rsidR="008D6738" w:rsidRPr="008D6738" w:rsidRDefault="000962BB" w:rsidP="00162B85">
      <w:pPr>
        <w:pStyle w:val="VCAAbody"/>
        <w:rPr>
          <w:lang w:val="en-AU"/>
        </w:rPr>
      </w:pPr>
      <w:r w:rsidRPr="000962BB">
        <w:rPr>
          <w:lang w:val="en-AU"/>
        </w:rPr>
        <w:t>Manage your future – be proactive</w:t>
      </w:r>
      <w:r w:rsidR="008D6738" w:rsidRPr="008D6738">
        <w:rPr>
          <w:lang w:val="en-AU"/>
        </w:rPr>
        <w:t xml:space="preserve">: </w:t>
      </w:r>
    </w:p>
    <w:p w14:paraId="11CB6295" w14:textId="65A56E00" w:rsidR="00FA4A59" w:rsidRPr="00FA4A59" w:rsidRDefault="000962BB" w:rsidP="000962BB">
      <w:pPr>
        <w:pStyle w:val="VCAAbullet"/>
      </w:pPr>
      <w:r w:rsidRPr="000962BB">
        <w:t>By researching various engineering roles and the real-world use of trigonometry, students are better equipped to make informed career choices.</w:t>
      </w:r>
    </w:p>
    <w:sectPr w:rsidR="00FA4A59" w:rsidRPr="00FA4A59" w:rsidSect="00B230DB">
      <w:headerReference w:type="default"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6272E6" w:rsidRDefault="006272E6" w:rsidP="00304EA1">
      <w:pPr>
        <w:spacing w:after="0" w:line="240" w:lineRule="auto"/>
      </w:pPr>
      <w:r>
        <w:separator/>
      </w:r>
    </w:p>
  </w:endnote>
  <w:endnote w:type="continuationSeparator" w:id="0">
    <w:p w14:paraId="3270DF94" w14:textId="77777777" w:rsidR="006272E6" w:rsidRDefault="006272E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6272E6" w:rsidRPr="00D06414" w14:paraId="6474FD3B" w14:textId="77777777" w:rsidTr="00BB3BAB">
      <w:trPr>
        <w:trHeight w:val="476"/>
      </w:trPr>
      <w:tc>
        <w:tcPr>
          <w:tcW w:w="1667" w:type="pct"/>
          <w:tcMar>
            <w:left w:w="0" w:type="dxa"/>
            <w:right w:w="0" w:type="dxa"/>
          </w:tcMar>
        </w:tcPr>
        <w:p w14:paraId="0EC15F2D" w14:textId="77777777" w:rsidR="006272E6" w:rsidRPr="00D06414" w:rsidRDefault="006272E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6272E6" w:rsidRPr="00D06414" w:rsidRDefault="006272E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B5C3402" w:rsidR="006272E6" w:rsidRPr="00D06414" w:rsidRDefault="006272E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BD314A">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6272E6" w:rsidRPr="00D06414" w:rsidRDefault="006272E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6272E6" w:rsidRPr="00D06414" w14:paraId="36A4ADC1" w14:textId="77777777" w:rsidTr="000F5AAF">
      <w:tc>
        <w:tcPr>
          <w:tcW w:w="1459" w:type="pct"/>
          <w:tcMar>
            <w:left w:w="0" w:type="dxa"/>
            <w:right w:w="0" w:type="dxa"/>
          </w:tcMar>
        </w:tcPr>
        <w:p w14:paraId="74DB1FC2" w14:textId="77777777" w:rsidR="006272E6" w:rsidRPr="00D06414" w:rsidRDefault="006272E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6272E6" w:rsidRPr="00D06414" w:rsidRDefault="006272E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6272E6" w:rsidRPr="00D06414" w:rsidRDefault="006272E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6272E6" w:rsidRPr="00D06414" w:rsidRDefault="006272E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6272E6" w:rsidRDefault="006272E6" w:rsidP="00304EA1">
      <w:pPr>
        <w:spacing w:after="0" w:line="240" w:lineRule="auto"/>
      </w:pPr>
      <w:r>
        <w:separator/>
      </w:r>
    </w:p>
  </w:footnote>
  <w:footnote w:type="continuationSeparator" w:id="0">
    <w:p w14:paraId="13540A36" w14:textId="77777777" w:rsidR="006272E6" w:rsidRDefault="006272E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5BF32815" w:rsidR="006272E6" w:rsidRPr="0038622E" w:rsidRDefault="006272E6" w:rsidP="0038622E">
    <w:pPr>
      <w:pStyle w:val="VCAAbody"/>
      <w:rPr>
        <w:color w:val="0F7EB4"/>
      </w:rPr>
    </w:pPr>
    <w:r>
      <w:t xml:space="preserve">Embedding </w:t>
    </w:r>
    <w:r w:rsidR="000962BB">
      <w:t>career education</w:t>
    </w:r>
    <w:r>
      <w:t xml:space="preserve"> in the Victorian Curriculum F–10 – Mathematics, Level 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6272E6" w:rsidRPr="009370BC" w:rsidRDefault="006272E6"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4FEB2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DEE8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7C17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1DE1E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2EB4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EEA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F0EB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413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4254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26C9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F9082E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72407BE6"/>
    <w:lvl w:ilvl="0" w:tplc="B3AC6534">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2" w15:restartNumberingAfterBreak="0">
    <w:nsid w:val="71C60601"/>
    <w:multiLevelType w:val="hybridMultilevel"/>
    <w:tmpl w:val="507877FC"/>
    <w:lvl w:ilvl="0" w:tplc="C38099C2">
      <w:numFmt w:val="bullet"/>
      <w:lvlText w:val="-"/>
      <w:lvlJc w:val="left"/>
      <w:pPr>
        <w:ind w:left="360" w:hanging="360"/>
      </w:pPr>
      <w:rPr>
        <w:rFonts w:ascii="Arial Narrow" w:eastAsiaTheme="minorHAnsi" w:hAnsi="Arial Narrow"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F6499F"/>
    <w:multiLevelType w:val="multilevel"/>
    <w:tmpl w:val="5636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7"/>
  </w:num>
  <w:num w:numId="3">
    <w:abstractNumId w:val="15"/>
  </w:num>
  <w:num w:numId="4">
    <w:abstractNumId w:val="11"/>
  </w:num>
  <w:num w:numId="5">
    <w:abstractNumId w:val="20"/>
  </w:num>
  <w:num w:numId="6">
    <w:abstractNumId w:val="14"/>
  </w:num>
  <w:num w:numId="7">
    <w:abstractNumId w:val="12"/>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8"/>
  </w:num>
  <w:num w:numId="22">
    <w:abstractNumId w:val="10"/>
  </w:num>
  <w:num w:numId="23">
    <w:abstractNumId w:val="23"/>
    <w:lvlOverride w:ilvl="0">
      <w:lvl w:ilvl="0">
        <w:numFmt w:val="bullet"/>
        <w:lvlText w:val=""/>
        <w:lvlJc w:val="left"/>
        <w:pPr>
          <w:tabs>
            <w:tab w:val="num" w:pos="720"/>
          </w:tabs>
          <w:ind w:left="720" w:hanging="360"/>
        </w:pPr>
        <w:rPr>
          <w:rFonts w:ascii="Symbol" w:hAnsi="Symbol" w:hint="default"/>
          <w:sz w:val="20"/>
        </w:rPr>
      </w:lvl>
    </w:lvlOverride>
  </w:num>
  <w:num w:numId="24">
    <w:abstractNumId w:val="2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3048"/>
    <w:rsid w:val="000443B8"/>
    <w:rsid w:val="0005780E"/>
    <w:rsid w:val="00065CC6"/>
    <w:rsid w:val="00072AF1"/>
    <w:rsid w:val="00086CFC"/>
    <w:rsid w:val="000962BB"/>
    <w:rsid w:val="00097F58"/>
    <w:rsid w:val="000A71F7"/>
    <w:rsid w:val="000B152F"/>
    <w:rsid w:val="000F09E4"/>
    <w:rsid w:val="000F16FD"/>
    <w:rsid w:val="000F5AAF"/>
    <w:rsid w:val="0012374D"/>
    <w:rsid w:val="00143520"/>
    <w:rsid w:val="00153AD2"/>
    <w:rsid w:val="00162B85"/>
    <w:rsid w:val="001779EA"/>
    <w:rsid w:val="001926FE"/>
    <w:rsid w:val="001A39A9"/>
    <w:rsid w:val="001B5D34"/>
    <w:rsid w:val="001D3246"/>
    <w:rsid w:val="001F5D88"/>
    <w:rsid w:val="002279BA"/>
    <w:rsid w:val="002329F3"/>
    <w:rsid w:val="002364D9"/>
    <w:rsid w:val="00243F0D"/>
    <w:rsid w:val="00254888"/>
    <w:rsid w:val="00255852"/>
    <w:rsid w:val="00256D25"/>
    <w:rsid w:val="00260767"/>
    <w:rsid w:val="002647BB"/>
    <w:rsid w:val="002754C1"/>
    <w:rsid w:val="002817EA"/>
    <w:rsid w:val="002841C8"/>
    <w:rsid w:val="0028516B"/>
    <w:rsid w:val="002B103A"/>
    <w:rsid w:val="002C6F90"/>
    <w:rsid w:val="002E4FB5"/>
    <w:rsid w:val="002F033B"/>
    <w:rsid w:val="00302FB8"/>
    <w:rsid w:val="00304EA1"/>
    <w:rsid w:val="00314D81"/>
    <w:rsid w:val="00322FC6"/>
    <w:rsid w:val="0035293F"/>
    <w:rsid w:val="0038622E"/>
    <w:rsid w:val="00391986"/>
    <w:rsid w:val="00392864"/>
    <w:rsid w:val="003A00B4"/>
    <w:rsid w:val="003C3008"/>
    <w:rsid w:val="003C394F"/>
    <w:rsid w:val="003C5E71"/>
    <w:rsid w:val="003D5D15"/>
    <w:rsid w:val="00411D26"/>
    <w:rsid w:val="00417AA3"/>
    <w:rsid w:val="00421DB1"/>
    <w:rsid w:val="00425DFE"/>
    <w:rsid w:val="00425FD1"/>
    <w:rsid w:val="00434EDB"/>
    <w:rsid w:val="00440B32"/>
    <w:rsid w:val="00457521"/>
    <w:rsid w:val="0046078D"/>
    <w:rsid w:val="00495C80"/>
    <w:rsid w:val="004A1D37"/>
    <w:rsid w:val="004A2ED8"/>
    <w:rsid w:val="004A5F8E"/>
    <w:rsid w:val="004D06FB"/>
    <w:rsid w:val="004D70CD"/>
    <w:rsid w:val="004F5BDA"/>
    <w:rsid w:val="004F6DE0"/>
    <w:rsid w:val="0051631E"/>
    <w:rsid w:val="00537A1F"/>
    <w:rsid w:val="00563E1D"/>
    <w:rsid w:val="00566029"/>
    <w:rsid w:val="00567FD3"/>
    <w:rsid w:val="00574C56"/>
    <w:rsid w:val="005923CB"/>
    <w:rsid w:val="005B391B"/>
    <w:rsid w:val="005B4D5F"/>
    <w:rsid w:val="005D3D78"/>
    <w:rsid w:val="005D5CD1"/>
    <w:rsid w:val="005D7236"/>
    <w:rsid w:val="005E2EF0"/>
    <w:rsid w:val="005E303C"/>
    <w:rsid w:val="005F4092"/>
    <w:rsid w:val="00610518"/>
    <w:rsid w:val="00612F4A"/>
    <w:rsid w:val="0062216D"/>
    <w:rsid w:val="006272E6"/>
    <w:rsid w:val="00635C86"/>
    <w:rsid w:val="00675D4E"/>
    <w:rsid w:val="0068471E"/>
    <w:rsid w:val="00684F98"/>
    <w:rsid w:val="00693FFD"/>
    <w:rsid w:val="006D0D30"/>
    <w:rsid w:val="006D2159"/>
    <w:rsid w:val="006F17B9"/>
    <w:rsid w:val="006F787C"/>
    <w:rsid w:val="00702636"/>
    <w:rsid w:val="00724507"/>
    <w:rsid w:val="007623B9"/>
    <w:rsid w:val="00762E77"/>
    <w:rsid w:val="00773E6C"/>
    <w:rsid w:val="00781FB1"/>
    <w:rsid w:val="007A0E4B"/>
    <w:rsid w:val="007B4B09"/>
    <w:rsid w:val="007D1B6D"/>
    <w:rsid w:val="007E7D1F"/>
    <w:rsid w:val="00813C37"/>
    <w:rsid w:val="008154B5"/>
    <w:rsid w:val="00823962"/>
    <w:rsid w:val="00852719"/>
    <w:rsid w:val="008556A4"/>
    <w:rsid w:val="00860115"/>
    <w:rsid w:val="00867A97"/>
    <w:rsid w:val="0088783C"/>
    <w:rsid w:val="008B1278"/>
    <w:rsid w:val="008C0A84"/>
    <w:rsid w:val="008D0ABF"/>
    <w:rsid w:val="008D57CA"/>
    <w:rsid w:val="008D6738"/>
    <w:rsid w:val="008E7EFC"/>
    <w:rsid w:val="00905484"/>
    <w:rsid w:val="00933280"/>
    <w:rsid w:val="009370BC"/>
    <w:rsid w:val="00970580"/>
    <w:rsid w:val="0098739B"/>
    <w:rsid w:val="009B4350"/>
    <w:rsid w:val="009B61E5"/>
    <w:rsid w:val="009D1E89"/>
    <w:rsid w:val="009E5707"/>
    <w:rsid w:val="009F7086"/>
    <w:rsid w:val="00A13223"/>
    <w:rsid w:val="00A17661"/>
    <w:rsid w:val="00A24B2D"/>
    <w:rsid w:val="00A25D1D"/>
    <w:rsid w:val="00A27DCD"/>
    <w:rsid w:val="00A40966"/>
    <w:rsid w:val="00A50E81"/>
    <w:rsid w:val="00A921E0"/>
    <w:rsid w:val="00A922F4"/>
    <w:rsid w:val="00AD59D5"/>
    <w:rsid w:val="00AE5526"/>
    <w:rsid w:val="00AF051B"/>
    <w:rsid w:val="00B01578"/>
    <w:rsid w:val="00B0738F"/>
    <w:rsid w:val="00B13D3B"/>
    <w:rsid w:val="00B230DB"/>
    <w:rsid w:val="00B26601"/>
    <w:rsid w:val="00B30E01"/>
    <w:rsid w:val="00B41951"/>
    <w:rsid w:val="00B51FA6"/>
    <w:rsid w:val="00B53229"/>
    <w:rsid w:val="00B62480"/>
    <w:rsid w:val="00B74D78"/>
    <w:rsid w:val="00B81B70"/>
    <w:rsid w:val="00BB3BAB"/>
    <w:rsid w:val="00BD0724"/>
    <w:rsid w:val="00BD2B91"/>
    <w:rsid w:val="00BD314A"/>
    <w:rsid w:val="00BE5521"/>
    <w:rsid w:val="00BF26C3"/>
    <w:rsid w:val="00BF3A9F"/>
    <w:rsid w:val="00BF6C23"/>
    <w:rsid w:val="00C075A6"/>
    <w:rsid w:val="00C2005D"/>
    <w:rsid w:val="00C27FC7"/>
    <w:rsid w:val="00C53263"/>
    <w:rsid w:val="00C61D41"/>
    <w:rsid w:val="00C6415E"/>
    <w:rsid w:val="00C75F1D"/>
    <w:rsid w:val="00C95156"/>
    <w:rsid w:val="00CA0DC2"/>
    <w:rsid w:val="00CA112D"/>
    <w:rsid w:val="00CB68E8"/>
    <w:rsid w:val="00D04F01"/>
    <w:rsid w:val="00D06414"/>
    <w:rsid w:val="00D24E5A"/>
    <w:rsid w:val="00D338E4"/>
    <w:rsid w:val="00D35D07"/>
    <w:rsid w:val="00D36FA7"/>
    <w:rsid w:val="00D4304F"/>
    <w:rsid w:val="00D51947"/>
    <w:rsid w:val="00D532F0"/>
    <w:rsid w:val="00D56764"/>
    <w:rsid w:val="00D77413"/>
    <w:rsid w:val="00D82759"/>
    <w:rsid w:val="00D86DE4"/>
    <w:rsid w:val="00DB533D"/>
    <w:rsid w:val="00DE1909"/>
    <w:rsid w:val="00DE51DB"/>
    <w:rsid w:val="00DF60FF"/>
    <w:rsid w:val="00E00372"/>
    <w:rsid w:val="00E23F1D"/>
    <w:rsid w:val="00E30E05"/>
    <w:rsid w:val="00E36361"/>
    <w:rsid w:val="00E40CF1"/>
    <w:rsid w:val="00E4172B"/>
    <w:rsid w:val="00E54E35"/>
    <w:rsid w:val="00E55AE9"/>
    <w:rsid w:val="00E56D1D"/>
    <w:rsid w:val="00E9592C"/>
    <w:rsid w:val="00EA2830"/>
    <w:rsid w:val="00EB0C84"/>
    <w:rsid w:val="00EB4EE0"/>
    <w:rsid w:val="00EF1E25"/>
    <w:rsid w:val="00F01253"/>
    <w:rsid w:val="00F17FDE"/>
    <w:rsid w:val="00F40D53"/>
    <w:rsid w:val="00F4525C"/>
    <w:rsid w:val="00F50D86"/>
    <w:rsid w:val="00F6610F"/>
    <w:rsid w:val="00F72A7D"/>
    <w:rsid w:val="00F83515"/>
    <w:rsid w:val="00FA4A59"/>
    <w:rsid w:val="00FB23F1"/>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36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D0D30"/>
    <w:pPr>
      <w:numPr>
        <w:numId w:val="1"/>
      </w:numPr>
      <w:tabs>
        <w:tab w:val="left" w:pos="425"/>
      </w:tabs>
      <w:spacing w:line="240" w:lineRule="auto"/>
      <w:ind w:left="425" w:hanging="425"/>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8556A4"/>
    <w:rPr>
      <w:color w:val="8DB3E2" w:themeColor="followedHyperlink"/>
      <w:u w:val="single"/>
    </w:rPr>
  </w:style>
  <w:style w:type="character" w:customStyle="1" w:styleId="UnresolvedMention1">
    <w:name w:val="Unresolved Mention1"/>
    <w:basedOn w:val="DefaultParagraphFont"/>
    <w:uiPriority w:val="99"/>
    <w:semiHidden/>
    <w:unhideWhenUsed/>
    <w:rsid w:val="00855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369684">
      <w:bodyDiv w:val="1"/>
      <w:marLeft w:val="0"/>
      <w:marRight w:val="0"/>
      <w:marTop w:val="0"/>
      <w:marBottom w:val="0"/>
      <w:divBdr>
        <w:top w:val="none" w:sz="0" w:space="0" w:color="auto"/>
        <w:left w:val="none" w:sz="0" w:space="0" w:color="auto"/>
        <w:bottom w:val="none" w:sz="0" w:space="0" w:color="auto"/>
        <w:right w:val="none" w:sz="0" w:space="0" w:color="auto"/>
      </w:divBdr>
    </w:div>
    <w:div w:id="757092329">
      <w:bodyDiv w:val="1"/>
      <w:marLeft w:val="0"/>
      <w:marRight w:val="0"/>
      <w:marTop w:val="0"/>
      <w:marBottom w:val="0"/>
      <w:divBdr>
        <w:top w:val="none" w:sz="0" w:space="0" w:color="auto"/>
        <w:left w:val="none" w:sz="0" w:space="0" w:color="auto"/>
        <w:bottom w:val="none" w:sz="0" w:space="0" w:color="auto"/>
        <w:right w:val="none" w:sz="0" w:space="0" w:color="auto"/>
      </w:divBdr>
    </w:div>
    <w:div w:id="149687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msi.org.au/teacher_modules/Introductory_trigonometry.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areertrend.com/info-8466810-jobs-use-pythagorean-theorem.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MMG346" TargetMode="External"/><Relationship Id="rId5" Type="http://schemas.openxmlformats.org/officeDocument/2006/relationships/numbering" Target="numbering.xml"/><Relationship Id="rId15" Type="http://schemas.openxmlformats.org/officeDocument/2006/relationships/hyperlink" Target="https://www.engineersaustralia.org.au/Engineering-Registers/National-Engineering-Register/NER-Areas-Of-Practic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reers.amsi.org.au/search-careers/engineering-resourc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www.w3.org/XML/1998/namespace"/>
    <ds:schemaRef ds:uri="http://purl.org/dc/dcmitype/"/>
    <ds:schemaRef ds:uri="http://purl.org/dc/elements/1.1/"/>
    <ds:schemaRef ds:uri="http://purl.org/dc/terms/"/>
    <ds:schemaRef ds:uri="http://schemas.microsoft.com/office/2006/documentManagement/types"/>
    <ds:schemaRef ds:uri="2bd59324-8a5b-4fea-a16a-e617e0fe1c9b"/>
    <ds:schemaRef ds:uri="2face8be-d942-4633-89c5-b9c9b61198f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52D9AB3-5CC3-4BA8-8381-31FC4F5C1DCD}">
  <ds:schemaRefs>
    <ds:schemaRef ds:uri="http://schemas.openxmlformats.org/officeDocument/2006/bibliography"/>
  </ds:schemaRefs>
</ds:datastoreItem>
</file>

<file path=customXml/itemProps3.xml><?xml version="1.0" encoding="utf-8"?>
<ds:datastoreItem xmlns:ds="http://schemas.openxmlformats.org/officeDocument/2006/customXml" ds:itemID="{6DD18A8F-2094-4AEA-80E9-524EB576724C}"/>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Embedding careers education in the Victorian Curriculum F–10</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careers education in the Victorian Curriculum F–10</dc:title>
  <dc:creator>VCAA</dc:creator>
  <cp:keywords>career education, curriculum resources, mathematics</cp:keywords>
  <cp:lastModifiedBy>Amy Nicholls-Diver</cp:lastModifiedBy>
  <cp:revision>7</cp:revision>
  <cp:lastPrinted>2020-03-04T04:43:00Z</cp:lastPrinted>
  <dcterms:created xsi:type="dcterms:W3CDTF">2020-06-28T03:12:00Z</dcterms:created>
  <dcterms:modified xsi:type="dcterms:W3CDTF">2020-06-29T02:47:00Z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