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C8E14" w14:textId="43B0A6EE" w:rsidR="00086CFC" w:rsidRDefault="00C2005D" w:rsidP="007018E1">
      <w:pPr>
        <w:pStyle w:val="VCAAHeading1"/>
      </w:pPr>
      <w:r>
        <w:t>E</w:t>
      </w:r>
      <w:r w:rsidR="00E56D1D">
        <w:t>m</w:t>
      </w:r>
      <w:r w:rsidR="007E7D1F">
        <w:t xml:space="preserve">bedding </w:t>
      </w:r>
      <w:r w:rsidR="00AA3A52">
        <w:t>career education</w:t>
      </w:r>
      <w:r w:rsidR="007E7D1F">
        <w:t xml:space="preserve"> in </w:t>
      </w:r>
      <w:r w:rsidR="00E56D1D">
        <w:t>the Victorian Curriculum F–10</w:t>
      </w:r>
      <w:r w:rsidR="00086CFC">
        <w:t xml:space="preserve"> </w:t>
      </w:r>
    </w:p>
    <w:p w14:paraId="45234A77" w14:textId="77777777" w:rsidR="004F6DE0" w:rsidRPr="008C0A84" w:rsidRDefault="00BF26C3" w:rsidP="004F6DE0">
      <w:pPr>
        <w:pStyle w:val="VCAAHeading2"/>
        <w:rPr>
          <w:lang w:val="en-AU"/>
        </w:rPr>
      </w:pPr>
      <w:bookmarkStart w:id="0" w:name="TemplateOverview"/>
      <w:bookmarkEnd w:id="0"/>
      <w:r>
        <w:rPr>
          <w:lang w:val="en-AU"/>
        </w:rPr>
        <w:t xml:space="preserve">Mathematics, Level </w:t>
      </w:r>
      <w:r w:rsidR="00444A87">
        <w:rPr>
          <w:lang w:val="en-AU"/>
        </w:rPr>
        <w:t>4</w:t>
      </w:r>
    </w:p>
    <w:p w14:paraId="75EC8FB8" w14:textId="17B65AFC"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AA3A52">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0F528A8C" w14:textId="77777777" w:rsidR="00255852" w:rsidRPr="008C0A84" w:rsidRDefault="00254888" w:rsidP="00CC2222">
      <w:pPr>
        <w:pStyle w:val="VCAAHeading3"/>
        <w:rPr>
          <w:lang w:val="en-AU"/>
        </w:rPr>
      </w:pPr>
      <w:r w:rsidRPr="008C0A84">
        <w:rPr>
          <w:lang w:val="en-AU"/>
        </w:rPr>
        <w:t xml:space="preserve">1. Identify an </w:t>
      </w:r>
      <w:r w:rsidRPr="007018E1">
        <w:t>existing</w:t>
      </w:r>
      <w:r w:rsidRPr="008C0A84">
        <w:rPr>
          <w:lang w:val="en-AU"/>
        </w:rPr>
        <w:t xml:space="preserve"> learning activity </w:t>
      </w:r>
    </w:p>
    <w:p w14:paraId="6C99C458" w14:textId="2B5991A6" w:rsidR="00E4172B" w:rsidRPr="00FE2091" w:rsidRDefault="00E4172B" w:rsidP="007018E1">
      <w:pPr>
        <w:pStyle w:val="VCAAbody-withlargetabandhangingindent"/>
      </w:pPr>
      <w:r w:rsidRPr="00FE2091">
        <w:rPr>
          <w:b/>
          <w:bCs/>
        </w:rPr>
        <w:t>Curriculum area and level:</w:t>
      </w:r>
      <w:r w:rsidRPr="00FE2091">
        <w:tab/>
        <w:t xml:space="preserve">Mathematics, Level </w:t>
      </w:r>
      <w:r w:rsidR="009402AD" w:rsidRPr="00FE2091">
        <w:t>4</w:t>
      </w:r>
    </w:p>
    <w:p w14:paraId="620E599B" w14:textId="263555C3" w:rsidR="003C3008" w:rsidRPr="007018E1" w:rsidRDefault="00E4172B" w:rsidP="00FE2091">
      <w:pPr>
        <w:pStyle w:val="VCAAbody-withlargetabandhangingindent"/>
        <w:rPr>
          <w:b/>
          <w:bCs/>
        </w:rPr>
      </w:pPr>
      <w:r w:rsidRPr="008C0A84">
        <w:rPr>
          <w:b/>
        </w:rPr>
        <w:t>Relevant content description:</w:t>
      </w:r>
      <w:r w:rsidRPr="008C0A84">
        <w:tab/>
      </w:r>
      <w:r w:rsidR="009402AD" w:rsidRPr="007018E1">
        <w:t>Apply place value to partition, rearrange and regroup numbers to at least tens of thousands to assist calculations and solve problems </w:t>
      </w:r>
      <w:hyperlink r:id="rId11" w:tooltip="View elaborations and additional details of VCMNA153" w:history="1">
        <w:r w:rsidR="009402AD" w:rsidRPr="009402AD">
          <w:t>(</w:t>
        </w:r>
        <w:r w:rsidR="009402AD" w:rsidRPr="007018E1">
          <w:rPr>
            <w:rStyle w:val="Hyperlink"/>
          </w:rPr>
          <w:t>VCMNA153</w:t>
        </w:r>
        <w:r w:rsidR="009402AD" w:rsidRPr="009402AD">
          <w:t>)</w:t>
        </w:r>
      </w:hyperlink>
    </w:p>
    <w:p w14:paraId="5B90700A" w14:textId="6727E61D" w:rsidR="007E7D1F" w:rsidRPr="003C3008" w:rsidRDefault="009402AD" w:rsidP="00FE2091">
      <w:pPr>
        <w:pStyle w:val="VCAAbody-withlargetabandhangingindent"/>
      </w:pPr>
      <w:r w:rsidRPr="008C0A84">
        <w:rPr>
          <w:b/>
        </w:rPr>
        <w:t>Existing activity</w:t>
      </w:r>
      <w:r w:rsidR="00497AF0">
        <w:rPr>
          <w:b/>
        </w:rPr>
        <w:t>:</w:t>
      </w:r>
      <w:r w:rsidRPr="008C0A84">
        <w:tab/>
      </w:r>
      <w:r w:rsidRPr="007018E1">
        <w:t xml:space="preserve">Partitioning, regrouping and then adding or subtracting large multi-digit numbers, </w:t>
      </w:r>
      <w:proofErr w:type="gramStart"/>
      <w:r w:rsidRPr="007018E1">
        <w:t>recognising</w:t>
      </w:r>
      <w:proofErr w:type="gramEnd"/>
      <w:r w:rsidRPr="007018E1">
        <w:t xml:space="preserve"> and demonstrating that the place-value pattern is built on the operations of multiplication or division of tens.</w:t>
      </w:r>
    </w:p>
    <w:p w14:paraId="4F271C94" w14:textId="00B3E34C" w:rsidR="00421DB1" w:rsidRPr="008C0A84" w:rsidRDefault="00421DB1" w:rsidP="00B51FA6">
      <w:pPr>
        <w:pStyle w:val="VCAAbody-withlargetabandhangingindent"/>
      </w:pPr>
      <w:r w:rsidRPr="000443B8">
        <w:rPr>
          <w:b/>
          <w:bCs/>
        </w:rPr>
        <w:t>Summary of adaptation, change, addition:</w:t>
      </w:r>
      <w:r>
        <w:tab/>
      </w:r>
      <w:r w:rsidR="007A2AC1">
        <w:t>Investigat</w:t>
      </w:r>
      <w:r w:rsidR="007C501C">
        <w:t>ing</w:t>
      </w:r>
      <w:r w:rsidR="007A2AC1">
        <w:t xml:space="preserve"> occupational examples of the use of place value for counting and calculating volumes of goods and services</w:t>
      </w:r>
      <w:r w:rsidR="00DB533D" w:rsidRPr="007018E1">
        <w:t>.</w:t>
      </w:r>
    </w:p>
    <w:p w14:paraId="2A8037A7" w14:textId="6895B1FF" w:rsidR="00254888" w:rsidRDefault="00254888" w:rsidP="007018E1">
      <w:pPr>
        <w:pStyle w:val="VCAAHeading3"/>
        <w:rPr>
          <w:lang w:val="en-AU"/>
        </w:rPr>
      </w:pPr>
      <w:r w:rsidRPr="008C0A84">
        <w:rPr>
          <w:lang w:val="en-AU"/>
        </w:rPr>
        <w:t xml:space="preserve">2. Adapt the </w:t>
      </w:r>
      <w:r w:rsidRPr="007018E1">
        <w:t>learning</w:t>
      </w:r>
      <w:r w:rsidRPr="008C0A84">
        <w:rPr>
          <w:lang w:val="en-AU"/>
        </w:rPr>
        <w:t xml:space="preserve"> activity to </w:t>
      </w:r>
      <w:r w:rsidR="00FF47DF" w:rsidRPr="008C0A84">
        <w:rPr>
          <w:lang w:val="en-AU"/>
        </w:rPr>
        <w:t>include</w:t>
      </w:r>
      <w:r w:rsidRPr="008C0A84">
        <w:rPr>
          <w:lang w:val="en-AU"/>
        </w:rPr>
        <w:t xml:space="preserve"> a </w:t>
      </w:r>
      <w:r w:rsidR="00AA3A52">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51D94093"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13E3CC00" w14:textId="77777777"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515D6AC" w14:textId="77777777" w:rsidR="00254888" w:rsidRPr="008C0A84" w:rsidRDefault="00E9592C" w:rsidP="00B51FA6">
            <w:pPr>
              <w:pStyle w:val="VCAAtablecondensedheading"/>
              <w:rPr>
                <w:lang w:val="en-AU"/>
              </w:rPr>
            </w:pPr>
            <w:r>
              <w:rPr>
                <w:lang w:val="en-AU"/>
              </w:rPr>
              <w:t xml:space="preserve">Adaptations, </w:t>
            </w:r>
            <w:proofErr w:type="gramStart"/>
            <w:r>
              <w:rPr>
                <w:lang w:val="en-AU"/>
              </w:rPr>
              <w:t>changes</w:t>
            </w:r>
            <w:proofErr w:type="gramEnd"/>
            <w:r>
              <w:rPr>
                <w:lang w:val="en-AU"/>
              </w:rPr>
              <w:t xml:space="preserve"> or extensions that can be made</w:t>
            </w:r>
          </w:p>
        </w:tc>
      </w:tr>
      <w:tr w:rsidR="00254888" w:rsidRPr="008C0A84" w14:paraId="0CA1B109" w14:textId="77777777" w:rsidTr="00567FD3">
        <w:tc>
          <w:tcPr>
            <w:tcW w:w="3964" w:type="dxa"/>
          </w:tcPr>
          <w:p w14:paraId="168F3B2B" w14:textId="49E2C10B" w:rsidR="0036649E" w:rsidRPr="0036649E" w:rsidRDefault="00F83515" w:rsidP="009C3ED7">
            <w:pPr>
              <w:pStyle w:val="VCAAtablecondensed"/>
              <w:rPr>
                <w:lang w:val="en-AU"/>
              </w:rPr>
            </w:pPr>
            <w:r>
              <w:rPr>
                <w:lang w:val="en-AU"/>
              </w:rPr>
              <w:t xml:space="preserve">Teacher </w:t>
            </w:r>
            <w:r w:rsidR="0036649E">
              <w:rPr>
                <w:lang w:val="en-AU"/>
              </w:rPr>
              <w:t>u</w:t>
            </w:r>
            <w:r w:rsidR="0036649E" w:rsidRPr="0036649E">
              <w:rPr>
                <w:lang w:val="en-AU"/>
              </w:rPr>
              <w:t xml:space="preserve">ses </w:t>
            </w:r>
            <w:r w:rsidR="00554340">
              <w:rPr>
                <w:lang w:val="en-AU"/>
              </w:rPr>
              <w:t xml:space="preserve">concrete materials, such as </w:t>
            </w:r>
            <w:r w:rsidR="0036649E" w:rsidRPr="0036649E">
              <w:rPr>
                <w:lang w:val="en-AU"/>
              </w:rPr>
              <w:t>place</w:t>
            </w:r>
            <w:r w:rsidR="00B72032">
              <w:rPr>
                <w:lang w:val="en-AU"/>
              </w:rPr>
              <w:t>-</w:t>
            </w:r>
            <w:r w:rsidR="0036649E" w:rsidRPr="0036649E">
              <w:rPr>
                <w:lang w:val="en-AU"/>
              </w:rPr>
              <w:t>value diagrams with coloured counters (</w:t>
            </w:r>
            <w:r w:rsidR="00CC2222">
              <w:rPr>
                <w:lang w:val="en-AU"/>
              </w:rPr>
              <w:t>for example,</w:t>
            </w:r>
            <w:r w:rsidR="0036649E" w:rsidRPr="0036649E">
              <w:rPr>
                <w:lang w:val="en-AU"/>
              </w:rPr>
              <w:t xml:space="preserve"> ones = yellow, tens = red, </w:t>
            </w:r>
            <w:r w:rsidR="00B72032">
              <w:rPr>
                <w:lang w:val="en-AU"/>
              </w:rPr>
              <w:t>100s</w:t>
            </w:r>
            <w:r w:rsidR="00B72032" w:rsidRPr="0036649E">
              <w:rPr>
                <w:lang w:val="en-AU"/>
              </w:rPr>
              <w:t xml:space="preserve"> </w:t>
            </w:r>
            <w:r w:rsidR="0036649E" w:rsidRPr="0036649E">
              <w:rPr>
                <w:lang w:val="en-AU"/>
              </w:rPr>
              <w:t xml:space="preserve">= blue) or tally marks, and shows the partitioning of numbers up to tens of thousands. </w:t>
            </w:r>
            <w:r w:rsidR="00D94CF3">
              <w:rPr>
                <w:lang w:val="en-AU"/>
              </w:rPr>
              <w:t>They reinforce the</w:t>
            </w:r>
            <w:r w:rsidR="00D94CF3" w:rsidRPr="0036649E">
              <w:rPr>
                <w:lang w:val="en-AU"/>
              </w:rPr>
              <w:t xml:space="preserve"> </w:t>
            </w:r>
            <w:r w:rsidR="0036649E" w:rsidRPr="0036649E">
              <w:rPr>
                <w:lang w:val="en-AU"/>
              </w:rPr>
              <w:t>decimal place value system using place</w:t>
            </w:r>
            <w:r w:rsidR="00B72032">
              <w:rPr>
                <w:lang w:val="en-AU"/>
              </w:rPr>
              <w:t>-</w:t>
            </w:r>
            <w:r w:rsidR="0036649E" w:rsidRPr="0036649E">
              <w:rPr>
                <w:lang w:val="en-AU"/>
              </w:rPr>
              <w:t xml:space="preserve">value diagrams, </w:t>
            </w:r>
            <w:proofErr w:type="gramStart"/>
            <w:r w:rsidR="0036649E" w:rsidRPr="0036649E">
              <w:rPr>
                <w:lang w:val="en-AU"/>
              </w:rPr>
              <w:t>hundreds</w:t>
            </w:r>
            <w:proofErr w:type="gramEnd"/>
            <w:r w:rsidR="00B72032">
              <w:rPr>
                <w:lang w:val="en-AU"/>
              </w:rPr>
              <w:t xml:space="preserve"> </w:t>
            </w:r>
            <w:r w:rsidR="0036649E" w:rsidRPr="0036649E">
              <w:rPr>
                <w:lang w:val="en-AU"/>
              </w:rPr>
              <w:t>charts and/or number lines.</w:t>
            </w:r>
          </w:p>
          <w:p w14:paraId="462D8AB9" w14:textId="44B2FF51" w:rsidR="0036649E" w:rsidRPr="00E4172B" w:rsidRDefault="0036649E" w:rsidP="009C3ED7">
            <w:pPr>
              <w:pStyle w:val="VCAAtablecondensed"/>
              <w:rPr>
                <w:lang w:val="en-AU"/>
              </w:rPr>
            </w:pPr>
          </w:p>
        </w:tc>
        <w:tc>
          <w:tcPr>
            <w:tcW w:w="5925" w:type="dxa"/>
          </w:tcPr>
          <w:p w14:paraId="596219B2" w14:textId="5CC332C7" w:rsidR="00554340" w:rsidRPr="009C3ED7" w:rsidRDefault="00554340" w:rsidP="00554340">
            <w:pPr>
              <w:pStyle w:val="VCAAtablecondensed"/>
              <w:rPr>
                <w:lang w:val="en-AU"/>
              </w:rPr>
            </w:pPr>
            <w:r w:rsidRPr="002F033B">
              <w:rPr>
                <w:lang w:val="en-AU"/>
              </w:rPr>
              <w:t xml:space="preserve">Teacher </w:t>
            </w:r>
            <w:r>
              <w:rPr>
                <w:lang w:val="en-AU"/>
              </w:rPr>
              <w:t>c</w:t>
            </w:r>
            <w:r w:rsidRPr="009C3ED7">
              <w:rPr>
                <w:lang w:val="en-AU"/>
              </w:rPr>
              <w:t>onnects large numbers to real</w:t>
            </w:r>
            <w:r w:rsidR="00452118">
              <w:rPr>
                <w:lang w:val="en-AU"/>
              </w:rPr>
              <w:t>-</w:t>
            </w:r>
            <w:r w:rsidRPr="009C3ED7">
              <w:rPr>
                <w:lang w:val="en-AU"/>
              </w:rPr>
              <w:t xml:space="preserve">world context and practical situations. </w:t>
            </w:r>
            <w:r>
              <w:rPr>
                <w:lang w:val="en-AU"/>
              </w:rPr>
              <w:t>The d</w:t>
            </w:r>
            <w:r w:rsidRPr="009C3ED7">
              <w:rPr>
                <w:lang w:val="en-AU"/>
              </w:rPr>
              <w:t>ecimal place-value system is related to large quantities of real things, making them easier to quantify and calculate.</w:t>
            </w:r>
          </w:p>
          <w:p w14:paraId="2DB179FD" w14:textId="2108484F" w:rsidR="0036649E" w:rsidRPr="008C0A84" w:rsidRDefault="008E7EFC" w:rsidP="009C3ED7">
            <w:pPr>
              <w:pStyle w:val="VCAAtablecondensed"/>
              <w:rPr>
                <w:lang w:val="en-AU"/>
              </w:rPr>
            </w:pPr>
            <w:r>
              <w:rPr>
                <w:lang w:val="en-AU"/>
              </w:rPr>
              <w:t xml:space="preserve">Teacher </w:t>
            </w:r>
            <w:r w:rsidR="0036649E">
              <w:rPr>
                <w:lang w:val="en-AU"/>
              </w:rPr>
              <w:t>e</w:t>
            </w:r>
            <w:r w:rsidR="0036649E" w:rsidRPr="009C3ED7">
              <w:rPr>
                <w:lang w:val="en-AU"/>
              </w:rPr>
              <w:t xml:space="preserve">xplains that in many occupations people need to count, package and transport large numbers of items. </w:t>
            </w:r>
            <w:r w:rsidR="00CC2222">
              <w:rPr>
                <w:lang w:val="en-AU"/>
              </w:rPr>
              <w:t>F</w:t>
            </w:r>
            <w:r w:rsidR="0036649E" w:rsidRPr="009C3ED7">
              <w:rPr>
                <w:lang w:val="en-AU"/>
              </w:rPr>
              <w:t xml:space="preserve">armers might pack their produce into boxes of ten, crates of </w:t>
            </w:r>
            <w:r w:rsidR="00CC2222">
              <w:rPr>
                <w:lang w:val="en-AU"/>
              </w:rPr>
              <w:t>ten</w:t>
            </w:r>
            <w:r w:rsidR="0036649E" w:rsidRPr="009C3ED7">
              <w:rPr>
                <w:lang w:val="en-AU"/>
              </w:rPr>
              <w:t xml:space="preserve"> boxes (</w:t>
            </w:r>
            <w:r w:rsidR="00CC2222">
              <w:rPr>
                <w:lang w:val="en-AU"/>
              </w:rPr>
              <w:t>making</w:t>
            </w:r>
            <w:r w:rsidR="0036649E" w:rsidRPr="009C3ED7">
              <w:rPr>
                <w:lang w:val="en-AU"/>
              </w:rPr>
              <w:t xml:space="preserve"> 100s) and containers of </w:t>
            </w:r>
            <w:r w:rsidR="00CC2222">
              <w:rPr>
                <w:lang w:val="en-AU"/>
              </w:rPr>
              <w:t>ten</w:t>
            </w:r>
            <w:r w:rsidR="0036649E" w:rsidRPr="009C3ED7">
              <w:rPr>
                <w:lang w:val="en-AU"/>
              </w:rPr>
              <w:t xml:space="preserve"> crates (</w:t>
            </w:r>
            <w:r w:rsidR="00CC2222">
              <w:rPr>
                <w:lang w:val="en-AU"/>
              </w:rPr>
              <w:t>making</w:t>
            </w:r>
            <w:r w:rsidR="0036649E" w:rsidRPr="009C3ED7">
              <w:rPr>
                <w:lang w:val="en-AU"/>
              </w:rPr>
              <w:t xml:space="preserve"> 1000s). </w:t>
            </w:r>
            <w:r w:rsidR="009C3ED7" w:rsidRPr="009C3ED7">
              <w:rPr>
                <w:lang w:val="en-AU"/>
              </w:rPr>
              <w:t>Teacher then e</w:t>
            </w:r>
            <w:r w:rsidR="0036649E" w:rsidRPr="009C3ED7">
              <w:rPr>
                <w:lang w:val="en-AU"/>
              </w:rPr>
              <w:t xml:space="preserve">xplains that each truck might carry </w:t>
            </w:r>
            <w:r w:rsidR="00CC2222">
              <w:rPr>
                <w:lang w:val="en-AU"/>
              </w:rPr>
              <w:t>ten</w:t>
            </w:r>
            <w:r w:rsidR="0036649E" w:rsidRPr="009C3ED7">
              <w:rPr>
                <w:lang w:val="en-AU"/>
              </w:rPr>
              <w:t xml:space="preserve"> containers (10 000 items). </w:t>
            </w:r>
            <w:r w:rsidR="00227EDC">
              <w:rPr>
                <w:lang w:val="en-AU"/>
              </w:rPr>
              <w:t>They can use</w:t>
            </w:r>
            <w:r w:rsidR="00227EDC" w:rsidRPr="009C3ED7">
              <w:rPr>
                <w:lang w:val="en-AU"/>
              </w:rPr>
              <w:t xml:space="preserve"> </w:t>
            </w:r>
            <w:proofErr w:type="gramStart"/>
            <w:r w:rsidR="00452118">
              <w:rPr>
                <w:lang w:val="en-AU"/>
              </w:rPr>
              <w:t>hundreds</w:t>
            </w:r>
            <w:proofErr w:type="gramEnd"/>
            <w:r w:rsidR="0036649E" w:rsidRPr="009C3ED7">
              <w:rPr>
                <w:lang w:val="en-AU"/>
              </w:rPr>
              <w:t xml:space="preserve"> charts to reinforce this. </w:t>
            </w:r>
            <w:r w:rsidR="00227EDC">
              <w:rPr>
                <w:lang w:val="en-AU"/>
              </w:rPr>
              <w:t>Teacher e</w:t>
            </w:r>
            <w:r w:rsidR="0036649E" w:rsidRPr="009C3ED7">
              <w:rPr>
                <w:lang w:val="en-AU"/>
              </w:rPr>
              <w:t>xplains that having such a system makes it easier to work out ‘how much?’ and then how to add and subtract large quantities of goods.</w:t>
            </w:r>
          </w:p>
        </w:tc>
      </w:tr>
      <w:tr w:rsidR="00254888" w:rsidRPr="008C0A84" w14:paraId="31984576" w14:textId="77777777" w:rsidTr="00567FD3">
        <w:tc>
          <w:tcPr>
            <w:tcW w:w="3964" w:type="dxa"/>
          </w:tcPr>
          <w:p w14:paraId="21F9A25D" w14:textId="77777777" w:rsidR="00AA3A52" w:rsidRDefault="00AA3A52" w:rsidP="00AA3A52">
            <w:pPr>
              <w:pStyle w:val="VCAAtablecondensed"/>
              <w:rPr>
                <w:lang w:val="en-AU"/>
              </w:rPr>
            </w:pPr>
            <w:r>
              <w:rPr>
                <w:lang w:val="en-AU"/>
              </w:rPr>
              <w:t>Teacher s</w:t>
            </w:r>
            <w:r w:rsidRPr="0036649E">
              <w:rPr>
                <w:lang w:val="en-AU"/>
              </w:rPr>
              <w:t>ets written exercises for students to work through, working on calculations by partitioning and regrouping.</w:t>
            </w:r>
          </w:p>
          <w:p w14:paraId="4EFABC71" w14:textId="00D69EC2" w:rsidR="0036649E" w:rsidRDefault="00AA3A52" w:rsidP="00AA3A52">
            <w:pPr>
              <w:pStyle w:val="VCAAtablecondensed"/>
              <w:rPr>
                <w:lang w:val="en-AU"/>
              </w:rPr>
            </w:pPr>
            <w:r w:rsidRPr="0036649E">
              <w:rPr>
                <w:lang w:val="en-AU"/>
              </w:rPr>
              <w:t>Given 4- or 5-digit numbers, s</w:t>
            </w:r>
            <w:r>
              <w:rPr>
                <w:lang w:val="en-AU"/>
              </w:rPr>
              <w:t xml:space="preserve">tudents </w:t>
            </w:r>
            <w:r w:rsidRPr="0036649E">
              <w:rPr>
                <w:lang w:val="en-AU"/>
              </w:rPr>
              <w:t xml:space="preserve">partition or regroup </w:t>
            </w:r>
            <w:proofErr w:type="gramStart"/>
            <w:r w:rsidRPr="0036649E">
              <w:rPr>
                <w:lang w:val="en-AU"/>
              </w:rPr>
              <w:t>in order to</w:t>
            </w:r>
            <w:proofErr w:type="gramEnd"/>
            <w:r w:rsidRPr="0036649E">
              <w:rPr>
                <w:lang w:val="en-AU"/>
              </w:rPr>
              <w:t xml:space="preserve"> add or subtract these numbers and find a solution</w:t>
            </w:r>
            <w:r>
              <w:rPr>
                <w:lang w:val="en-AU"/>
              </w:rPr>
              <w:t>.</w:t>
            </w:r>
          </w:p>
          <w:p w14:paraId="041C1365" w14:textId="77777777" w:rsidR="0036649E" w:rsidRPr="008C0A84" w:rsidRDefault="0036649E" w:rsidP="009C3ED7">
            <w:pPr>
              <w:pStyle w:val="VCAAtablecondensed"/>
              <w:rPr>
                <w:lang w:val="en-AU"/>
              </w:rPr>
            </w:pPr>
          </w:p>
        </w:tc>
        <w:tc>
          <w:tcPr>
            <w:tcW w:w="5925" w:type="dxa"/>
          </w:tcPr>
          <w:p w14:paraId="37E90214" w14:textId="3090B2F1" w:rsidR="009C3ED7" w:rsidRPr="009C3ED7" w:rsidRDefault="009C3ED7" w:rsidP="009C3ED7">
            <w:pPr>
              <w:pStyle w:val="VCAAtablecondensed"/>
              <w:rPr>
                <w:lang w:val="en-AU"/>
              </w:rPr>
            </w:pPr>
            <w:r w:rsidRPr="009C3ED7">
              <w:rPr>
                <w:lang w:val="en-AU"/>
              </w:rPr>
              <w:t xml:space="preserve">Students </w:t>
            </w:r>
            <w:r w:rsidR="009E5B6C">
              <w:rPr>
                <w:lang w:val="en-AU"/>
              </w:rPr>
              <w:t>choose the real-world context of the activity, for example,</w:t>
            </w:r>
            <w:r w:rsidRPr="009C3ED7">
              <w:rPr>
                <w:lang w:val="en-AU"/>
              </w:rPr>
              <w:t xml:space="preserve"> supermarket food items, retail consumer goods. </w:t>
            </w:r>
          </w:p>
          <w:p w14:paraId="01018001" w14:textId="6371B682" w:rsidR="0036649E" w:rsidRPr="009C3ED7" w:rsidRDefault="009C3ED7" w:rsidP="009C3ED7">
            <w:pPr>
              <w:pStyle w:val="VCAAtablecondensed"/>
              <w:rPr>
                <w:lang w:val="en-AU"/>
              </w:rPr>
            </w:pPr>
            <w:r w:rsidRPr="009C3ED7">
              <w:rPr>
                <w:lang w:val="en-AU"/>
              </w:rPr>
              <w:t>Students solve practical quantity problems by ‘boxing’, ‘crating’, ‘containing’ and ‘trucking’ a large collection of selected ‘produce’ by generating a 5-digit number and using materials (</w:t>
            </w:r>
            <w:r w:rsidR="009E5B6C">
              <w:rPr>
                <w:lang w:val="en-AU"/>
              </w:rPr>
              <w:t>for example</w:t>
            </w:r>
            <w:r w:rsidR="00151E61">
              <w:rPr>
                <w:lang w:val="en-AU"/>
              </w:rPr>
              <w:t>,</w:t>
            </w:r>
            <w:r w:rsidRPr="009C3ED7">
              <w:rPr>
                <w:lang w:val="en-AU"/>
              </w:rPr>
              <w:t xml:space="preserve"> </w:t>
            </w:r>
            <w:r w:rsidR="00554340">
              <w:rPr>
                <w:lang w:val="en-AU"/>
              </w:rPr>
              <w:t>MAB blocks</w:t>
            </w:r>
            <w:r w:rsidRPr="009C3ED7">
              <w:rPr>
                <w:lang w:val="en-AU"/>
              </w:rPr>
              <w:t>) bundled together in groups of 10, 100, 1000</w:t>
            </w:r>
            <w:r w:rsidR="009E5B6C">
              <w:rPr>
                <w:lang w:val="en-AU"/>
              </w:rPr>
              <w:t xml:space="preserve"> and so on.</w:t>
            </w:r>
            <w:r w:rsidRPr="009C3ED7">
              <w:rPr>
                <w:lang w:val="en-AU"/>
              </w:rPr>
              <w:t xml:space="preserve"> </w:t>
            </w:r>
            <w:r w:rsidR="009E5B6C">
              <w:rPr>
                <w:lang w:val="en-AU"/>
              </w:rPr>
              <w:t>Students w</w:t>
            </w:r>
            <w:r w:rsidRPr="009C3ED7">
              <w:rPr>
                <w:lang w:val="en-AU"/>
              </w:rPr>
              <w:t>ork out how many ‘trucks’ might be needed to transport their ‘produce’.</w:t>
            </w:r>
          </w:p>
        </w:tc>
      </w:tr>
      <w:tr w:rsidR="00254888" w:rsidRPr="008C0A84" w14:paraId="42737F58" w14:textId="77777777" w:rsidTr="00567FD3">
        <w:tc>
          <w:tcPr>
            <w:tcW w:w="3964" w:type="dxa"/>
            <w:tcBorders>
              <w:bottom w:val="single" w:sz="4" w:space="0" w:color="auto"/>
            </w:tcBorders>
          </w:tcPr>
          <w:p w14:paraId="39AD81F5" w14:textId="77777777" w:rsidR="0036649E" w:rsidRDefault="00E4172B" w:rsidP="009C3ED7">
            <w:pPr>
              <w:pStyle w:val="VCAAtablecondensed"/>
              <w:rPr>
                <w:lang w:val="en-AU"/>
              </w:rPr>
            </w:pPr>
            <w:r>
              <w:rPr>
                <w:lang w:val="en-AU"/>
              </w:rPr>
              <w:lastRenderedPageBreak/>
              <w:t xml:space="preserve">Teacher </w:t>
            </w:r>
            <w:r w:rsidR="0036649E">
              <w:rPr>
                <w:lang w:val="en-AU"/>
              </w:rPr>
              <w:t>a</w:t>
            </w:r>
            <w:r w:rsidR="0036649E" w:rsidRPr="009C3ED7">
              <w:rPr>
                <w:lang w:val="en-AU"/>
              </w:rPr>
              <w:t>ssesses solutions by checking on a calculator and marking set exercises.</w:t>
            </w:r>
          </w:p>
          <w:p w14:paraId="505F5AEC" w14:textId="4F764B1E" w:rsidR="002F033B" w:rsidRPr="008C0A84" w:rsidRDefault="0036649E" w:rsidP="009C3ED7">
            <w:pPr>
              <w:pStyle w:val="VCAAtablecondensed"/>
              <w:rPr>
                <w:lang w:val="en-AU"/>
              </w:rPr>
            </w:pPr>
            <w:r w:rsidRPr="009C3ED7">
              <w:rPr>
                <w:lang w:val="en-AU"/>
              </w:rPr>
              <w:t>Students review by comparing responses and working.</w:t>
            </w:r>
          </w:p>
        </w:tc>
        <w:tc>
          <w:tcPr>
            <w:tcW w:w="5925" w:type="dxa"/>
            <w:tcBorders>
              <w:bottom w:val="single" w:sz="4" w:space="0" w:color="auto"/>
            </w:tcBorders>
          </w:tcPr>
          <w:p w14:paraId="4C904203" w14:textId="03F2F54D" w:rsidR="009C3ED7" w:rsidRPr="009C3ED7" w:rsidRDefault="009E5B6C" w:rsidP="009C3ED7">
            <w:pPr>
              <w:pStyle w:val="VCAAtablecondensed"/>
              <w:rPr>
                <w:lang w:val="en-AU"/>
              </w:rPr>
            </w:pPr>
            <w:r>
              <w:rPr>
                <w:lang w:val="en-AU"/>
              </w:rPr>
              <w:t>S</w:t>
            </w:r>
            <w:r w:rsidR="009C3ED7" w:rsidRPr="009C3ED7">
              <w:rPr>
                <w:lang w:val="en-AU"/>
              </w:rPr>
              <w:t xml:space="preserve">tudents check peers’ work by pretending they are a customer checking that quantities/volumes are correct. </w:t>
            </w:r>
            <w:r>
              <w:rPr>
                <w:lang w:val="en-AU"/>
              </w:rPr>
              <w:t>Students may use calculators.</w:t>
            </w:r>
          </w:p>
          <w:p w14:paraId="55413AA4" w14:textId="1AB945DE" w:rsidR="0036649E" w:rsidRPr="009C3ED7" w:rsidRDefault="009C3ED7" w:rsidP="009C3ED7">
            <w:pPr>
              <w:pStyle w:val="VCAAtablecondensed"/>
              <w:rPr>
                <w:lang w:val="en-AU"/>
              </w:rPr>
            </w:pPr>
            <w:r w:rsidRPr="009C3ED7">
              <w:rPr>
                <w:lang w:val="en-AU"/>
              </w:rPr>
              <w:t>Students and</w:t>
            </w:r>
            <w:r w:rsidR="009E5B6C">
              <w:rPr>
                <w:lang w:val="en-AU"/>
              </w:rPr>
              <w:t xml:space="preserve"> </w:t>
            </w:r>
            <w:r w:rsidRPr="009C3ED7">
              <w:rPr>
                <w:lang w:val="en-AU"/>
              </w:rPr>
              <w:t xml:space="preserve">teacher review by discussing other occupations in which people would have to count, value, </w:t>
            </w:r>
            <w:proofErr w:type="gramStart"/>
            <w:r w:rsidRPr="009C3ED7">
              <w:rPr>
                <w:lang w:val="en-AU"/>
              </w:rPr>
              <w:t>package</w:t>
            </w:r>
            <w:proofErr w:type="gramEnd"/>
            <w:r w:rsidRPr="009C3ED7">
              <w:rPr>
                <w:lang w:val="en-AU"/>
              </w:rPr>
              <w:t xml:space="preserve"> and transport large amounts of things. </w:t>
            </w:r>
          </w:p>
        </w:tc>
      </w:tr>
    </w:tbl>
    <w:p w14:paraId="7DDB75E6" w14:textId="77777777" w:rsidR="00DB533D" w:rsidRDefault="00B51FA6" w:rsidP="00E40CF1">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7470245" w14:textId="277A81CC" w:rsidR="009C3ED7" w:rsidRPr="009C3ED7" w:rsidRDefault="009C3ED7" w:rsidP="007018E1">
      <w:pPr>
        <w:pStyle w:val="VCAAbullet"/>
      </w:pPr>
      <w:r w:rsidRPr="009C3ED7">
        <w:t xml:space="preserve">Teachers will need to </w:t>
      </w:r>
      <w:r w:rsidRPr="00FE2091">
        <w:t>explicitly</w:t>
      </w:r>
      <w:r w:rsidRPr="009C3ED7">
        <w:t xml:space="preserve"> remind students of the ‘bundling’ of ones into </w:t>
      </w:r>
      <w:r w:rsidR="00260737">
        <w:t>ten</w:t>
      </w:r>
      <w:r w:rsidRPr="009C3ED7">
        <w:t xml:space="preserve">, </w:t>
      </w:r>
      <w:r w:rsidR="00260737">
        <w:t>tens</w:t>
      </w:r>
      <w:r w:rsidR="00260737" w:rsidRPr="009C3ED7">
        <w:t xml:space="preserve"> </w:t>
      </w:r>
      <w:r w:rsidRPr="001C28D9">
        <w:t>into</w:t>
      </w:r>
      <w:r w:rsidRPr="009C3ED7">
        <w:t xml:space="preserve"> </w:t>
      </w:r>
      <w:r w:rsidR="00260737">
        <w:t xml:space="preserve">100s and </w:t>
      </w:r>
      <w:r w:rsidRPr="009C3ED7">
        <w:t xml:space="preserve">100s </w:t>
      </w:r>
      <w:r w:rsidRPr="00FE2091">
        <w:t>into</w:t>
      </w:r>
      <w:r w:rsidRPr="009C3ED7">
        <w:t xml:space="preserve"> 1000s</w:t>
      </w:r>
      <w:r w:rsidR="00260737">
        <w:t>,</w:t>
      </w:r>
      <w:r w:rsidRPr="009C3ED7">
        <w:t xml:space="preserve"> using </w:t>
      </w:r>
      <w:proofErr w:type="gramStart"/>
      <w:r w:rsidR="00B72032">
        <w:t>hundreds</w:t>
      </w:r>
      <w:proofErr w:type="gramEnd"/>
      <w:r w:rsidR="00B72032" w:rsidRPr="009C3ED7">
        <w:t xml:space="preserve"> </w:t>
      </w:r>
      <w:r w:rsidRPr="00FE2091">
        <w:t>charts</w:t>
      </w:r>
      <w:r w:rsidRPr="009C3ED7">
        <w:t xml:space="preserve">, number lines and/or MAB </w:t>
      </w:r>
      <w:r w:rsidR="00CE02D0">
        <w:t>b</w:t>
      </w:r>
      <w:r w:rsidRPr="009C3ED7">
        <w:t xml:space="preserve">locks.  </w:t>
      </w:r>
    </w:p>
    <w:p w14:paraId="2A2F0BE0" w14:textId="32EDB596" w:rsidR="009C3ED7" w:rsidRPr="009C3ED7" w:rsidRDefault="009C3ED7" w:rsidP="001C28D9">
      <w:pPr>
        <w:pStyle w:val="VCAAbullet"/>
      </w:pPr>
      <w:r w:rsidRPr="009C3ED7">
        <w:t>Place</w:t>
      </w:r>
      <w:r w:rsidR="00260737">
        <w:t>-</w:t>
      </w:r>
      <w:r w:rsidRPr="009C3ED7">
        <w:t>value charts and place</w:t>
      </w:r>
      <w:r w:rsidR="00260737">
        <w:t>-</w:t>
      </w:r>
      <w:r w:rsidRPr="009C3ED7">
        <w:t>value counters can also be used to reinforce basic place</w:t>
      </w:r>
      <w:r w:rsidR="00260737">
        <w:t>-</w:t>
      </w:r>
      <w:r w:rsidRPr="009C3ED7">
        <w:t>value concepts.</w:t>
      </w:r>
    </w:p>
    <w:p w14:paraId="69E75F0C" w14:textId="645C0359" w:rsidR="009C3ED7" w:rsidRDefault="009C3ED7" w:rsidP="001C28D9">
      <w:pPr>
        <w:pStyle w:val="VCAAbullet"/>
      </w:pPr>
      <w:r w:rsidRPr="009C3ED7">
        <w:t xml:space="preserve">Creating a diagram or graphic showing bundling of ones (units) into tens (‘boxes’), </w:t>
      </w:r>
      <w:r w:rsidR="00260737">
        <w:t>tens</w:t>
      </w:r>
      <w:r w:rsidR="00260737" w:rsidRPr="009C3ED7">
        <w:t xml:space="preserve"> </w:t>
      </w:r>
      <w:r w:rsidRPr="009C3ED7">
        <w:t>into 100s (‘crates’), 100s into 1000s (‘containers’) and 1000s into 10 000s (‘trucks’) may assist students to visualise this activity</w:t>
      </w:r>
      <w:r w:rsidR="00260737">
        <w:t>.</w:t>
      </w:r>
    </w:p>
    <w:p w14:paraId="6C3644EB" w14:textId="4F48C7DA" w:rsidR="002C5688" w:rsidRPr="009C3ED7" w:rsidRDefault="00554340" w:rsidP="001C28D9">
      <w:pPr>
        <w:pStyle w:val="VCAAbullet"/>
      </w:pPr>
      <w:r>
        <w:t>As an extension, s</w:t>
      </w:r>
      <w:r w:rsidR="00FE2091">
        <w:t>tudents can reflect on the use of mathematics as a too</w:t>
      </w:r>
      <w:r w:rsidR="00087F66">
        <w:t>l</w:t>
      </w:r>
      <w:r w:rsidR="00FE2091">
        <w:t xml:space="preserve"> for making </w:t>
      </w:r>
      <w:r>
        <w:t>informed</w:t>
      </w:r>
      <w:r w:rsidR="00FE2091">
        <w:t xml:space="preserve"> decisions by</w:t>
      </w:r>
      <w:r w:rsidR="002C5688">
        <w:t xml:space="preserve"> discussing what often happens when we ‘guess’ or ‘just think’ something is the case, compared to when we carefully measure and calculate. The ABC Catalyst episode listed below will also help make this point with students, as will the optional extra of </w:t>
      </w:r>
      <w:r w:rsidR="002C5688" w:rsidRPr="007018E1">
        <w:rPr>
          <w:rFonts w:eastAsiaTheme="minorHAnsi"/>
        </w:rPr>
        <w:t>inviting a farmer, truck driver or even logistician in to talk to the class about quantifying, estimating and using maths to manage large quantities.</w:t>
      </w:r>
    </w:p>
    <w:p w14:paraId="78FEEB58" w14:textId="77777777" w:rsidR="00DB533D" w:rsidRDefault="00DB533D" w:rsidP="002F033B">
      <w:pPr>
        <w:pStyle w:val="VCAAHeading4"/>
      </w:pPr>
      <w:r>
        <w:t xml:space="preserve">Additional resources to help when adapting the learning activity </w:t>
      </w:r>
    </w:p>
    <w:p w14:paraId="66979876" w14:textId="15168516" w:rsidR="009C3ED7" w:rsidRPr="009C3ED7" w:rsidRDefault="009C3ED7" w:rsidP="001C28D9">
      <w:pPr>
        <w:pStyle w:val="VCAAbullet"/>
      </w:pPr>
      <w:r>
        <w:t>AMSI Schools</w:t>
      </w:r>
      <w:r w:rsidR="00A257F2">
        <w:t>, ‘</w:t>
      </w:r>
      <w:hyperlink r:id="rId12" w:history="1">
        <w:r w:rsidR="00A257F2" w:rsidRPr="00A257F2">
          <w:rPr>
            <w:rStyle w:val="Hyperlink"/>
          </w:rPr>
          <w:t>Place value houses</w:t>
        </w:r>
      </w:hyperlink>
      <w:r w:rsidR="00A257F2">
        <w:t xml:space="preserve">’ </w:t>
      </w:r>
      <w:r w:rsidR="00B72032">
        <w:t xml:space="preserve"> </w:t>
      </w:r>
      <w:r w:rsidRPr="009C3ED7">
        <w:t>and</w:t>
      </w:r>
      <w:r w:rsidR="00A257F2">
        <w:t xml:space="preserve"> ‘</w:t>
      </w:r>
      <w:hyperlink r:id="rId13" w:history="1">
        <w:r w:rsidR="00A257F2" w:rsidRPr="00A257F2">
          <w:rPr>
            <w:rStyle w:val="Hyperlink"/>
          </w:rPr>
          <w:t>Place value counters chart</w:t>
        </w:r>
      </w:hyperlink>
      <w:r w:rsidR="00A257F2">
        <w:t>’</w:t>
      </w:r>
      <w:r>
        <w:t xml:space="preserve"> </w:t>
      </w:r>
    </w:p>
    <w:p w14:paraId="5F799CBB" w14:textId="35BB81B6" w:rsidR="002C5688" w:rsidRPr="007018E1" w:rsidRDefault="002C5688" w:rsidP="001C28D9">
      <w:pPr>
        <w:pStyle w:val="VCAAbullet"/>
      </w:pPr>
      <w:r>
        <w:t>ABC Catalyst</w:t>
      </w:r>
      <w:r w:rsidR="00A257F2">
        <w:t>,</w:t>
      </w:r>
      <w:r>
        <w:t xml:space="preserve"> ‘</w:t>
      </w:r>
      <w:hyperlink r:id="rId14" w:history="1">
        <w:r w:rsidRPr="00A257F2">
          <w:rPr>
            <w:rStyle w:val="Hyperlink"/>
          </w:rPr>
          <w:t xml:space="preserve">The Secret to Making Better </w:t>
        </w:r>
        <w:r w:rsidRPr="007018E1">
          <w:rPr>
            <w:rStyle w:val="Hyperlink"/>
          </w:rPr>
          <w:t>Decisions</w:t>
        </w:r>
      </w:hyperlink>
      <w:r w:rsidRPr="007018E1">
        <w:t xml:space="preserve">’ </w:t>
      </w:r>
    </w:p>
    <w:p w14:paraId="577EAA7E" w14:textId="77777777" w:rsidR="00F01253" w:rsidRPr="00113097" w:rsidRDefault="00905484" w:rsidP="004F6DE0">
      <w:pPr>
        <w:pStyle w:val="VCAAHeading3"/>
        <w:rPr>
          <w:lang w:val="en-AU"/>
        </w:rPr>
      </w:pPr>
      <w:r w:rsidRPr="00113097">
        <w:rPr>
          <w:lang w:val="en-AU"/>
        </w:rPr>
        <w:t>B</w:t>
      </w:r>
      <w:r w:rsidR="0038622E" w:rsidRPr="00113097">
        <w:rPr>
          <w:lang w:val="en-AU"/>
        </w:rPr>
        <w:t>enefit</w:t>
      </w:r>
      <w:r w:rsidR="00425FD1" w:rsidRPr="00113097">
        <w:rPr>
          <w:lang w:val="en-AU"/>
        </w:rPr>
        <w:t>s for</w:t>
      </w:r>
      <w:r w:rsidR="0038622E" w:rsidRPr="00113097">
        <w:rPr>
          <w:lang w:val="en-AU"/>
        </w:rPr>
        <w:t xml:space="preserve"> </w:t>
      </w:r>
      <w:r w:rsidR="007E7D1F" w:rsidRPr="00113097">
        <w:rPr>
          <w:lang w:val="en-AU"/>
        </w:rPr>
        <w:t>students</w:t>
      </w:r>
    </w:p>
    <w:p w14:paraId="315F8794" w14:textId="46D4C2B7" w:rsidR="009C3ED7" w:rsidRPr="007018E1" w:rsidRDefault="000F1C29" w:rsidP="00FE2091">
      <w:pPr>
        <w:pStyle w:val="VCAAbody"/>
      </w:pPr>
      <w:r w:rsidRPr="000F1C29">
        <w:rPr>
          <w:lang w:val="en-AU"/>
        </w:rPr>
        <w:t>Know yourself – self-development</w:t>
      </w:r>
      <w:r w:rsidR="009C3ED7" w:rsidRPr="009C3ED7">
        <w:rPr>
          <w:lang w:val="en-AU"/>
        </w:rPr>
        <w:t xml:space="preserve">: </w:t>
      </w:r>
    </w:p>
    <w:p w14:paraId="38E11082" w14:textId="62BDCBF1" w:rsidR="009C3ED7" w:rsidRPr="007018E1" w:rsidRDefault="009C3ED7" w:rsidP="001C28D9">
      <w:pPr>
        <w:pStyle w:val="VCAAbullet"/>
        <w:rPr>
          <w:rFonts w:eastAsiaTheme="minorHAnsi"/>
        </w:rPr>
      </w:pPr>
      <w:r w:rsidRPr="009C3ED7">
        <w:rPr>
          <w:rFonts w:eastAsiaTheme="minorHAnsi"/>
        </w:rPr>
        <w:t xml:space="preserve">Solving problems in a real-world context assists students to connect mathematically abstract concepts such as place value with practical applications and utility. </w:t>
      </w:r>
      <w:r w:rsidR="000D08D0">
        <w:rPr>
          <w:rFonts w:eastAsiaTheme="minorHAnsi"/>
        </w:rPr>
        <w:t>This</w:t>
      </w:r>
      <w:r w:rsidRPr="009C3ED7">
        <w:rPr>
          <w:rFonts w:eastAsiaTheme="minorHAnsi"/>
        </w:rPr>
        <w:t xml:space="preserve"> will assist with </w:t>
      </w:r>
      <w:r w:rsidR="000D08D0">
        <w:rPr>
          <w:rFonts w:eastAsiaTheme="minorHAnsi"/>
        </w:rPr>
        <w:t xml:space="preserve">the </w:t>
      </w:r>
      <w:r w:rsidRPr="009C3ED7">
        <w:rPr>
          <w:rFonts w:eastAsiaTheme="minorHAnsi"/>
        </w:rPr>
        <w:t xml:space="preserve">understanding that </w:t>
      </w:r>
      <w:r w:rsidRPr="007018E1">
        <w:rPr>
          <w:rFonts w:eastAsiaTheme="minorHAnsi"/>
        </w:rPr>
        <w:t xml:space="preserve">mathematics is a tool with which we explore the world and thus avoid anxiety about maths as a subject.  </w:t>
      </w:r>
    </w:p>
    <w:p w14:paraId="2D43199A" w14:textId="5C086546" w:rsidR="009C3ED7" w:rsidRPr="007018E1" w:rsidRDefault="009C3ED7" w:rsidP="001C28D9">
      <w:pPr>
        <w:pStyle w:val="VCAAbullet"/>
        <w:rPr>
          <w:rFonts w:eastAsiaTheme="minorHAnsi"/>
        </w:rPr>
      </w:pPr>
      <w:r w:rsidRPr="007018E1">
        <w:rPr>
          <w:rFonts w:eastAsiaTheme="minorHAnsi"/>
        </w:rPr>
        <w:t>Utilising peer checking within the simulated context of ‘supplier/customer’ will assist students to work with others by developing communication skills and interacting cooperatively.</w:t>
      </w:r>
    </w:p>
    <w:p w14:paraId="77141734" w14:textId="0E94D6B9" w:rsidR="000F1C29" w:rsidRPr="007018E1" w:rsidRDefault="000F1C29" w:rsidP="007018E1">
      <w:pPr>
        <w:pStyle w:val="VCAAbody"/>
        <w:rPr>
          <w:lang w:val="en-AU"/>
        </w:rPr>
      </w:pPr>
      <w:r w:rsidRPr="000F1C29">
        <w:rPr>
          <w:lang w:val="en-AU"/>
        </w:rPr>
        <w:t xml:space="preserve">Know your world – career exploration: </w:t>
      </w:r>
    </w:p>
    <w:p w14:paraId="0683EAF4" w14:textId="7EFE200A" w:rsidR="009C3ED7" w:rsidRPr="007018E1" w:rsidRDefault="009C3ED7" w:rsidP="001C28D9">
      <w:pPr>
        <w:pStyle w:val="VCAAbullet"/>
        <w:rPr>
          <w:rFonts w:eastAsiaTheme="minorHAnsi"/>
        </w:rPr>
      </w:pPr>
      <w:r w:rsidRPr="007018E1">
        <w:rPr>
          <w:rFonts w:eastAsiaTheme="minorHAnsi"/>
        </w:rPr>
        <w:t xml:space="preserve">Students investigate some aspects of industries, careers and occupations associated with farming, </w:t>
      </w:r>
      <w:proofErr w:type="gramStart"/>
      <w:r w:rsidRPr="007018E1">
        <w:rPr>
          <w:rFonts w:eastAsiaTheme="minorHAnsi"/>
        </w:rPr>
        <w:t>transport</w:t>
      </w:r>
      <w:proofErr w:type="gramEnd"/>
      <w:r w:rsidRPr="007018E1">
        <w:rPr>
          <w:rFonts w:eastAsiaTheme="minorHAnsi"/>
        </w:rPr>
        <w:t xml:space="preserve"> and packaging, contributing to their capacity to understand work.</w:t>
      </w:r>
    </w:p>
    <w:p w14:paraId="0DD94DEA" w14:textId="5B5E0653" w:rsidR="009C3ED7" w:rsidRDefault="009C3ED7" w:rsidP="001C28D9">
      <w:pPr>
        <w:pStyle w:val="VCAAbullet"/>
        <w:rPr>
          <w:rFonts w:eastAsiaTheme="minorHAnsi"/>
        </w:rPr>
      </w:pPr>
      <w:r w:rsidRPr="007018E1">
        <w:rPr>
          <w:rFonts w:eastAsiaTheme="minorHAnsi"/>
        </w:rPr>
        <w:t xml:space="preserve">Inviting a farmer, truck driver or logistician in to talk to the class about what they do and how mathematics supports their work will encourage students to be lifelong learners </w:t>
      </w:r>
      <w:r w:rsidR="00174663" w:rsidRPr="007018E1">
        <w:rPr>
          <w:rFonts w:eastAsiaTheme="minorHAnsi"/>
        </w:rPr>
        <w:t>and expose them to</w:t>
      </w:r>
      <w:r w:rsidRPr="007018E1">
        <w:rPr>
          <w:rFonts w:eastAsiaTheme="minorHAnsi"/>
        </w:rPr>
        <w:t xml:space="preserve"> learning and career opportunities.</w:t>
      </w:r>
    </w:p>
    <w:p w14:paraId="41258986" w14:textId="11F717BB" w:rsidR="00CE02D0" w:rsidRPr="00CE02D0" w:rsidRDefault="00CE02D0" w:rsidP="00CE02D0">
      <w:pPr>
        <w:pStyle w:val="VCAAbullet"/>
        <w:rPr>
          <w:rFonts w:eastAsiaTheme="minorHAnsi"/>
        </w:rPr>
      </w:pPr>
      <w:r w:rsidRPr="007018E1">
        <w:rPr>
          <w:rFonts w:eastAsiaTheme="minorHAnsi"/>
        </w:rPr>
        <w:t xml:space="preserve">Solving mathematical problems by simulating a ‘real world’ work situations will provide students with insight into the world of work and provide an early opportunity to experience work. </w:t>
      </w:r>
    </w:p>
    <w:p w14:paraId="06286A95" w14:textId="740DDD6B" w:rsidR="000F1C29" w:rsidRPr="007018E1" w:rsidRDefault="000F1C29" w:rsidP="007018E1">
      <w:pPr>
        <w:pStyle w:val="VCAAbody"/>
        <w:rPr>
          <w:lang w:val="en-AU"/>
        </w:rPr>
      </w:pPr>
      <w:r w:rsidRPr="000F1C29">
        <w:rPr>
          <w:lang w:val="en-AU"/>
        </w:rPr>
        <w:t>Manage your future – be proactive:</w:t>
      </w:r>
    </w:p>
    <w:p w14:paraId="549FE161" w14:textId="3B3F408A" w:rsidR="009C3ED7" w:rsidRPr="007018E1" w:rsidRDefault="009C3ED7" w:rsidP="001C28D9">
      <w:pPr>
        <w:pStyle w:val="VCAAbullet"/>
        <w:rPr>
          <w:rFonts w:eastAsiaTheme="minorHAnsi"/>
        </w:rPr>
      </w:pPr>
      <w:r w:rsidRPr="007018E1">
        <w:rPr>
          <w:rFonts w:eastAsiaTheme="minorHAnsi"/>
        </w:rPr>
        <w:t xml:space="preserve">Students can reflect on the use of mathematics as a tool to make </w:t>
      </w:r>
      <w:r w:rsidR="00CE02D0">
        <w:rPr>
          <w:rFonts w:eastAsiaTheme="minorHAnsi"/>
        </w:rPr>
        <w:t>informed</w:t>
      </w:r>
      <w:r w:rsidRPr="007018E1">
        <w:rPr>
          <w:rFonts w:eastAsiaTheme="minorHAnsi"/>
        </w:rPr>
        <w:t xml:space="preserve"> decisions in businesses or organisations, based on accurate quantification and calculation, and by using systematic problem-solving skills. </w:t>
      </w:r>
    </w:p>
    <w:sectPr w:rsidR="009C3ED7" w:rsidRPr="007018E1"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8F2D" w14:textId="77777777" w:rsidR="00AA3A52" w:rsidRDefault="00AA3A52" w:rsidP="00304EA1">
      <w:pPr>
        <w:spacing w:after="0" w:line="240" w:lineRule="auto"/>
      </w:pPr>
      <w:r>
        <w:separator/>
      </w:r>
    </w:p>
  </w:endnote>
  <w:endnote w:type="continuationSeparator" w:id="0">
    <w:p w14:paraId="51F540A5" w14:textId="77777777" w:rsidR="00AA3A52" w:rsidRDefault="00AA3A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AA3A52" w:rsidRPr="00D06414" w14:paraId="56BD5F8D" w14:textId="77777777" w:rsidTr="00BB3BAB">
      <w:trPr>
        <w:trHeight w:val="476"/>
      </w:trPr>
      <w:tc>
        <w:tcPr>
          <w:tcW w:w="1667" w:type="pct"/>
          <w:tcMar>
            <w:left w:w="0" w:type="dxa"/>
            <w:right w:w="0" w:type="dxa"/>
          </w:tcMar>
        </w:tcPr>
        <w:p w14:paraId="63E15409" w14:textId="77777777" w:rsidR="00AA3A52" w:rsidRPr="00D06414" w:rsidRDefault="00AA3A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661C665" w14:textId="77777777" w:rsidR="00AA3A52" w:rsidRPr="00D06414" w:rsidRDefault="00AA3A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004E477" w14:textId="77777777" w:rsidR="00AA3A52" w:rsidRPr="00D06414" w:rsidRDefault="00AA3A5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A079883" w14:textId="77777777" w:rsidR="00AA3A52" w:rsidRPr="00D06414" w:rsidRDefault="00AA3A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4F89A18" wp14:editId="103C73C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AA3A52" w:rsidRPr="00D06414" w14:paraId="7710C338" w14:textId="77777777" w:rsidTr="000F5AAF">
      <w:tc>
        <w:tcPr>
          <w:tcW w:w="1459" w:type="pct"/>
          <w:tcMar>
            <w:left w:w="0" w:type="dxa"/>
            <w:right w:w="0" w:type="dxa"/>
          </w:tcMar>
        </w:tcPr>
        <w:p w14:paraId="54199887" w14:textId="77777777" w:rsidR="00AA3A52" w:rsidRPr="00D06414" w:rsidRDefault="00AA3A5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FD4F0D" w14:textId="77777777" w:rsidR="00AA3A52" w:rsidRPr="00D06414" w:rsidRDefault="00AA3A5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4CEA806" w14:textId="77777777" w:rsidR="00AA3A52" w:rsidRPr="00D06414" w:rsidRDefault="00AA3A5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1E41C4" w14:textId="77777777" w:rsidR="00AA3A52" w:rsidRPr="00D06414" w:rsidRDefault="00AA3A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94B838F" wp14:editId="3102B86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4538" w14:textId="77777777" w:rsidR="00AA3A52" w:rsidRDefault="00AA3A52" w:rsidP="00304EA1">
      <w:pPr>
        <w:spacing w:after="0" w:line="240" w:lineRule="auto"/>
      </w:pPr>
      <w:r>
        <w:separator/>
      </w:r>
    </w:p>
  </w:footnote>
  <w:footnote w:type="continuationSeparator" w:id="0">
    <w:p w14:paraId="01953CB4" w14:textId="77777777" w:rsidR="00AA3A52" w:rsidRDefault="00AA3A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4F30" w14:textId="62C7AD84" w:rsidR="00AA3A52" w:rsidRPr="0038622E" w:rsidRDefault="00AA3A52" w:rsidP="0038622E">
    <w:pPr>
      <w:pStyle w:val="VCAAbody"/>
      <w:rPr>
        <w:color w:val="0F7EB4"/>
      </w:rPr>
    </w:pPr>
    <w:r>
      <w:t>Embedding career education in the Victorian Curriculum F–10 – Mathematics, Level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22EA" w14:textId="77777777" w:rsidR="00AA3A52" w:rsidRPr="009370BC" w:rsidRDefault="00AA3A52" w:rsidP="00970580">
    <w:pPr>
      <w:spacing w:after="0"/>
      <w:ind w:right="-142"/>
      <w:jc w:val="right"/>
    </w:pPr>
    <w:r>
      <w:rPr>
        <w:noProof/>
        <w:lang w:val="en-AU" w:eastAsia="en-AU"/>
      </w:rPr>
      <w:drawing>
        <wp:anchor distT="0" distB="0" distL="114300" distR="114300" simplePos="0" relativeHeight="251660288" behindDoc="1" locked="1" layoutInCell="1" allowOverlap="1" wp14:anchorId="7A32195D" wp14:editId="6F040BF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C4E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E23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7C1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E49D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A8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CE4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AA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62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54F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AA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F9082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1CA65DE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83B68678"/>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083C502E"/>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C87E0B7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584A7DAC"/>
    <w:lvl w:ilvl="0" w:tplc="D47A0C3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71C60601"/>
    <w:multiLevelType w:val="hybridMultilevel"/>
    <w:tmpl w:val="507877FC"/>
    <w:lvl w:ilvl="0" w:tplc="C38099C2">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F6499F"/>
    <w:multiLevelType w:val="multilevel"/>
    <w:tmpl w:val="563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3"/>
    <w:lvlOverride w:ilvl="0">
      <w:lvl w:ilvl="0">
        <w:numFmt w:val="bullet"/>
        <w:lvlText w:val=""/>
        <w:lvlJc w:val="left"/>
        <w:pPr>
          <w:tabs>
            <w:tab w:val="num" w:pos="720"/>
          </w:tabs>
          <w:ind w:left="720" w:hanging="360"/>
        </w:pPr>
        <w:rPr>
          <w:rFonts w:ascii="Symbol" w:hAnsi="Symbol" w:hint="default"/>
          <w:sz w:val="20"/>
        </w:rPr>
      </w:lvl>
    </w:lvlOverride>
  </w:num>
  <w:num w:numId="24">
    <w:abstractNumId w:val="22"/>
  </w:num>
  <w:num w:numId="25">
    <w:abstractNumId w:val="21"/>
  </w:num>
  <w:num w:numId="26">
    <w:abstractNumId w:val="21"/>
  </w:num>
  <w:num w:numId="27">
    <w:abstractNumId w:val="17"/>
  </w:num>
  <w:num w:numId="28">
    <w:abstractNumId w:val="15"/>
  </w:num>
  <w:num w:numId="29">
    <w:abstractNumId w:val="11"/>
  </w:num>
  <w:num w:numId="30">
    <w:abstractNumId w:val="20"/>
  </w:num>
  <w:num w:numId="31">
    <w:abstractNumId w:val="21"/>
  </w:num>
  <w:num w:numId="32">
    <w:abstractNumId w:val="17"/>
  </w:num>
  <w:num w:numId="33">
    <w:abstractNumId w:val="15"/>
  </w:num>
  <w:num w:numId="34">
    <w:abstractNumId w:val="11"/>
  </w:num>
  <w:num w:numId="35">
    <w:abstractNumId w:val="20"/>
  </w:num>
  <w:num w:numId="36">
    <w:abstractNumId w:val="21"/>
  </w:num>
  <w:num w:numId="37">
    <w:abstractNumId w:val="17"/>
  </w:num>
  <w:num w:numId="38">
    <w:abstractNumId w:val="15"/>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443B8"/>
    <w:rsid w:val="0005780E"/>
    <w:rsid w:val="00065CC6"/>
    <w:rsid w:val="00072AF1"/>
    <w:rsid w:val="00086CFC"/>
    <w:rsid w:val="00087F66"/>
    <w:rsid w:val="00097F58"/>
    <w:rsid w:val="000A71F7"/>
    <w:rsid w:val="000B152F"/>
    <w:rsid w:val="000D08D0"/>
    <w:rsid w:val="000F09E4"/>
    <w:rsid w:val="000F16FD"/>
    <w:rsid w:val="000F1C29"/>
    <w:rsid w:val="000F5AAF"/>
    <w:rsid w:val="00113097"/>
    <w:rsid w:val="0012374D"/>
    <w:rsid w:val="00143520"/>
    <w:rsid w:val="00151E61"/>
    <w:rsid w:val="00153AD2"/>
    <w:rsid w:val="00174663"/>
    <w:rsid w:val="001779EA"/>
    <w:rsid w:val="001926FE"/>
    <w:rsid w:val="001A0D43"/>
    <w:rsid w:val="001A39A9"/>
    <w:rsid w:val="001B5D34"/>
    <w:rsid w:val="001C28D9"/>
    <w:rsid w:val="001D3246"/>
    <w:rsid w:val="001F5D88"/>
    <w:rsid w:val="002279BA"/>
    <w:rsid w:val="00227EDC"/>
    <w:rsid w:val="002329F3"/>
    <w:rsid w:val="00243F0D"/>
    <w:rsid w:val="00254888"/>
    <w:rsid w:val="00255852"/>
    <w:rsid w:val="00256D25"/>
    <w:rsid w:val="00260737"/>
    <w:rsid w:val="00260767"/>
    <w:rsid w:val="002647BB"/>
    <w:rsid w:val="002754C1"/>
    <w:rsid w:val="002817EA"/>
    <w:rsid w:val="002841C8"/>
    <w:rsid w:val="0028516B"/>
    <w:rsid w:val="002A7AB2"/>
    <w:rsid w:val="002B103A"/>
    <w:rsid w:val="002C5688"/>
    <w:rsid w:val="002C6F90"/>
    <w:rsid w:val="002E4FB5"/>
    <w:rsid w:val="002F033B"/>
    <w:rsid w:val="00302FB8"/>
    <w:rsid w:val="00304EA1"/>
    <w:rsid w:val="003105FC"/>
    <w:rsid w:val="00314D81"/>
    <w:rsid w:val="00322FC6"/>
    <w:rsid w:val="0035293F"/>
    <w:rsid w:val="0036649E"/>
    <w:rsid w:val="0038622E"/>
    <w:rsid w:val="00391986"/>
    <w:rsid w:val="00392864"/>
    <w:rsid w:val="003A00B4"/>
    <w:rsid w:val="003C3008"/>
    <w:rsid w:val="003C394F"/>
    <w:rsid w:val="003C5E71"/>
    <w:rsid w:val="003D5D15"/>
    <w:rsid w:val="00411D26"/>
    <w:rsid w:val="00417AA3"/>
    <w:rsid w:val="00421DB1"/>
    <w:rsid w:val="00425DFE"/>
    <w:rsid w:val="00425FD1"/>
    <w:rsid w:val="00434EDB"/>
    <w:rsid w:val="00440B32"/>
    <w:rsid w:val="00444A87"/>
    <w:rsid w:val="00452118"/>
    <w:rsid w:val="00457521"/>
    <w:rsid w:val="0046078D"/>
    <w:rsid w:val="00495C80"/>
    <w:rsid w:val="00497AF0"/>
    <w:rsid w:val="004A1D37"/>
    <w:rsid w:val="004A2ED8"/>
    <w:rsid w:val="004A5F8E"/>
    <w:rsid w:val="004D06FB"/>
    <w:rsid w:val="004D70CD"/>
    <w:rsid w:val="004F5BDA"/>
    <w:rsid w:val="004F6DE0"/>
    <w:rsid w:val="00507BBE"/>
    <w:rsid w:val="0051631E"/>
    <w:rsid w:val="00537A1F"/>
    <w:rsid w:val="00554340"/>
    <w:rsid w:val="00563E1D"/>
    <w:rsid w:val="00566029"/>
    <w:rsid w:val="00567FD3"/>
    <w:rsid w:val="005923CB"/>
    <w:rsid w:val="005B267E"/>
    <w:rsid w:val="005B391B"/>
    <w:rsid w:val="005D3D78"/>
    <w:rsid w:val="005D7236"/>
    <w:rsid w:val="005E2EF0"/>
    <w:rsid w:val="005F4092"/>
    <w:rsid w:val="00610518"/>
    <w:rsid w:val="00635C86"/>
    <w:rsid w:val="00675D4E"/>
    <w:rsid w:val="0068471E"/>
    <w:rsid w:val="00684F98"/>
    <w:rsid w:val="00693FFD"/>
    <w:rsid w:val="006D2159"/>
    <w:rsid w:val="006F17B9"/>
    <w:rsid w:val="006F787C"/>
    <w:rsid w:val="007018E1"/>
    <w:rsid w:val="00702636"/>
    <w:rsid w:val="00716864"/>
    <w:rsid w:val="00724507"/>
    <w:rsid w:val="007623B9"/>
    <w:rsid w:val="00773E6C"/>
    <w:rsid w:val="00781FB1"/>
    <w:rsid w:val="007848EA"/>
    <w:rsid w:val="007A0E4B"/>
    <w:rsid w:val="007A2AC1"/>
    <w:rsid w:val="007B4B09"/>
    <w:rsid w:val="007C501C"/>
    <w:rsid w:val="007D1B6D"/>
    <w:rsid w:val="007E7D1F"/>
    <w:rsid w:val="00813C37"/>
    <w:rsid w:val="008154B5"/>
    <w:rsid w:val="00823962"/>
    <w:rsid w:val="00831FEC"/>
    <w:rsid w:val="00852719"/>
    <w:rsid w:val="00860115"/>
    <w:rsid w:val="00867A97"/>
    <w:rsid w:val="0088783C"/>
    <w:rsid w:val="008B1278"/>
    <w:rsid w:val="008B3147"/>
    <w:rsid w:val="008C0A84"/>
    <w:rsid w:val="008C7898"/>
    <w:rsid w:val="008D0ABF"/>
    <w:rsid w:val="008D57CA"/>
    <w:rsid w:val="008D6738"/>
    <w:rsid w:val="008E7EFC"/>
    <w:rsid w:val="00905484"/>
    <w:rsid w:val="00933280"/>
    <w:rsid w:val="009370BC"/>
    <w:rsid w:val="009402AD"/>
    <w:rsid w:val="00970580"/>
    <w:rsid w:val="0098739B"/>
    <w:rsid w:val="009B4350"/>
    <w:rsid w:val="009B61E5"/>
    <w:rsid w:val="009C3ED7"/>
    <w:rsid w:val="009D0189"/>
    <w:rsid w:val="009D1E89"/>
    <w:rsid w:val="009E5707"/>
    <w:rsid w:val="009E5B6C"/>
    <w:rsid w:val="009F7086"/>
    <w:rsid w:val="00A13223"/>
    <w:rsid w:val="00A17661"/>
    <w:rsid w:val="00A24B2D"/>
    <w:rsid w:val="00A257F2"/>
    <w:rsid w:val="00A25D1D"/>
    <w:rsid w:val="00A27DCD"/>
    <w:rsid w:val="00A33D19"/>
    <w:rsid w:val="00A40966"/>
    <w:rsid w:val="00A50E81"/>
    <w:rsid w:val="00A921E0"/>
    <w:rsid w:val="00A922F4"/>
    <w:rsid w:val="00AA3A52"/>
    <w:rsid w:val="00AD59D5"/>
    <w:rsid w:val="00AE189D"/>
    <w:rsid w:val="00AE5526"/>
    <w:rsid w:val="00AF051B"/>
    <w:rsid w:val="00B01578"/>
    <w:rsid w:val="00B01C90"/>
    <w:rsid w:val="00B0738F"/>
    <w:rsid w:val="00B13D3B"/>
    <w:rsid w:val="00B14ECF"/>
    <w:rsid w:val="00B230DB"/>
    <w:rsid w:val="00B26601"/>
    <w:rsid w:val="00B30E01"/>
    <w:rsid w:val="00B41951"/>
    <w:rsid w:val="00B51FA6"/>
    <w:rsid w:val="00B53229"/>
    <w:rsid w:val="00B62480"/>
    <w:rsid w:val="00B72032"/>
    <w:rsid w:val="00B74D78"/>
    <w:rsid w:val="00B81B70"/>
    <w:rsid w:val="00BA22E0"/>
    <w:rsid w:val="00BB3BAB"/>
    <w:rsid w:val="00BD0724"/>
    <w:rsid w:val="00BD2B91"/>
    <w:rsid w:val="00BE0806"/>
    <w:rsid w:val="00BE5521"/>
    <w:rsid w:val="00BF26C3"/>
    <w:rsid w:val="00BF6C23"/>
    <w:rsid w:val="00C2005D"/>
    <w:rsid w:val="00C53263"/>
    <w:rsid w:val="00C61D41"/>
    <w:rsid w:val="00C6415E"/>
    <w:rsid w:val="00C75F1D"/>
    <w:rsid w:val="00C95156"/>
    <w:rsid w:val="00CA0DC2"/>
    <w:rsid w:val="00CA112D"/>
    <w:rsid w:val="00CB68E8"/>
    <w:rsid w:val="00CC2222"/>
    <w:rsid w:val="00CE02D0"/>
    <w:rsid w:val="00D04F01"/>
    <w:rsid w:val="00D06414"/>
    <w:rsid w:val="00D24E5A"/>
    <w:rsid w:val="00D338E4"/>
    <w:rsid w:val="00D35D07"/>
    <w:rsid w:val="00D36FA7"/>
    <w:rsid w:val="00D4304F"/>
    <w:rsid w:val="00D51947"/>
    <w:rsid w:val="00D532F0"/>
    <w:rsid w:val="00D56764"/>
    <w:rsid w:val="00D62304"/>
    <w:rsid w:val="00D77413"/>
    <w:rsid w:val="00D82759"/>
    <w:rsid w:val="00D86DE4"/>
    <w:rsid w:val="00D94CF3"/>
    <w:rsid w:val="00DB533D"/>
    <w:rsid w:val="00DE1909"/>
    <w:rsid w:val="00DE51DB"/>
    <w:rsid w:val="00E23F1D"/>
    <w:rsid w:val="00E30E05"/>
    <w:rsid w:val="00E36361"/>
    <w:rsid w:val="00E40CF1"/>
    <w:rsid w:val="00E4172B"/>
    <w:rsid w:val="00E54E35"/>
    <w:rsid w:val="00E55AE9"/>
    <w:rsid w:val="00E56D1D"/>
    <w:rsid w:val="00E9592C"/>
    <w:rsid w:val="00EA2830"/>
    <w:rsid w:val="00EB0C84"/>
    <w:rsid w:val="00EB4EE0"/>
    <w:rsid w:val="00EF1E25"/>
    <w:rsid w:val="00F01253"/>
    <w:rsid w:val="00F17FDE"/>
    <w:rsid w:val="00F40D53"/>
    <w:rsid w:val="00F4525C"/>
    <w:rsid w:val="00F50D86"/>
    <w:rsid w:val="00F53AED"/>
    <w:rsid w:val="00F6610F"/>
    <w:rsid w:val="00F83515"/>
    <w:rsid w:val="00FA4A59"/>
    <w:rsid w:val="00FB23F1"/>
    <w:rsid w:val="00FD29D3"/>
    <w:rsid w:val="00FE2091"/>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2D3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C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1C28D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1C28D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C28D9"/>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1C28D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C28D9"/>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C28D9"/>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1C28D9"/>
    <w:rPr>
      <w:color w:val="FFFFFF" w:themeColor="background1"/>
    </w:rPr>
  </w:style>
  <w:style w:type="paragraph" w:customStyle="1" w:styleId="VCAAbullet">
    <w:name w:val="VCAA bullet"/>
    <w:basedOn w:val="VCAAbody"/>
    <w:autoRedefine/>
    <w:qFormat/>
    <w:rsid w:val="005B267E"/>
    <w:pPr>
      <w:numPr>
        <w:numId w:val="36"/>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1C28D9"/>
    <w:pPr>
      <w:numPr>
        <w:numId w:val="37"/>
      </w:numPr>
    </w:pPr>
  </w:style>
  <w:style w:type="paragraph" w:customStyle="1" w:styleId="VCAAnumbers">
    <w:name w:val="VCAA numbers"/>
    <w:basedOn w:val="VCAAbullet"/>
    <w:qFormat/>
    <w:rsid w:val="001C28D9"/>
    <w:pPr>
      <w:numPr>
        <w:numId w:val="38"/>
      </w:numPr>
    </w:pPr>
    <w:rPr>
      <w:lang w:val="en-US"/>
    </w:rPr>
  </w:style>
  <w:style w:type="paragraph" w:customStyle="1" w:styleId="VCAAtablecondensedbullet">
    <w:name w:val="VCAA table condensed bullet"/>
    <w:basedOn w:val="Normal"/>
    <w:qFormat/>
    <w:rsid w:val="001C28D9"/>
    <w:pPr>
      <w:numPr>
        <w:numId w:val="39"/>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1C28D9"/>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C28D9"/>
    <w:pPr>
      <w:spacing w:after="360"/>
    </w:pPr>
    <w:rPr>
      <w:sz w:val="18"/>
      <w:szCs w:val="18"/>
    </w:rPr>
  </w:style>
  <w:style w:type="paragraph" w:customStyle="1" w:styleId="VCAAHeading5">
    <w:name w:val="VCAA Heading 5"/>
    <w:next w:val="VCAAbody"/>
    <w:qFormat/>
    <w:rsid w:val="001C28D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1C28D9"/>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1C28D9"/>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1C28D9"/>
    <w:pPr>
      <w:numPr>
        <w:numId w:val="40"/>
      </w:numPr>
    </w:pPr>
    <w:rPr>
      <w:color w:val="000000" w:themeColor="text1"/>
    </w:rPr>
  </w:style>
  <w:style w:type="table" w:customStyle="1" w:styleId="VCAATableClosed">
    <w:name w:val="VCAA Table Closed"/>
    <w:basedOn w:val="VCAATable"/>
    <w:uiPriority w:val="99"/>
    <w:rsid w:val="001C28D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1C28D9"/>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1C28D9"/>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1C28D9"/>
    <w:pPr>
      <w:spacing w:line="240" w:lineRule="auto"/>
      <w:jc w:val="center"/>
    </w:pPr>
    <w:rPr>
      <w:noProof/>
    </w:rPr>
  </w:style>
  <w:style w:type="character" w:customStyle="1" w:styleId="VCAAbodyChar">
    <w:name w:val="VCAA body Char"/>
    <w:basedOn w:val="DefaultParagraphFont"/>
    <w:link w:val="VCAAbody"/>
    <w:rsid w:val="001C28D9"/>
    <w:rPr>
      <w:rFonts w:ascii="Arial" w:hAnsi="Arial" w:cs="Arial"/>
      <w:color w:val="000000" w:themeColor="text1"/>
      <w:sz w:val="20"/>
    </w:rPr>
  </w:style>
  <w:style w:type="character" w:customStyle="1" w:styleId="VCAAfiguresChar">
    <w:name w:val="VCAA figures Char"/>
    <w:basedOn w:val="VCAAbodyChar"/>
    <w:link w:val="VCAAfigures"/>
    <w:rsid w:val="001C28D9"/>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1C28D9"/>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1C28D9"/>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CC2222"/>
    <w:rPr>
      <w:color w:val="8DB3E2" w:themeColor="followedHyperlink"/>
      <w:u w:val="single"/>
    </w:rPr>
  </w:style>
  <w:style w:type="character" w:customStyle="1" w:styleId="UnresolvedMention1">
    <w:name w:val="Unresolved Mention1"/>
    <w:basedOn w:val="DefaultParagraphFont"/>
    <w:uiPriority w:val="99"/>
    <w:semiHidden/>
    <w:unhideWhenUsed/>
    <w:rsid w:val="001C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369684">
      <w:bodyDiv w:val="1"/>
      <w:marLeft w:val="0"/>
      <w:marRight w:val="0"/>
      <w:marTop w:val="0"/>
      <w:marBottom w:val="0"/>
      <w:divBdr>
        <w:top w:val="none" w:sz="0" w:space="0" w:color="auto"/>
        <w:left w:val="none" w:sz="0" w:space="0" w:color="auto"/>
        <w:bottom w:val="none" w:sz="0" w:space="0" w:color="auto"/>
        <w:right w:val="none" w:sz="0" w:space="0" w:color="auto"/>
      </w:divBdr>
    </w:div>
    <w:div w:id="757092329">
      <w:bodyDiv w:val="1"/>
      <w:marLeft w:val="0"/>
      <w:marRight w:val="0"/>
      <w:marTop w:val="0"/>
      <w:marBottom w:val="0"/>
      <w:divBdr>
        <w:top w:val="none" w:sz="0" w:space="0" w:color="auto"/>
        <w:left w:val="none" w:sz="0" w:space="0" w:color="auto"/>
        <w:bottom w:val="none" w:sz="0" w:space="0" w:color="auto"/>
        <w:right w:val="none" w:sz="0" w:space="0" w:color="auto"/>
      </w:divBdr>
    </w:div>
    <w:div w:id="1496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culate.org.au/2014/03/13/place-value-counters-char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lculate.org.au/2014/03/13/place-value-hous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MNA15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catalyst/the-secret-to-making-better-decisions/1101727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C26AA-E076-4942-B1A1-923910247CA5}">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www.w3.org/XML/1998/namespace"/>
    <ds:schemaRef ds:uri="2bd59324-8a5b-4fea-a16a-e617e0fe1c9b"/>
    <ds:schemaRef ds:uri="http://purl.org/dc/dcmitype/"/>
    <ds:schemaRef ds:uri="http://schemas.microsoft.com/office/2006/metadata/properties"/>
    <ds:schemaRef ds:uri="2face8be-d942-4633-89c5-b9c9b61198f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433C114-5C3D-4E52-A219-131494AFA2C6}"/>
</file>

<file path=docProps/app.xml><?xml version="1.0" encoding="utf-8"?>
<Properties xmlns="http://schemas.openxmlformats.org/officeDocument/2006/extended-properties" xmlns:vt="http://schemas.openxmlformats.org/officeDocument/2006/docPropsVTypes">
  <Template>Normal</Template>
  <TotalTime>15</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mathematics</cp:keywords>
  <cp:lastPrinted>2020-03-04T04:43:00Z</cp:lastPrinted>
  <dcterms:created xsi:type="dcterms:W3CDTF">2020-08-17T06:42:00Z</dcterms:created>
  <dcterms:modified xsi:type="dcterms:W3CDTF">2020-08-18T04:16:00Z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