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1834" w14:textId="77777777" w:rsidR="00CC407F" w:rsidRPr="00782396" w:rsidRDefault="00CE26B1">
      <w:pPr>
        <w:pStyle w:val="VCAADocumenttitle"/>
      </w:pPr>
      <w:r w:rsidRPr="00782396">
        <w:t>2020 VCE Armenian oral examination report</w:t>
      </w:r>
      <w:bookmarkStart w:id="0" w:name="TemplateOverview"/>
      <w:bookmarkEnd w:id="0"/>
    </w:p>
    <w:p w14:paraId="4E9227C1" w14:textId="77777777" w:rsidR="00CC407F" w:rsidRPr="00782396" w:rsidRDefault="00CE26B1">
      <w:pPr>
        <w:pStyle w:val="VCAAHeading1"/>
        <w:rPr>
          <w:lang w:val="en-AU"/>
        </w:rPr>
      </w:pPr>
      <w:r w:rsidRPr="00782396">
        <w:rPr>
          <w:lang w:val="en-AU"/>
        </w:rPr>
        <w:t>General comments</w:t>
      </w:r>
    </w:p>
    <w:p w14:paraId="580BFF0A" w14:textId="7196051E" w:rsidR="00CC407F" w:rsidRPr="00782396" w:rsidRDefault="00CE26B1">
      <w:pPr>
        <w:pStyle w:val="VCAAbody"/>
        <w:rPr>
          <w:lang w:val="en-AU"/>
        </w:rPr>
      </w:pPr>
      <w:r w:rsidRPr="00782396">
        <w:rPr>
          <w:lang w:val="en-AU"/>
        </w:rPr>
        <w:t xml:space="preserve">The Armenian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5F43F9FF" w14:textId="234F45C3" w:rsidR="00CC407F" w:rsidRPr="00782396" w:rsidRDefault="00CE26B1">
      <w:pPr>
        <w:pStyle w:val="VCAAbody"/>
        <w:rPr>
          <w:lang w:val="en-AU"/>
        </w:rPr>
      </w:pPr>
      <w:r w:rsidRPr="00782396">
        <w:rPr>
          <w:lang w:val="en-AU"/>
        </w:rPr>
        <w:t>Following the Conversation, the student will indicate to the assessor</w:t>
      </w:r>
      <w:r w:rsidR="00991A4D">
        <w:rPr>
          <w:lang w:val="en-AU"/>
        </w:rPr>
        <w:t>(</w:t>
      </w:r>
      <w:r w:rsidRPr="00782396">
        <w:rPr>
          <w:lang w:val="en-AU"/>
        </w:rPr>
        <w:t>s</w:t>
      </w:r>
      <w:r w:rsidR="00991A4D">
        <w:rPr>
          <w:lang w:val="en-AU"/>
        </w:rPr>
        <w:t>)</w:t>
      </w:r>
      <w:r w:rsidRPr="00782396">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4DDAA3E5" w14:textId="77777777" w:rsidR="00CC407F" w:rsidRPr="00782396" w:rsidRDefault="00CE26B1">
      <w:pPr>
        <w:pStyle w:val="VCAAbody"/>
        <w:rPr>
          <w:lang w:val="en-AU"/>
        </w:rPr>
      </w:pPr>
      <w:r w:rsidRPr="00782396">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57CE767C" w14:textId="3334190A" w:rsidR="00CC407F" w:rsidRPr="00782396" w:rsidRDefault="00CE26B1">
      <w:pPr>
        <w:pStyle w:val="VCAAbody"/>
        <w:rPr>
          <w:lang w:val="en-AU"/>
        </w:rPr>
      </w:pPr>
      <w:r w:rsidRPr="00782396">
        <w:rPr>
          <w:lang w:val="en-AU"/>
        </w:rPr>
        <w:t xml:space="preserve">The focus of the Discussion </w:t>
      </w:r>
      <w:r w:rsidR="007826F6" w:rsidRPr="00782396">
        <w:rPr>
          <w:lang w:val="en-AU"/>
        </w:rPr>
        <w:t>is</w:t>
      </w:r>
      <w:r w:rsidRPr="00782396">
        <w:rPr>
          <w:lang w:val="en-AU"/>
        </w:rPr>
        <w:t xml:space="preserve"> to explore aspects of the language and culture of communities in which Armenian is spoken, with the student being expected to </w:t>
      </w:r>
      <w:proofErr w:type="gramStart"/>
      <w:r w:rsidRPr="00782396">
        <w:rPr>
          <w:lang w:val="en-AU"/>
        </w:rPr>
        <w:t>make reference</w:t>
      </w:r>
      <w:proofErr w:type="gramEnd"/>
      <w:r w:rsidRPr="00782396">
        <w:rPr>
          <w:lang w:val="en-AU"/>
        </w:rPr>
        <w:t xml:space="preserve"> to the texts studied. </w:t>
      </w:r>
    </w:p>
    <w:p w14:paraId="26A45B46" w14:textId="77777777" w:rsidR="00CC407F" w:rsidRPr="00782396" w:rsidRDefault="00CE26B1">
      <w:pPr>
        <w:pStyle w:val="VCAAbody"/>
        <w:rPr>
          <w:lang w:val="en-AU"/>
        </w:rPr>
      </w:pPr>
      <w:r w:rsidRPr="00782396">
        <w:rPr>
          <w:lang w:val="en-AU"/>
        </w:rPr>
        <w:t xml:space="preserve">The choice of subtopic for the Detailed Study is very important. It should be an engaging topic that motivates students to become familiar with the content and vocabulary needed, and thus be more skilled in supporting and elaborating on information, ideas and opinions. It is important that students and teachers select materials for the Detailed Study carefully so that students are exposed to a variety of views. The type of texts used by students should vary in complexity and be in Armenian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Armenian-speaking community. </w:t>
      </w:r>
    </w:p>
    <w:p w14:paraId="0A4E594F" w14:textId="77777777" w:rsidR="00CC407F" w:rsidRPr="00782396" w:rsidRDefault="00CE26B1" w:rsidP="00CE26B1">
      <w:pPr>
        <w:pStyle w:val="VCAAbody"/>
        <w:rPr>
          <w:lang w:val="en-AU"/>
        </w:rPr>
      </w:pPr>
      <w:r w:rsidRPr="00782396">
        <w:rPr>
          <w:lang w:val="en-AU"/>
        </w:rPr>
        <w:t>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p>
    <w:p w14:paraId="7AC4ED1C" w14:textId="77777777" w:rsidR="00CC407F" w:rsidRPr="00782396" w:rsidRDefault="00CE26B1" w:rsidP="00CE26B1">
      <w:pPr>
        <w:pStyle w:val="VCAAbody"/>
        <w:rPr>
          <w:lang w:val="en-AU"/>
        </w:rPr>
      </w:pPr>
      <w:r w:rsidRPr="00782396">
        <w:rPr>
          <w:lang w:val="en-AU"/>
        </w:rPr>
        <w:t>It should be noted that during the oral examination:</w:t>
      </w:r>
    </w:p>
    <w:p w14:paraId="6FC93AF6" w14:textId="61DF4A04" w:rsidR="00CC407F" w:rsidRPr="00782396" w:rsidRDefault="003A5C69">
      <w:pPr>
        <w:pStyle w:val="VCAAbullet"/>
        <w:numPr>
          <w:ilvl w:val="0"/>
          <w:numId w:val="1"/>
        </w:numPr>
        <w:ind w:left="426" w:hanging="426"/>
        <w:rPr>
          <w:lang w:val="en-AU"/>
        </w:rPr>
      </w:pPr>
      <w:r>
        <w:rPr>
          <w:lang w:val="en-AU"/>
        </w:rPr>
        <w:t>s</w:t>
      </w:r>
      <w:r w:rsidR="00CE26B1" w:rsidRPr="00782396">
        <w:rPr>
          <w:lang w:val="en-AU"/>
        </w:rPr>
        <w:t xml:space="preserve">tudents may be asked a variety of questions of varying levels of difficulty. Questions may also be asked in a different order from the one </w:t>
      </w:r>
      <w:proofErr w:type="gramStart"/>
      <w:r w:rsidR="00CE26B1" w:rsidRPr="00782396">
        <w:rPr>
          <w:lang w:val="en-AU"/>
        </w:rPr>
        <w:t>students</w:t>
      </w:r>
      <w:proofErr w:type="gramEnd"/>
      <w:r w:rsidR="00CE26B1" w:rsidRPr="00782396">
        <w:rPr>
          <w:lang w:val="en-AU"/>
        </w:rPr>
        <w:t xml:space="preserve"> anticipate</w:t>
      </w:r>
    </w:p>
    <w:p w14:paraId="15E7EFDF" w14:textId="57CBDB3A" w:rsidR="00CC407F" w:rsidRPr="00782396" w:rsidRDefault="003A5C69">
      <w:pPr>
        <w:pStyle w:val="VCAAbullet"/>
        <w:numPr>
          <w:ilvl w:val="0"/>
          <w:numId w:val="1"/>
        </w:numPr>
        <w:ind w:left="426" w:hanging="426"/>
        <w:rPr>
          <w:lang w:val="en-AU"/>
        </w:rPr>
      </w:pPr>
      <w:r>
        <w:rPr>
          <w:lang w:val="en-AU"/>
        </w:rPr>
        <w:t>a</w:t>
      </w:r>
      <w:r w:rsidR="00CE26B1" w:rsidRPr="00782396">
        <w:rPr>
          <w:lang w:val="en-AU"/>
        </w:rPr>
        <w:t>ssessors may interrupt students to ask questions during either section of the examination; this should be regarded as a normal process in a discussion</w:t>
      </w:r>
    </w:p>
    <w:p w14:paraId="7DEA0544" w14:textId="78179E81" w:rsidR="00CC407F" w:rsidRPr="00782396" w:rsidRDefault="003A5C69">
      <w:pPr>
        <w:pStyle w:val="VCAAbullet"/>
        <w:numPr>
          <w:ilvl w:val="0"/>
          <w:numId w:val="1"/>
        </w:numPr>
        <w:ind w:left="426" w:hanging="426"/>
        <w:rPr>
          <w:lang w:val="en-AU"/>
        </w:rPr>
      </w:pPr>
      <w:r>
        <w:rPr>
          <w:lang w:val="en-AU"/>
        </w:rPr>
        <w:t>a</w:t>
      </w:r>
      <w:r w:rsidR="00CE26B1" w:rsidRPr="00782396">
        <w:rPr>
          <w:lang w:val="en-AU"/>
        </w:rPr>
        <w:t>ssessors may also repeat or rephrase questions</w:t>
      </w:r>
    </w:p>
    <w:p w14:paraId="15D8F7F1" w14:textId="3D28B8F8" w:rsidR="00CC407F" w:rsidRPr="00782396" w:rsidRDefault="003A5C69">
      <w:pPr>
        <w:pStyle w:val="VCAAbullet"/>
        <w:numPr>
          <w:ilvl w:val="0"/>
          <w:numId w:val="1"/>
        </w:numPr>
        <w:ind w:left="426" w:hanging="426"/>
        <w:rPr>
          <w:lang w:val="en-AU"/>
        </w:rPr>
      </w:pPr>
      <w:r>
        <w:rPr>
          <w:lang w:val="en-AU"/>
        </w:rPr>
        <w:t>n</w:t>
      </w:r>
      <w:r w:rsidR="00CE26B1" w:rsidRPr="00782396">
        <w:rPr>
          <w:lang w:val="en-AU"/>
        </w:rPr>
        <w:t>ormal variation in assessor body language is acceptable.</w:t>
      </w:r>
    </w:p>
    <w:p w14:paraId="3FACA44E" w14:textId="77777777" w:rsidR="00CC407F" w:rsidRPr="00782396" w:rsidRDefault="00CC407F">
      <w:pPr>
        <w:sectPr w:rsidR="00CC407F" w:rsidRPr="00782396">
          <w:headerReference w:type="default" r:id="rId11"/>
          <w:footerReference w:type="default" r:id="rId12"/>
          <w:pgSz w:w="11906" w:h="16838"/>
          <w:pgMar w:top="1418" w:right="1134" w:bottom="567" w:left="1134" w:header="283" w:footer="283" w:gutter="0"/>
          <w:cols w:space="720"/>
          <w:formProt w:val="0"/>
          <w:docGrid w:linePitch="312"/>
        </w:sectPr>
      </w:pPr>
    </w:p>
    <w:p w14:paraId="5D281050" w14:textId="77777777" w:rsidR="00CC407F" w:rsidRPr="00782396" w:rsidRDefault="00CE26B1">
      <w:pPr>
        <w:pStyle w:val="VCAAbody"/>
        <w:keepNext/>
        <w:rPr>
          <w:lang w:val="en-AU"/>
        </w:rPr>
      </w:pPr>
      <w:r w:rsidRPr="00782396">
        <w:rPr>
          <w:lang w:val="en-AU"/>
        </w:rPr>
        <w:t xml:space="preserve">Three criteria are used in assessing both the Conversation and the Discussion: communication, content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w:t>
      </w:r>
      <w:r w:rsidRPr="00782396">
        <w:rPr>
          <w:lang w:val="en-AU"/>
        </w:rPr>
        <w:lastRenderedPageBreak/>
        <w:t xml:space="preserve">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6506ADF1" w14:textId="77777777" w:rsidR="00CC407F" w:rsidRPr="00782396" w:rsidRDefault="00CE26B1">
      <w:pPr>
        <w:pStyle w:val="VCAAHeading1"/>
        <w:rPr>
          <w:lang w:val="en-AU"/>
        </w:rPr>
      </w:pPr>
      <w:r w:rsidRPr="00782396">
        <w:rPr>
          <w:lang w:val="en-AU"/>
        </w:rPr>
        <w:t>Specific information</w:t>
      </w:r>
    </w:p>
    <w:p w14:paraId="4C4BF16F" w14:textId="77777777" w:rsidR="00CC407F" w:rsidRPr="00782396" w:rsidRDefault="00CE26B1">
      <w:pPr>
        <w:pStyle w:val="VCAAbody"/>
        <w:rPr>
          <w:lang w:val="en-AU"/>
        </w:rPr>
      </w:pPr>
      <w:r w:rsidRPr="00782396">
        <w:rPr>
          <w:lang w:val="en-AU"/>
        </w:rPr>
        <w:t xml:space="preserve">All students were generally well prepared, confident and at ease with the structure, pace and direction of both the Conversation and Discussion. Vocabulary, fluency and expression were of a very good standard. Students were able to converse clearly and confidently using appropriate constructs and the correct register (for example, </w:t>
      </w:r>
      <w:proofErr w:type="spellStart"/>
      <w:r w:rsidRPr="00782396">
        <w:rPr>
          <w:lang w:val="en-AU"/>
        </w:rPr>
        <w:t>դուք</w:t>
      </w:r>
      <w:proofErr w:type="spellEnd"/>
      <w:r w:rsidRPr="00782396">
        <w:rPr>
          <w:lang w:val="en-AU"/>
        </w:rPr>
        <w:t xml:space="preserve">, </w:t>
      </w:r>
      <w:proofErr w:type="spellStart"/>
      <w:r w:rsidRPr="00782396">
        <w:rPr>
          <w:lang w:val="en-AU"/>
        </w:rPr>
        <w:t>ձեր</w:t>
      </w:r>
      <w:proofErr w:type="spellEnd"/>
      <w:r w:rsidRPr="00782396">
        <w:rPr>
          <w:lang w:val="en-AU"/>
        </w:rPr>
        <w:t xml:space="preserve">) when addressing assessors. </w:t>
      </w:r>
    </w:p>
    <w:p w14:paraId="187A04F8" w14:textId="77777777" w:rsidR="00CC407F" w:rsidRPr="00782396" w:rsidRDefault="00CE26B1">
      <w:pPr>
        <w:pStyle w:val="VCAAbody"/>
        <w:rPr>
          <w:lang w:val="en-AU"/>
        </w:rPr>
      </w:pPr>
      <w:r w:rsidRPr="00782396">
        <w:rPr>
          <w:lang w:val="en-AU"/>
        </w:rPr>
        <w:t>Students generally demonstrated competence and fluency, exhibiting an excellent range of sophisticated vocabulary and expressions, using grammatical structures accurately and appropriately. Students also generally had very good pronunciation, stress and tempo.</w:t>
      </w:r>
    </w:p>
    <w:p w14:paraId="1C1D692D" w14:textId="3E2DA073" w:rsidR="00CC407F" w:rsidRPr="00782396" w:rsidRDefault="00CE26B1">
      <w:pPr>
        <w:pStyle w:val="VCAAbody"/>
        <w:rPr>
          <w:lang w:val="en-AU"/>
        </w:rPr>
      </w:pPr>
      <w:r w:rsidRPr="00782396">
        <w:rPr>
          <w:lang w:val="en-AU"/>
        </w:rPr>
        <w:t>High-achieving students used an extensive vocabulary</w:t>
      </w:r>
      <w:r w:rsidR="003A5C69">
        <w:rPr>
          <w:lang w:val="en-AU"/>
        </w:rPr>
        <w:t>,</w:t>
      </w:r>
      <w:r w:rsidRPr="00782396">
        <w:rPr>
          <w:lang w:val="en-AU"/>
        </w:rPr>
        <w:t xml:space="preserve"> and most responses had no unnatural pauses. Anglicisms were rare, </w:t>
      </w:r>
      <w:r w:rsidR="003A5C69">
        <w:rPr>
          <w:lang w:val="en-AU"/>
        </w:rPr>
        <w:t>suggesting students are</w:t>
      </w:r>
      <w:r w:rsidRPr="00782396">
        <w:rPr>
          <w:lang w:val="en-AU"/>
        </w:rPr>
        <w:t xml:space="preserve"> aware</w:t>
      </w:r>
      <w:r w:rsidR="003A5C69">
        <w:rPr>
          <w:lang w:val="en-AU"/>
        </w:rPr>
        <w:t xml:space="preserve"> that they need to</w:t>
      </w:r>
      <w:r w:rsidRPr="00782396">
        <w:rPr>
          <w:lang w:val="en-AU"/>
        </w:rPr>
        <w:t xml:space="preserve"> focus on correct and authentic use of the language. </w:t>
      </w:r>
    </w:p>
    <w:p w14:paraId="2F5896F9" w14:textId="77777777" w:rsidR="00CC407F" w:rsidRPr="00782396" w:rsidRDefault="00CE26B1" w:rsidP="00CE26B1">
      <w:pPr>
        <w:pStyle w:val="VCAAHeading2"/>
        <w:rPr>
          <w:lang w:val="en-AU"/>
        </w:rPr>
      </w:pPr>
      <w:r w:rsidRPr="00782396">
        <w:rPr>
          <w:lang w:val="en-AU"/>
        </w:rPr>
        <w:t>Section 1 – Conversation</w:t>
      </w:r>
    </w:p>
    <w:p w14:paraId="74A4AE10" w14:textId="77777777" w:rsidR="00CC407F" w:rsidRPr="00782396" w:rsidRDefault="00CE26B1">
      <w:pPr>
        <w:pStyle w:val="VCAAbody"/>
        <w:rPr>
          <w:lang w:val="en-AU"/>
        </w:rPr>
      </w:pPr>
      <w:r w:rsidRPr="00782396">
        <w:rPr>
          <w:lang w:val="en-AU"/>
        </w:rPr>
        <w:t xml:space="preserve">A wide range of topics was covered in the Conversation, including family background, personal issues, career aspirations, hobbies, travel plans or experiences, part-time employment and future plans. Students responded to questions confidently with relevant and spontaneous answers, elaborating on opinions with reasons and justification. Some displayed a strong sense of identity, self-awareness and belonging to the Armenian community. </w:t>
      </w:r>
    </w:p>
    <w:p w14:paraId="6CB69352" w14:textId="46204A12" w:rsidR="00CC407F" w:rsidRPr="00782396" w:rsidRDefault="00CE26B1">
      <w:pPr>
        <w:pStyle w:val="VCAAbody"/>
        <w:rPr>
          <w:lang w:val="en-AU"/>
        </w:rPr>
      </w:pPr>
      <w:r w:rsidRPr="00782396">
        <w:rPr>
          <w:lang w:val="en-AU"/>
        </w:rPr>
        <w:t>Sentence structure and expression were very good, and the depth, breadth and complexity of the Conversation were satisfactory. All students engaged with the assessors confidently. False starts were rare</w:t>
      </w:r>
      <w:r w:rsidR="00D66D63">
        <w:rPr>
          <w:lang w:val="en-AU"/>
        </w:rPr>
        <w:t>,</w:t>
      </w:r>
      <w:r w:rsidRPr="00782396">
        <w:rPr>
          <w:lang w:val="en-AU"/>
        </w:rPr>
        <w:t xml:space="preserve"> and self-correction, clarification and elaboration indicated excellent preparation. </w:t>
      </w:r>
    </w:p>
    <w:p w14:paraId="333EA634" w14:textId="4AC15B7D" w:rsidR="00CC407F" w:rsidRPr="00782396" w:rsidRDefault="00CE26B1">
      <w:pPr>
        <w:pStyle w:val="VCAAbody"/>
        <w:rPr>
          <w:lang w:val="en-AU"/>
        </w:rPr>
      </w:pPr>
      <w:r w:rsidRPr="00782396">
        <w:rPr>
          <w:lang w:val="en-AU"/>
        </w:rPr>
        <w:t>Students are reminded to use the correct terms to describe full-time work (</w:t>
      </w:r>
      <w:proofErr w:type="spellStart"/>
      <w:r w:rsidRPr="00782396">
        <w:rPr>
          <w:lang w:val="en-AU"/>
        </w:rPr>
        <w:t>լիաժամ</w:t>
      </w:r>
      <w:proofErr w:type="spellEnd"/>
      <w:r w:rsidRPr="00782396">
        <w:rPr>
          <w:lang w:val="en-AU"/>
        </w:rPr>
        <w:t xml:space="preserve"> </w:t>
      </w:r>
      <w:proofErr w:type="spellStart"/>
      <w:r w:rsidRPr="00782396">
        <w:rPr>
          <w:lang w:val="en-AU"/>
        </w:rPr>
        <w:t>աշխատանք</w:t>
      </w:r>
      <w:proofErr w:type="spellEnd"/>
      <w:r w:rsidRPr="00782396">
        <w:rPr>
          <w:lang w:val="en-AU"/>
        </w:rPr>
        <w:t>) and part-time work (</w:t>
      </w:r>
      <w:proofErr w:type="spellStart"/>
      <w:r w:rsidRPr="00782396">
        <w:rPr>
          <w:lang w:val="en-AU"/>
        </w:rPr>
        <w:t>կիսաժամ</w:t>
      </w:r>
      <w:proofErr w:type="spellEnd"/>
      <w:r w:rsidRPr="00782396">
        <w:rPr>
          <w:lang w:val="en-AU"/>
        </w:rPr>
        <w:t xml:space="preserve"> </w:t>
      </w:r>
      <w:proofErr w:type="spellStart"/>
      <w:r w:rsidRPr="00782396">
        <w:rPr>
          <w:lang w:val="en-AU"/>
        </w:rPr>
        <w:t>աշխատանք</w:t>
      </w:r>
      <w:proofErr w:type="spellEnd"/>
      <w:r w:rsidRPr="00782396">
        <w:rPr>
          <w:lang w:val="en-AU"/>
        </w:rPr>
        <w:t xml:space="preserve">) when referring to current or future employment. They would also benefit from practising irregular declensions with the commonly used nouns of kinship, such as </w:t>
      </w:r>
      <w:proofErr w:type="spellStart"/>
      <w:r w:rsidRPr="00782396">
        <w:rPr>
          <w:lang w:val="en-AU"/>
        </w:rPr>
        <w:t>հօրս</w:t>
      </w:r>
      <w:proofErr w:type="spellEnd"/>
      <w:r w:rsidRPr="00782396">
        <w:rPr>
          <w:lang w:val="en-AU"/>
        </w:rPr>
        <w:t xml:space="preserve">, </w:t>
      </w:r>
      <w:proofErr w:type="spellStart"/>
      <w:r w:rsidRPr="00782396">
        <w:rPr>
          <w:lang w:val="en-AU"/>
        </w:rPr>
        <w:t>մօրս</w:t>
      </w:r>
      <w:proofErr w:type="spellEnd"/>
      <w:r w:rsidRPr="00782396">
        <w:rPr>
          <w:lang w:val="en-AU"/>
        </w:rPr>
        <w:t xml:space="preserve">, </w:t>
      </w:r>
      <w:proofErr w:type="spellStart"/>
      <w:r w:rsidRPr="00782396">
        <w:rPr>
          <w:lang w:val="en-AU"/>
        </w:rPr>
        <w:t>քրոջս</w:t>
      </w:r>
      <w:proofErr w:type="spellEnd"/>
      <w:r w:rsidRPr="00782396">
        <w:rPr>
          <w:lang w:val="en-AU"/>
        </w:rPr>
        <w:t xml:space="preserve">, </w:t>
      </w:r>
      <w:proofErr w:type="spellStart"/>
      <w:r w:rsidRPr="00782396">
        <w:rPr>
          <w:lang w:val="en-AU"/>
        </w:rPr>
        <w:t>եղբօրս</w:t>
      </w:r>
      <w:proofErr w:type="spellEnd"/>
      <w:r w:rsidRPr="00782396">
        <w:rPr>
          <w:lang w:val="en-AU"/>
        </w:rPr>
        <w:t>.</w:t>
      </w:r>
    </w:p>
    <w:p w14:paraId="057AE4A6" w14:textId="77777777" w:rsidR="00CC407F" w:rsidRPr="00782396" w:rsidRDefault="00CE26B1" w:rsidP="00CE26B1">
      <w:pPr>
        <w:pStyle w:val="VCAAHeading2"/>
        <w:rPr>
          <w:lang w:val="en-AU"/>
        </w:rPr>
      </w:pPr>
      <w:r w:rsidRPr="00782396">
        <w:rPr>
          <w:lang w:val="en-AU"/>
        </w:rPr>
        <w:t>Section 2 – Discussion</w:t>
      </w:r>
    </w:p>
    <w:p w14:paraId="56A259EB" w14:textId="77777777" w:rsidR="00CC407F" w:rsidRPr="00782396" w:rsidRDefault="00CE26B1">
      <w:pPr>
        <w:pStyle w:val="VCAAbody"/>
        <w:rPr>
          <w:lang w:val="en-AU"/>
        </w:rPr>
      </w:pPr>
      <w:r w:rsidRPr="00782396">
        <w:rPr>
          <w:lang w:val="en-AU"/>
        </w:rPr>
        <w:t>Students were very well prepared for the Discussion and had mastered their chosen Detailed Study subtopics, using a wide array of sources for research. This allowed for a free-flowing discussion where students demonstrated their ability to engage the assessors by giving appropriate responses and to influence the direction of the Discussion. As with the Conversation, little effort was needed by the assessors to maintain the exchange.</w:t>
      </w:r>
    </w:p>
    <w:p w14:paraId="2D606D41" w14:textId="77777777" w:rsidR="00CC407F" w:rsidRPr="00782396" w:rsidRDefault="00CE26B1">
      <w:pPr>
        <w:pStyle w:val="VCAAbody"/>
        <w:keepNext/>
        <w:rPr>
          <w:lang w:val="en-AU"/>
        </w:rPr>
      </w:pPr>
      <w:r w:rsidRPr="00782396">
        <w:rPr>
          <w:lang w:val="en-AU"/>
        </w:rPr>
        <w:t>Topics for the Detailed Study ranged from the invention of the Armenian alphabet in 301 CE to the formation and structure of the Armenian community in Australia, and the links between Armenia and the diaspora. Students expressed a strong desire to visit Armenia and Artsakh and presented a coherent plan and explanation for their motivation.</w:t>
      </w:r>
    </w:p>
    <w:p w14:paraId="674C2B21" w14:textId="77777777" w:rsidR="00CC407F" w:rsidRPr="00782396" w:rsidRDefault="00CC407F">
      <w:pPr>
        <w:sectPr w:rsidR="00CC407F" w:rsidRPr="00782396">
          <w:headerReference w:type="default" r:id="rId13"/>
          <w:footerReference w:type="default" r:id="rId14"/>
          <w:type w:val="continuous"/>
          <w:pgSz w:w="11906" w:h="16838"/>
          <w:pgMar w:top="1418" w:right="1134" w:bottom="567" w:left="1134" w:header="283" w:footer="283" w:gutter="0"/>
          <w:cols w:space="720"/>
          <w:formProt w:val="0"/>
          <w:docGrid w:linePitch="312"/>
        </w:sectPr>
      </w:pPr>
    </w:p>
    <w:p w14:paraId="701F8CFE" w14:textId="77777777" w:rsidR="00960F50" w:rsidRPr="00782396" w:rsidRDefault="00960F50"/>
    <w:sectPr w:rsidR="00960F50" w:rsidRPr="00782396">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0FDFD" w14:textId="77777777" w:rsidR="007F73BF" w:rsidRDefault="007F73BF">
      <w:r>
        <w:separator/>
      </w:r>
    </w:p>
  </w:endnote>
  <w:endnote w:type="continuationSeparator" w:id="0">
    <w:p w14:paraId="3BB5EC1B" w14:textId="77777777" w:rsidR="007F73BF" w:rsidRDefault="007F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64" w:type="pct"/>
      <w:tblInd w:w="567" w:type="dxa"/>
      <w:tblCellMar>
        <w:left w:w="0" w:type="dxa"/>
        <w:right w:w="0" w:type="dxa"/>
      </w:tblCellMar>
      <w:tblLook w:val="04A0" w:firstRow="1" w:lastRow="0" w:firstColumn="1" w:lastColumn="0" w:noHBand="0" w:noVBand="1"/>
    </w:tblPr>
    <w:tblGrid>
      <w:gridCol w:w="2645"/>
      <w:gridCol w:w="6415"/>
      <w:gridCol w:w="3207"/>
    </w:tblGrid>
    <w:tr w:rsidR="00CC407F" w14:paraId="1FDA95D9" w14:textId="77777777" w:rsidTr="00D66D63">
      <w:tc>
        <w:tcPr>
          <w:tcW w:w="2645" w:type="dxa"/>
          <w:shd w:val="clear" w:color="auto" w:fill="auto"/>
        </w:tcPr>
        <w:p w14:paraId="7F24F1C4" w14:textId="0CD9CEBD" w:rsidR="00CC407F" w:rsidRDefault="00CE26B1">
          <w:pPr>
            <w:tabs>
              <w:tab w:val="right" w:pos="9639"/>
            </w:tabs>
            <w:spacing w:before="120" w:line="240" w:lineRule="exact"/>
          </w:pPr>
          <w:r>
            <w:rPr>
              <w:rFonts w:asciiTheme="majorHAnsi" w:hAnsiTheme="majorHAnsi" w:cs="Arial"/>
              <w:color w:val="FFFFFF" w:themeColor="background1"/>
              <w:sz w:val="18"/>
              <w:szCs w:val="18"/>
            </w:rPr>
            <w:t xml:space="preserve">© </w:t>
          </w:r>
          <w:hyperlink r:id="rId1">
            <w:r>
              <w:rPr>
                <w:rStyle w:val="ListLabel16"/>
              </w:rPr>
              <w:t>VCAA</w:t>
            </w:r>
          </w:hyperlink>
        </w:p>
      </w:tc>
      <w:tc>
        <w:tcPr>
          <w:tcW w:w="6415" w:type="dxa"/>
          <w:shd w:val="clear" w:color="auto" w:fill="auto"/>
        </w:tcPr>
        <w:p w14:paraId="475BFA7E" w14:textId="249F6C0A" w:rsidR="00CC407F" w:rsidRDefault="00CC407F" w:rsidP="00D66D63">
          <w:pPr>
            <w:tabs>
              <w:tab w:val="right" w:pos="9639"/>
            </w:tabs>
            <w:spacing w:before="120" w:line="240" w:lineRule="exact"/>
            <w:jc w:val="right"/>
            <w:rPr>
              <w:rFonts w:asciiTheme="majorHAnsi" w:hAnsiTheme="majorHAnsi" w:cs="Arial"/>
              <w:color w:val="999999" w:themeColor="accent2"/>
              <w:sz w:val="18"/>
              <w:szCs w:val="18"/>
            </w:rPr>
          </w:pPr>
        </w:p>
      </w:tc>
      <w:tc>
        <w:tcPr>
          <w:tcW w:w="3207" w:type="dxa"/>
          <w:shd w:val="clear" w:color="auto" w:fill="auto"/>
        </w:tcPr>
        <w:p w14:paraId="2EA58B37" w14:textId="77777777" w:rsidR="00CC407F" w:rsidRDefault="00CC407F">
          <w:pPr>
            <w:tabs>
              <w:tab w:val="right" w:pos="9639"/>
            </w:tabs>
            <w:spacing w:before="120" w:line="240" w:lineRule="exact"/>
            <w:jc w:val="right"/>
            <w:rPr>
              <w:rFonts w:asciiTheme="majorHAnsi" w:hAnsiTheme="majorHAnsi" w:cs="Arial"/>
              <w:color w:val="999999" w:themeColor="accent2"/>
              <w:sz w:val="18"/>
              <w:szCs w:val="18"/>
            </w:rPr>
          </w:pPr>
        </w:p>
      </w:tc>
    </w:tr>
  </w:tbl>
  <w:p w14:paraId="1FB369A5" w14:textId="1ADCD3AC" w:rsidR="00CC407F" w:rsidRDefault="00D66D63">
    <w:pPr>
      <w:pStyle w:val="Footer"/>
      <w:rPr>
        <w:sz w:val="2"/>
      </w:rPr>
    </w:pPr>
    <w:r>
      <w:rPr>
        <w:noProof/>
        <w:sz w:val="2"/>
        <w:lang w:eastAsia="en-AU"/>
      </w:rPr>
      <w:drawing>
        <wp:anchor distT="0" distB="0" distL="114300" distR="114300" simplePos="0" relativeHeight="7" behindDoc="1" locked="0" layoutInCell="1" allowOverlap="1" wp14:anchorId="55C2A0BF" wp14:editId="08A27960">
          <wp:simplePos x="0" y="0"/>
          <wp:positionH relativeFrom="page">
            <wp:align>left</wp:align>
          </wp:positionH>
          <wp:positionV relativeFrom="paragraph">
            <wp:posOffset>-355600</wp:posOffset>
          </wp:positionV>
          <wp:extent cx="7560310" cy="537845"/>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64" w:type="pct"/>
      <w:tblInd w:w="567" w:type="dxa"/>
      <w:tblCellMar>
        <w:left w:w="0" w:type="dxa"/>
        <w:right w:w="0" w:type="dxa"/>
      </w:tblCellMar>
      <w:tblLook w:val="04A0" w:firstRow="1" w:lastRow="0" w:firstColumn="1" w:lastColumn="0" w:noHBand="0" w:noVBand="1"/>
    </w:tblPr>
    <w:tblGrid>
      <w:gridCol w:w="2645"/>
      <w:gridCol w:w="6415"/>
      <w:gridCol w:w="3207"/>
    </w:tblGrid>
    <w:tr w:rsidR="00D66D63" w14:paraId="13AE49AC" w14:textId="77777777" w:rsidTr="00D66D63">
      <w:tc>
        <w:tcPr>
          <w:tcW w:w="2645" w:type="dxa"/>
          <w:shd w:val="clear" w:color="auto" w:fill="auto"/>
        </w:tcPr>
        <w:p w14:paraId="0C2F0E1D" w14:textId="77777777" w:rsidR="00D66D63" w:rsidRDefault="00D66D63">
          <w:pPr>
            <w:tabs>
              <w:tab w:val="right" w:pos="9639"/>
            </w:tabs>
            <w:spacing w:before="120" w:line="240" w:lineRule="exact"/>
          </w:pPr>
          <w:r>
            <w:rPr>
              <w:rFonts w:asciiTheme="majorHAnsi" w:hAnsiTheme="majorHAnsi" w:cs="Arial"/>
              <w:color w:val="FFFFFF" w:themeColor="background1"/>
              <w:sz w:val="18"/>
              <w:szCs w:val="18"/>
            </w:rPr>
            <w:t xml:space="preserve">© </w:t>
          </w:r>
          <w:hyperlink r:id="rId1">
            <w:r>
              <w:rPr>
                <w:rStyle w:val="ListLabel16"/>
              </w:rPr>
              <w:t>VCAA</w:t>
            </w:r>
          </w:hyperlink>
        </w:p>
      </w:tc>
      <w:tc>
        <w:tcPr>
          <w:tcW w:w="6415" w:type="dxa"/>
          <w:shd w:val="clear" w:color="auto" w:fill="auto"/>
        </w:tcPr>
        <w:p w14:paraId="043D2683" w14:textId="77777777" w:rsidR="00D66D63" w:rsidRDefault="00D66D63" w:rsidP="00D66D63">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sidRPr="00D66D63">
            <w:rPr>
              <w:rFonts w:asciiTheme="majorHAnsi" w:hAnsiTheme="majorHAnsi" w:cs="Arial"/>
              <w:color w:val="999999" w:themeColor="accent2"/>
              <w:sz w:val="18"/>
              <w:szCs w:val="18"/>
            </w:rPr>
            <w:fldChar w:fldCharType="begin"/>
          </w:r>
          <w:r w:rsidRPr="00D66D63">
            <w:rPr>
              <w:rFonts w:asciiTheme="majorHAnsi" w:hAnsiTheme="majorHAnsi" w:cs="Arial"/>
              <w:color w:val="999999" w:themeColor="accent2"/>
              <w:sz w:val="18"/>
              <w:szCs w:val="18"/>
            </w:rPr>
            <w:instrText xml:space="preserve"> PAGE   \* MERGEFORMAT </w:instrText>
          </w:r>
          <w:r w:rsidRPr="00D66D63">
            <w:rPr>
              <w:rFonts w:asciiTheme="majorHAnsi" w:hAnsiTheme="majorHAnsi" w:cs="Arial"/>
              <w:color w:val="999999" w:themeColor="accent2"/>
              <w:sz w:val="18"/>
              <w:szCs w:val="18"/>
            </w:rPr>
            <w:fldChar w:fldCharType="separate"/>
          </w:r>
          <w:r w:rsidRPr="00D66D63">
            <w:rPr>
              <w:rFonts w:asciiTheme="majorHAnsi" w:hAnsiTheme="majorHAnsi" w:cs="Arial"/>
              <w:noProof/>
              <w:color w:val="999999" w:themeColor="accent2"/>
              <w:sz w:val="18"/>
              <w:szCs w:val="18"/>
            </w:rPr>
            <w:t>1</w:t>
          </w:r>
          <w:r w:rsidRPr="00D66D63">
            <w:rPr>
              <w:rFonts w:asciiTheme="majorHAnsi" w:hAnsiTheme="majorHAnsi" w:cs="Arial"/>
              <w:noProof/>
              <w:color w:val="999999" w:themeColor="accent2"/>
              <w:sz w:val="18"/>
              <w:szCs w:val="18"/>
            </w:rPr>
            <w:fldChar w:fldCharType="end"/>
          </w:r>
        </w:p>
      </w:tc>
      <w:tc>
        <w:tcPr>
          <w:tcW w:w="3207" w:type="dxa"/>
          <w:shd w:val="clear" w:color="auto" w:fill="auto"/>
        </w:tcPr>
        <w:p w14:paraId="38FB1701" w14:textId="77777777" w:rsidR="00D66D63" w:rsidRDefault="00D66D63">
          <w:pPr>
            <w:tabs>
              <w:tab w:val="right" w:pos="9639"/>
            </w:tabs>
            <w:spacing w:before="120" w:line="240" w:lineRule="exact"/>
            <w:jc w:val="right"/>
            <w:rPr>
              <w:rFonts w:asciiTheme="majorHAnsi" w:hAnsiTheme="majorHAnsi" w:cs="Arial"/>
              <w:color w:val="999999" w:themeColor="accent2"/>
              <w:sz w:val="18"/>
              <w:szCs w:val="18"/>
            </w:rPr>
          </w:pPr>
        </w:p>
      </w:tc>
    </w:tr>
  </w:tbl>
  <w:p w14:paraId="204D09D4" w14:textId="77777777" w:rsidR="00D66D63" w:rsidRDefault="00D66D63">
    <w:pPr>
      <w:pStyle w:val="Footer"/>
      <w:rPr>
        <w:sz w:val="2"/>
      </w:rPr>
    </w:pPr>
    <w:r>
      <w:rPr>
        <w:noProof/>
        <w:sz w:val="2"/>
        <w:lang w:eastAsia="en-AU"/>
      </w:rPr>
      <w:drawing>
        <wp:anchor distT="0" distB="0" distL="114300" distR="114300" simplePos="0" relativeHeight="251659264" behindDoc="1" locked="0" layoutInCell="1" allowOverlap="1" wp14:anchorId="467EC249" wp14:editId="07F0542C">
          <wp:simplePos x="0" y="0"/>
          <wp:positionH relativeFrom="page">
            <wp:align>left</wp:align>
          </wp:positionH>
          <wp:positionV relativeFrom="paragraph">
            <wp:posOffset>-355600</wp:posOffset>
          </wp:positionV>
          <wp:extent cx="7560310" cy="537845"/>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9A236" w14:textId="77777777" w:rsidR="007F73BF" w:rsidRDefault="007F73BF">
      <w:r>
        <w:separator/>
      </w:r>
    </w:p>
  </w:footnote>
  <w:footnote w:type="continuationSeparator" w:id="0">
    <w:p w14:paraId="56E8D5B3" w14:textId="77777777" w:rsidR="007F73BF" w:rsidRDefault="007F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C831" w14:textId="77777777" w:rsidR="00CC407F" w:rsidRDefault="00CE26B1">
    <w:pPr>
      <w:ind w:right="-142"/>
      <w:jc w:val="right"/>
    </w:pPr>
    <w:r>
      <w:rPr>
        <w:noProof/>
        <w:lang w:eastAsia="en-AU"/>
      </w:rPr>
      <w:drawing>
        <wp:anchor distT="0" distB="0" distL="114300" distR="118110" simplePos="0" relativeHeight="4" behindDoc="1" locked="0" layoutInCell="1" allowOverlap="1" wp14:anchorId="318CFE59" wp14:editId="090667A3">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B3BA" w14:textId="474E4EA1" w:rsidR="00D66D63" w:rsidRDefault="00D66D63">
    <w:pPr>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64FA4"/>
    <w:multiLevelType w:val="multilevel"/>
    <w:tmpl w:val="0340F82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5B201165"/>
    <w:multiLevelType w:val="multilevel"/>
    <w:tmpl w:val="EFF08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7F"/>
    <w:rsid w:val="000F3080"/>
    <w:rsid w:val="003A5C69"/>
    <w:rsid w:val="00415670"/>
    <w:rsid w:val="00782396"/>
    <w:rsid w:val="007826F6"/>
    <w:rsid w:val="007F73BF"/>
    <w:rsid w:val="008F34FB"/>
    <w:rsid w:val="00960F50"/>
    <w:rsid w:val="00991A4D"/>
    <w:rsid w:val="00CC407F"/>
    <w:rsid w:val="00CE26B1"/>
    <w:rsid w:val="00D66D63"/>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470A"/>
  <w15:docId w15:val="{195CB51F-4DE4-4BD9-A5F4-3442885F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52"/>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heme="majorHAnsi" w:hAnsiTheme="majorHAnsi" w:cs="Arial"/>
      <w:color w:val="FFFFFF" w:themeColor="background1"/>
      <w:sz w:val="18"/>
      <w:szCs w:val="18"/>
      <w:u w:val="single"/>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heme="majorHAnsi" w:hAnsiTheme="majorHAnsi"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pPr>
  </w:style>
  <w:style w:type="paragraph" w:styleId="Footer">
    <w:name w:val="footer"/>
    <w:basedOn w:val="Normal"/>
    <w:link w:val="FooterChar"/>
    <w:uiPriority w:val="99"/>
    <w:semiHidden/>
    <w:rsid w:val="00304EA1"/>
    <w:pPr>
      <w:tabs>
        <w:tab w:val="center" w:pos="4513"/>
        <w:tab w:val="right" w:pos="9026"/>
      </w:tabs>
    </w:pPr>
  </w:style>
  <w:style w:type="paragraph" w:styleId="BalloonText">
    <w:name w:val="Balloon Text"/>
    <w:basedOn w:val="Normal"/>
    <w:link w:val="BalloonTextChar"/>
    <w:uiPriority w:val="99"/>
    <w:semiHidden/>
    <w:unhideWhenUsed/>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paragraph" w:styleId="CommentText">
    <w:name w:val="annotation text"/>
    <w:basedOn w:val="Normal"/>
    <w:link w:val="CommentTextChar"/>
    <w:uiPriority w:val="99"/>
    <w:semiHidden/>
    <w:unhideWhenUsed/>
    <w:qFormat/>
    <w:rsid w:val="009D0E9E"/>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DCA9F-3A50-4769-BFC9-CC4D43C611B1}">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0262E89-D6C4-4D60-8A26-04ECADBFA37F}"/>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Armenian oral examination report</dc:title>
  <dc:subject/>
  <dc:creator>vcaa@education.vic.gov.au</dc:creator>
  <cp:keywords>VCE; Victorian Certificate of Education; 2020; Armenian; examination report; VCAA; Victorian Curriculum and Assessment Authority</cp:keywords>
  <dc:description/>
  <cp:lastModifiedBy>Samantha Anderson 2</cp:lastModifiedBy>
  <cp:revision>2</cp:revision>
  <cp:lastPrinted>2015-05-15T02:36:00Z</cp:lastPrinted>
  <dcterms:created xsi:type="dcterms:W3CDTF">2021-05-10T03:47:00Z</dcterms:created>
  <dcterms:modified xsi:type="dcterms:W3CDTF">2021-05-10T03:47:00Z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