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368DCEF" w:rsidR="00F4525C" w:rsidRPr="006C3DFF" w:rsidRDefault="00024018" w:rsidP="009B61E5">
      <w:pPr>
        <w:pStyle w:val="VCAADocumenttitle"/>
        <w:rPr>
          <w:noProof w:val="0"/>
        </w:rPr>
      </w:pPr>
      <w:r w:rsidRPr="006C3DFF">
        <w:rPr>
          <w:noProof w:val="0"/>
        </w:rPr>
        <w:t>202</w:t>
      </w:r>
      <w:r w:rsidR="00F1508A" w:rsidRPr="006C3DFF">
        <w:rPr>
          <w:noProof w:val="0"/>
        </w:rPr>
        <w:t>2</w:t>
      </w:r>
      <w:r w:rsidRPr="006C3DFF">
        <w:rPr>
          <w:noProof w:val="0"/>
        </w:rPr>
        <w:t xml:space="preserve"> </w:t>
      </w:r>
      <w:r w:rsidR="009403B9" w:rsidRPr="006C3DFF">
        <w:rPr>
          <w:noProof w:val="0"/>
        </w:rPr>
        <w:t xml:space="preserve">VCE </w:t>
      </w:r>
      <w:r w:rsidR="00493A67" w:rsidRPr="006C3DFF">
        <w:rPr>
          <w:noProof w:val="0"/>
        </w:rPr>
        <w:t>Australian Politics</w:t>
      </w:r>
      <w:r w:rsidRPr="006C3DFF">
        <w:rPr>
          <w:noProof w:val="0"/>
        </w:rPr>
        <w:t xml:space="preserve"> </w:t>
      </w:r>
      <w:r w:rsidR="00F1508A" w:rsidRPr="006C3DFF">
        <w:rPr>
          <w:noProof w:val="0"/>
        </w:rPr>
        <w:t>external assessment</w:t>
      </w:r>
      <w:r w:rsidRPr="006C3DFF">
        <w:rPr>
          <w:noProof w:val="0"/>
        </w:rPr>
        <w:t xml:space="preserve"> report</w:t>
      </w:r>
    </w:p>
    <w:p w14:paraId="1F902DD4" w14:textId="350D8636" w:rsidR="006663C6" w:rsidRPr="006C3DFF" w:rsidRDefault="00024018" w:rsidP="00C35203">
      <w:pPr>
        <w:pStyle w:val="VCAAHeading1"/>
        <w:rPr>
          <w:lang w:val="en-AU"/>
        </w:rPr>
      </w:pPr>
      <w:bookmarkStart w:id="0" w:name="TemplateOverview"/>
      <w:bookmarkEnd w:id="0"/>
      <w:r w:rsidRPr="006C3DFF">
        <w:rPr>
          <w:lang w:val="en-AU"/>
        </w:rPr>
        <w:t>General comments</w:t>
      </w:r>
    </w:p>
    <w:p w14:paraId="327228C9" w14:textId="0AF71801" w:rsidR="00C46509" w:rsidRPr="006C3DFF" w:rsidRDefault="006C396C" w:rsidP="007D6A9B">
      <w:pPr>
        <w:pStyle w:val="VCAAbody"/>
        <w:rPr>
          <w:lang w:val="en-AU"/>
        </w:rPr>
      </w:pPr>
      <w:r w:rsidRPr="006C3DFF">
        <w:rPr>
          <w:lang w:val="en-AU"/>
        </w:rPr>
        <w:t xml:space="preserve">In the 2022 </w:t>
      </w:r>
      <w:r w:rsidR="00204E86" w:rsidRPr="006C3DFF">
        <w:rPr>
          <w:lang w:val="en-AU"/>
        </w:rPr>
        <w:t xml:space="preserve">VCE </w:t>
      </w:r>
      <w:r w:rsidRPr="006C3DFF">
        <w:rPr>
          <w:lang w:val="en-AU"/>
        </w:rPr>
        <w:t xml:space="preserve">Australian Politics examination, students displayed a pleasing </w:t>
      </w:r>
      <w:r w:rsidR="007D6A9B" w:rsidRPr="006C3DFF">
        <w:rPr>
          <w:lang w:val="en-AU"/>
        </w:rPr>
        <w:t>level</w:t>
      </w:r>
      <w:r w:rsidRPr="006C3DFF">
        <w:rPr>
          <w:lang w:val="en-AU"/>
        </w:rPr>
        <w:t xml:space="preserve"> of engagement with </w:t>
      </w:r>
      <w:r w:rsidR="007D6A9B" w:rsidRPr="006C3DFF">
        <w:rPr>
          <w:lang w:val="en-AU"/>
        </w:rPr>
        <w:t>contemporary events and trends</w:t>
      </w:r>
      <w:r w:rsidR="002B254A" w:rsidRPr="006C3DFF">
        <w:rPr>
          <w:lang w:val="en-AU"/>
        </w:rPr>
        <w:t>.</w:t>
      </w:r>
      <w:r w:rsidR="007D6A9B" w:rsidRPr="006C3DFF">
        <w:rPr>
          <w:lang w:val="en-AU"/>
        </w:rPr>
        <w:t xml:space="preserve"> </w:t>
      </w:r>
    </w:p>
    <w:p w14:paraId="0A3C0E42" w14:textId="0590D6EF" w:rsidR="003F2636" w:rsidRPr="006C3DFF" w:rsidRDefault="007D6A9B" w:rsidP="007D6A9B">
      <w:pPr>
        <w:pStyle w:val="VCAAbody"/>
        <w:rPr>
          <w:lang w:val="en-AU"/>
        </w:rPr>
      </w:pPr>
      <w:r w:rsidRPr="006C3DFF">
        <w:rPr>
          <w:lang w:val="en-AU"/>
        </w:rPr>
        <w:t xml:space="preserve">VCE Australian Politics is a contemporary study and </w:t>
      </w:r>
      <w:r w:rsidR="00C46509" w:rsidRPr="006C3DFF">
        <w:rPr>
          <w:lang w:val="en-AU"/>
        </w:rPr>
        <w:t xml:space="preserve">the </w:t>
      </w:r>
      <w:r w:rsidRPr="006C3DFF">
        <w:rPr>
          <w:lang w:val="en-AU"/>
        </w:rPr>
        <w:t xml:space="preserve">focus must be on examples and case studies from within the last 10 years. To this end, many students </w:t>
      </w:r>
      <w:r w:rsidR="006B69AE" w:rsidRPr="006C3DFF">
        <w:rPr>
          <w:lang w:val="en-AU"/>
        </w:rPr>
        <w:t>referred</w:t>
      </w:r>
      <w:r w:rsidRPr="006C3DFF">
        <w:rPr>
          <w:lang w:val="en-AU"/>
        </w:rPr>
        <w:t xml:space="preserve"> to the 2022 </w:t>
      </w:r>
      <w:r w:rsidR="00C46509" w:rsidRPr="006C3DFF">
        <w:rPr>
          <w:lang w:val="en-AU"/>
        </w:rPr>
        <w:t>f</w:t>
      </w:r>
      <w:r w:rsidRPr="006C3DFF">
        <w:rPr>
          <w:lang w:val="en-AU"/>
        </w:rPr>
        <w:t xml:space="preserve">ederal </w:t>
      </w:r>
      <w:r w:rsidR="00C46509" w:rsidRPr="006C3DFF">
        <w:rPr>
          <w:lang w:val="en-AU"/>
        </w:rPr>
        <w:t>e</w:t>
      </w:r>
      <w:r w:rsidRPr="006C3DFF">
        <w:rPr>
          <w:lang w:val="en-AU"/>
        </w:rPr>
        <w:t xml:space="preserve">lection, the agenda of the Albanese government, recent landmark US Supreme Court rulings, and Australia’s policy responses to </w:t>
      </w:r>
      <w:r w:rsidR="006B69AE" w:rsidRPr="006C3DFF">
        <w:rPr>
          <w:lang w:val="en-AU"/>
        </w:rPr>
        <w:t xml:space="preserve">current national and global events and circumstances. Those students who relied on examples from </w:t>
      </w:r>
      <w:r w:rsidR="00BD3CF3" w:rsidRPr="006C3DFF">
        <w:rPr>
          <w:lang w:val="en-AU"/>
        </w:rPr>
        <w:t>the Rudd and Gillard government era</w:t>
      </w:r>
      <w:r w:rsidR="006B69AE" w:rsidRPr="006C3DFF">
        <w:rPr>
          <w:lang w:val="en-AU"/>
        </w:rPr>
        <w:t xml:space="preserve"> </w:t>
      </w:r>
      <w:r w:rsidR="00BD3CF3" w:rsidRPr="006C3DFF">
        <w:rPr>
          <w:lang w:val="en-AU"/>
        </w:rPr>
        <w:t>did not</w:t>
      </w:r>
      <w:r w:rsidR="006B69AE" w:rsidRPr="006C3DFF">
        <w:rPr>
          <w:lang w:val="en-AU"/>
        </w:rPr>
        <w:t xml:space="preserve"> show an awareness of current political affairs, which remains </w:t>
      </w:r>
      <w:r w:rsidR="00915FFD" w:rsidRPr="006C3DFF">
        <w:rPr>
          <w:lang w:val="en-AU"/>
        </w:rPr>
        <w:t xml:space="preserve">vital </w:t>
      </w:r>
      <w:r w:rsidR="006B69AE" w:rsidRPr="006C3DFF">
        <w:rPr>
          <w:lang w:val="en-AU"/>
        </w:rPr>
        <w:t>to success in this subject.</w:t>
      </w:r>
    </w:p>
    <w:p w14:paraId="745D642B" w14:textId="6555E3A1" w:rsidR="006B69AE" w:rsidRPr="006C3DFF" w:rsidRDefault="006B69AE" w:rsidP="007D6A9B">
      <w:pPr>
        <w:pStyle w:val="VCAAbody"/>
        <w:rPr>
          <w:lang w:val="en-AU"/>
        </w:rPr>
      </w:pPr>
      <w:r w:rsidRPr="006C3DFF">
        <w:rPr>
          <w:lang w:val="en-AU"/>
        </w:rPr>
        <w:t>The examination consisted of two sections.</w:t>
      </w:r>
    </w:p>
    <w:p w14:paraId="2B0A80C4" w14:textId="729304BC" w:rsidR="006B69AE" w:rsidRPr="006C3DFF" w:rsidRDefault="006B69AE" w:rsidP="000202B8">
      <w:pPr>
        <w:pStyle w:val="VCAAbullet"/>
        <w:rPr>
          <w:lang w:val="en-AU"/>
        </w:rPr>
      </w:pPr>
      <w:r w:rsidRPr="006C3DFF">
        <w:rPr>
          <w:lang w:val="en-AU"/>
        </w:rPr>
        <w:t xml:space="preserve">Section A comprised 12 short-answer and extended-answer questions, including two questions with multiple parts. Students were required to answer all questions; however, some students left answers blank. </w:t>
      </w:r>
    </w:p>
    <w:p w14:paraId="7706164E" w14:textId="1E84A21E" w:rsidR="006B69AE" w:rsidRPr="006C3DFF" w:rsidRDefault="006B69AE" w:rsidP="000202B8">
      <w:pPr>
        <w:pStyle w:val="VCAAbullet"/>
        <w:rPr>
          <w:lang w:val="en-AU"/>
        </w:rPr>
      </w:pPr>
      <w:r w:rsidRPr="006C3DFF">
        <w:rPr>
          <w:lang w:val="en-AU"/>
        </w:rPr>
        <w:t>Section B consisted of four essay questions – one for each area of study. Students were required to answer one of these essay questions.</w:t>
      </w:r>
    </w:p>
    <w:p w14:paraId="614C265F" w14:textId="49B2989B" w:rsidR="006B69AE" w:rsidRPr="006C3DFF" w:rsidRDefault="00CC14BA" w:rsidP="006B69AE">
      <w:pPr>
        <w:pStyle w:val="VCAAbody"/>
        <w:rPr>
          <w:lang w:val="en-AU"/>
        </w:rPr>
      </w:pPr>
      <w:r w:rsidRPr="006C3DFF">
        <w:rPr>
          <w:lang w:val="en-AU"/>
        </w:rPr>
        <w:t>Many students wrote length</w:t>
      </w:r>
      <w:r w:rsidR="002B254A" w:rsidRPr="006C3DFF">
        <w:rPr>
          <w:lang w:val="en-AU"/>
        </w:rPr>
        <w:t>y responses</w:t>
      </w:r>
      <w:r w:rsidRPr="006C3DFF">
        <w:rPr>
          <w:lang w:val="en-AU"/>
        </w:rPr>
        <w:t xml:space="preserve"> throughout the examination. </w:t>
      </w:r>
      <w:r w:rsidR="00915FFD" w:rsidRPr="006C3DFF">
        <w:rPr>
          <w:lang w:val="en-AU"/>
        </w:rPr>
        <w:t>A</w:t>
      </w:r>
      <w:r w:rsidRPr="006C3DFF">
        <w:rPr>
          <w:lang w:val="en-AU"/>
        </w:rPr>
        <w:t xml:space="preserve"> common practice </w:t>
      </w:r>
      <w:r w:rsidR="00915FFD" w:rsidRPr="006C3DFF">
        <w:rPr>
          <w:lang w:val="en-AU"/>
        </w:rPr>
        <w:t xml:space="preserve">was </w:t>
      </w:r>
      <w:r w:rsidRPr="006C3DFF">
        <w:rPr>
          <w:lang w:val="en-AU"/>
        </w:rPr>
        <w:t xml:space="preserve">unnecessary </w:t>
      </w:r>
      <w:r w:rsidR="002B254A" w:rsidRPr="006C3DFF">
        <w:rPr>
          <w:lang w:val="en-AU"/>
        </w:rPr>
        <w:t>repetition</w:t>
      </w:r>
      <w:r w:rsidRPr="006C3DFF">
        <w:rPr>
          <w:lang w:val="en-AU"/>
        </w:rPr>
        <w:t xml:space="preserve"> of questions within student responses, which exhausted the allocated writing space and pushed students to use the extra space. Students are reminded to take note of the number of marks </w:t>
      </w:r>
      <w:r w:rsidR="009B726D" w:rsidRPr="006C3DFF">
        <w:rPr>
          <w:lang w:val="en-AU"/>
        </w:rPr>
        <w:t>allocated</w:t>
      </w:r>
      <w:r w:rsidRPr="006C3DFF">
        <w:rPr>
          <w:lang w:val="en-AU"/>
        </w:rPr>
        <w:t xml:space="preserve"> to each question and to write a response of an appropriate length. Where extra space is required for the completion of Section A questions, students must ensure that they use the pages allocated for this purpose at the back of the examination booklet, not the pages allocated to their Section B essay response.</w:t>
      </w:r>
      <w:r w:rsidR="002B254A" w:rsidRPr="006C3DFF">
        <w:rPr>
          <w:lang w:val="en-AU"/>
        </w:rPr>
        <w:t xml:space="preserve"> </w:t>
      </w:r>
      <w:r w:rsidR="00915FFD" w:rsidRPr="006C3DFF">
        <w:rPr>
          <w:lang w:val="en-AU"/>
        </w:rPr>
        <w:t>S</w:t>
      </w:r>
      <w:r w:rsidR="002B254A" w:rsidRPr="006C3DFF">
        <w:rPr>
          <w:lang w:val="en-AU"/>
        </w:rPr>
        <w:t>tudents</w:t>
      </w:r>
      <w:r w:rsidR="00915FFD" w:rsidRPr="006C3DFF">
        <w:rPr>
          <w:lang w:val="en-AU"/>
        </w:rPr>
        <w:t xml:space="preserve"> who</w:t>
      </w:r>
      <w:r w:rsidR="002B254A" w:rsidRPr="006C3DFF">
        <w:rPr>
          <w:lang w:val="en-AU"/>
        </w:rPr>
        <w:t xml:space="preserve"> use the pages at the back </w:t>
      </w:r>
      <w:r w:rsidR="00D81C70" w:rsidRPr="006C3DFF">
        <w:rPr>
          <w:lang w:val="en-AU"/>
        </w:rPr>
        <w:t>of</w:t>
      </w:r>
      <w:r w:rsidR="002B254A" w:rsidRPr="006C3DFF">
        <w:rPr>
          <w:lang w:val="en-AU"/>
        </w:rPr>
        <w:t xml:space="preserve"> the booklet must</w:t>
      </w:r>
      <w:r w:rsidR="00915FFD" w:rsidRPr="006C3DFF">
        <w:rPr>
          <w:lang w:val="en-AU"/>
        </w:rPr>
        <w:t xml:space="preserve"> clearly label</w:t>
      </w:r>
      <w:r w:rsidR="002B254A" w:rsidRPr="006C3DFF">
        <w:rPr>
          <w:lang w:val="en-AU"/>
        </w:rPr>
        <w:t xml:space="preserve"> the question number at the start of their response.</w:t>
      </w:r>
    </w:p>
    <w:p w14:paraId="58B22893" w14:textId="1AE850A2" w:rsidR="001E438C" w:rsidRPr="006C3DFF" w:rsidRDefault="001D6D72" w:rsidP="006B69AE">
      <w:pPr>
        <w:pStyle w:val="VCAAbody"/>
        <w:rPr>
          <w:lang w:val="en-AU"/>
        </w:rPr>
      </w:pPr>
      <w:r w:rsidRPr="006C3DFF">
        <w:rPr>
          <w:lang w:val="en-AU"/>
        </w:rPr>
        <w:t xml:space="preserve">Students need to develop a clear understanding of </w:t>
      </w:r>
      <w:r w:rsidR="00C252A7" w:rsidRPr="006C3DFF">
        <w:rPr>
          <w:lang w:val="en-AU"/>
        </w:rPr>
        <w:t>how to</w:t>
      </w:r>
      <w:r w:rsidRPr="006C3DFF">
        <w:rPr>
          <w:lang w:val="en-AU"/>
        </w:rPr>
        <w:t xml:space="preserve"> respond appropriately to questions containing different command/task words. </w:t>
      </w:r>
      <w:r w:rsidR="00C252A7" w:rsidRPr="006C3DFF">
        <w:rPr>
          <w:lang w:val="en-AU"/>
        </w:rPr>
        <w:t>A low-order command such as ‘state’ in Question 1a</w:t>
      </w:r>
      <w:r w:rsidR="00B063AD" w:rsidRPr="006C3DFF">
        <w:rPr>
          <w:lang w:val="en-AU"/>
        </w:rPr>
        <w:t>.</w:t>
      </w:r>
      <w:r w:rsidR="00C252A7" w:rsidRPr="006C3DFF">
        <w:rPr>
          <w:lang w:val="en-AU"/>
        </w:rPr>
        <w:t xml:space="preserve"> requires no elaboration or illustration. A command such as ‘discuss’ in Questions 5 and 8 requires more than a simple description or explanation, and might involve looking at both sides of an argument</w:t>
      </w:r>
      <w:r w:rsidR="006C3DFF">
        <w:rPr>
          <w:lang w:val="en-AU"/>
        </w:rPr>
        <w:t>,</w:t>
      </w:r>
      <w:r w:rsidR="00C252A7" w:rsidRPr="006C3DFF">
        <w:rPr>
          <w:lang w:val="en-AU"/>
        </w:rPr>
        <w:t xml:space="preserve"> or offering interconnected or contrasting examples. The high-order command ‘</w:t>
      </w:r>
      <w:proofErr w:type="gramStart"/>
      <w:r w:rsidR="00C252A7" w:rsidRPr="006C3DFF">
        <w:rPr>
          <w:lang w:val="en-AU"/>
        </w:rPr>
        <w:t>evaluate</w:t>
      </w:r>
      <w:proofErr w:type="gramEnd"/>
      <w:r w:rsidR="00C252A7" w:rsidRPr="006C3DFF">
        <w:rPr>
          <w:lang w:val="en-AU"/>
        </w:rPr>
        <w:t xml:space="preserve">’ in Questions 9 and 12 requires analysis </w:t>
      </w:r>
      <w:r w:rsidR="00C252A7" w:rsidRPr="006C3DFF">
        <w:rPr>
          <w:i/>
          <w:lang w:val="en-AU"/>
        </w:rPr>
        <w:t>and</w:t>
      </w:r>
      <w:r w:rsidR="00C252A7" w:rsidRPr="006C3DFF">
        <w:rPr>
          <w:lang w:val="en-AU"/>
        </w:rPr>
        <w:t xml:space="preserve"> appraisal</w:t>
      </w:r>
      <w:r w:rsidR="001E438C" w:rsidRPr="006C3DFF">
        <w:rPr>
          <w:lang w:val="en-AU"/>
        </w:rPr>
        <w:t xml:space="preserve">. That is, to evaluate students need to break an issue down into its component parts, discuss them and show how they interrelate, look for strengths and weaknesses or advantages and disadvantages – best achieved through use of examples or evidence – and present a judgment based on their analysis. Some ‘analyse’ questions </w:t>
      </w:r>
      <w:r w:rsidR="00915FFD" w:rsidRPr="006C3DFF">
        <w:rPr>
          <w:lang w:val="en-AU"/>
        </w:rPr>
        <w:t>also oblige</w:t>
      </w:r>
      <w:r w:rsidR="001E438C" w:rsidRPr="006C3DFF">
        <w:rPr>
          <w:lang w:val="en-AU"/>
        </w:rPr>
        <w:t xml:space="preserve"> the student to make a judgment. For example, Question 6 required students to ‘analyse</w:t>
      </w:r>
      <w:r w:rsidR="00B063AD" w:rsidRPr="006C3DFF">
        <w:rPr>
          <w:lang w:val="en-AU"/>
        </w:rPr>
        <w:t xml:space="preserve"> </w:t>
      </w:r>
      <w:r w:rsidR="001E438C" w:rsidRPr="006C3DFF">
        <w:rPr>
          <w:lang w:val="en-AU"/>
        </w:rPr>
        <w:t xml:space="preserve">… the effectiveness’ and Question 11 asked students to ‘analyse the importance’. Teachers and students are reminded to practise questions with a range of task words as part of </w:t>
      </w:r>
      <w:r w:rsidR="000C1E18" w:rsidRPr="006C3DFF">
        <w:rPr>
          <w:lang w:val="en-AU"/>
        </w:rPr>
        <w:t>their</w:t>
      </w:r>
      <w:r w:rsidR="001E438C" w:rsidRPr="006C3DFF">
        <w:rPr>
          <w:lang w:val="en-AU"/>
        </w:rPr>
        <w:t xml:space="preserve"> examination preparation.</w:t>
      </w:r>
      <w:r w:rsidR="00FA36B9" w:rsidRPr="006C3DFF">
        <w:rPr>
          <w:lang w:val="en-AU"/>
        </w:rPr>
        <w:t xml:space="preserve"> Students </w:t>
      </w:r>
      <w:r w:rsidR="007E13BB" w:rsidRPr="006C3DFF">
        <w:rPr>
          <w:lang w:val="en-AU"/>
        </w:rPr>
        <w:t xml:space="preserve">should </w:t>
      </w:r>
      <w:r w:rsidR="00FA36B9" w:rsidRPr="006C3DFF">
        <w:rPr>
          <w:lang w:val="en-AU"/>
        </w:rPr>
        <w:t xml:space="preserve">refer to the </w:t>
      </w:r>
      <w:hyperlink r:id="rId8" w:history="1">
        <w:r w:rsidR="00B22B10" w:rsidRPr="006C3DFF">
          <w:rPr>
            <w:rStyle w:val="Hyperlink"/>
            <w:lang w:val="en-AU"/>
          </w:rPr>
          <w:t>g</w:t>
        </w:r>
        <w:r w:rsidR="00FA36B9" w:rsidRPr="006C3DFF">
          <w:rPr>
            <w:rStyle w:val="Hyperlink"/>
            <w:lang w:val="en-AU"/>
          </w:rPr>
          <w:t xml:space="preserve">lossary of </w:t>
        </w:r>
        <w:r w:rsidR="00B22B10" w:rsidRPr="006C3DFF">
          <w:rPr>
            <w:rStyle w:val="Hyperlink"/>
            <w:lang w:val="en-AU"/>
          </w:rPr>
          <w:t>c</w:t>
        </w:r>
        <w:r w:rsidR="00FA36B9" w:rsidRPr="006C3DFF">
          <w:rPr>
            <w:rStyle w:val="Hyperlink"/>
            <w:lang w:val="en-AU"/>
          </w:rPr>
          <w:t>ommand terms</w:t>
        </w:r>
      </w:hyperlink>
      <w:r w:rsidR="00FA36B9" w:rsidRPr="006C3DFF">
        <w:rPr>
          <w:lang w:val="en-AU"/>
        </w:rPr>
        <w:t xml:space="preserve"> on the </w:t>
      </w:r>
      <w:r w:rsidR="00B22B10" w:rsidRPr="006C3DFF">
        <w:rPr>
          <w:lang w:val="en-AU"/>
        </w:rPr>
        <w:t>VCAA website.</w:t>
      </w:r>
    </w:p>
    <w:p w14:paraId="512E65C3" w14:textId="6563221D" w:rsidR="00C252A7" w:rsidRPr="006C3DFF" w:rsidRDefault="001E438C" w:rsidP="006B69AE">
      <w:pPr>
        <w:pStyle w:val="VCAAbody"/>
        <w:rPr>
          <w:lang w:val="en-AU"/>
        </w:rPr>
      </w:pPr>
      <w:r w:rsidRPr="006C3DFF">
        <w:rPr>
          <w:lang w:val="en-AU"/>
        </w:rPr>
        <w:t xml:space="preserve">Some multi-faceted questions </w:t>
      </w:r>
      <w:r w:rsidR="00AF57B4" w:rsidRPr="006C3DFF">
        <w:rPr>
          <w:lang w:val="en-AU"/>
        </w:rPr>
        <w:t>proved challenging. Students need to</w:t>
      </w:r>
      <w:r w:rsidR="000C1E18" w:rsidRPr="006C3DFF">
        <w:rPr>
          <w:lang w:val="en-AU"/>
        </w:rPr>
        <w:t xml:space="preserve"> read questions carefully, identify each question’s different components, and ensure that they answer </w:t>
      </w:r>
      <w:r w:rsidR="00EB2489" w:rsidRPr="006C3DFF">
        <w:rPr>
          <w:lang w:val="en-AU"/>
        </w:rPr>
        <w:t>each</w:t>
      </w:r>
      <w:r w:rsidR="000C1E18" w:rsidRPr="006C3DFF">
        <w:rPr>
          <w:lang w:val="en-AU"/>
        </w:rPr>
        <w:t xml:space="preserve"> question in its entirety. </w:t>
      </w:r>
      <w:r w:rsidR="00EB2489" w:rsidRPr="006C3DFF">
        <w:rPr>
          <w:lang w:val="en-AU"/>
        </w:rPr>
        <w:t xml:space="preserve">Students must take </w:t>
      </w:r>
      <w:r w:rsidR="00AF57B4" w:rsidRPr="006C3DFF">
        <w:rPr>
          <w:lang w:val="en-AU"/>
        </w:rPr>
        <w:t>particular note of plurals (such as ‘impact</w:t>
      </w:r>
      <w:r w:rsidR="00AF57B4" w:rsidRPr="006C3DFF">
        <w:rPr>
          <w:i/>
          <w:lang w:val="en-AU"/>
        </w:rPr>
        <w:t>s</w:t>
      </w:r>
      <w:r w:rsidR="00AF57B4" w:rsidRPr="006C3DFF">
        <w:rPr>
          <w:lang w:val="en-AU"/>
        </w:rPr>
        <w:t>’</w:t>
      </w:r>
      <w:r w:rsidR="00EB2489" w:rsidRPr="006C3DFF">
        <w:rPr>
          <w:lang w:val="en-AU"/>
        </w:rPr>
        <w:t xml:space="preserve"> in Question 3), the use of the word ‘and’ (</w:t>
      </w:r>
      <w:r w:rsidR="00AF57B4" w:rsidRPr="006C3DFF">
        <w:rPr>
          <w:lang w:val="en-AU"/>
        </w:rPr>
        <w:t xml:space="preserve">such as </w:t>
      </w:r>
      <w:r w:rsidR="00AF57B4" w:rsidRPr="006C3DFF">
        <w:rPr>
          <w:lang w:val="en-AU"/>
        </w:rPr>
        <w:lastRenderedPageBreak/>
        <w:t xml:space="preserve">‘formulation </w:t>
      </w:r>
      <w:r w:rsidR="00AF57B4" w:rsidRPr="006C3DFF">
        <w:rPr>
          <w:i/>
          <w:lang w:val="en-AU"/>
        </w:rPr>
        <w:t>and</w:t>
      </w:r>
      <w:r w:rsidR="00AF57B4" w:rsidRPr="006C3DFF">
        <w:rPr>
          <w:lang w:val="en-AU"/>
        </w:rPr>
        <w:t xml:space="preserve"> implementation’ in Question 9), the </w:t>
      </w:r>
      <w:r w:rsidR="00463C8D" w:rsidRPr="006C3DFF">
        <w:rPr>
          <w:lang w:val="en-AU"/>
        </w:rPr>
        <w:t>mandated</w:t>
      </w:r>
      <w:r w:rsidR="00AF57B4" w:rsidRPr="006C3DFF">
        <w:rPr>
          <w:lang w:val="en-AU"/>
        </w:rPr>
        <w:t xml:space="preserve"> use of contemporary examples, and numbers of factors required, which are usually specified in bold.</w:t>
      </w:r>
    </w:p>
    <w:p w14:paraId="03628958" w14:textId="053AC495" w:rsidR="00CC14BA" w:rsidRPr="006C3DFF" w:rsidRDefault="00CC14BA" w:rsidP="006B69AE">
      <w:pPr>
        <w:pStyle w:val="VCAAbody"/>
        <w:rPr>
          <w:lang w:val="en-AU"/>
        </w:rPr>
      </w:pPr>
      <w:r w:rsidRPr="006C3DFF">
        <w:rPr>
          <w:lang w:val="en-AU"/>
        </w:rPr>
        <w:t xml:space="preserve">Handwriting legibility was again a significant issue in 2022. </w:t>
      </w:r>
      <w:r w:rsidR="00917526" w:rsidRPr="006C3DFF">
        <w:rPr>
          <w:lang w:val="en-AU"/>
        </w:rPr>
        <w:t xml:space="preserve">Students and teachers are encouraged to undertake regular in-class practice of clear, legible handwriting to ensure that students are not disadvantaged by their examination responses being </w:t>
      </w:r>
      <w:r w:rsidR="00C46509" w:rsidRPr="006C3DFF">
        <w:rPr>
          <w:lang w:val="en-AU"/>
        </w:rPr>
        <w:t>unreadable</w:t>
      </w:r>
      <w:r w:rsidR="00917526" w:rsidRPr="006C3DFF">
        <w:rPr>
          <w:lang w:val="en-AU"/>
        </w:rPr>
        <w:t>.</w:t>
      </w:r>
    </w:p>
    <w:p w14:paraId="0BAC458B" w14:textId="3A9447BE" w:rsidR="00A62F9F" w:rsidRPr="006C3DFF" w:rsidRDefault="009B726D" w:rsidP="008468E3">
      <w:pPr>
        <w:pStyle w:val="VCAAbody"/>
        <w:rPr>
          <w:lang w:val="en-AU"/>
        </w:rPr>
      </w:pPr>
      <w:r w:rsidRPr="006C3DFF">
        <w:rPr>
          <w:lang w:val="en-AU"/>
        </w:rPr>
        <w:t xml:space="preserve">One issue of concern that was apparent this year was some weakness in students’ understanding of the </w:t>
      </w:r>
      <w:r w:rsidR="00E2090E" w:rsidRPr="006C3DFF">
        <w:rPr>
          <w:lang w:val="en-AU"/>
        </w:rPr>
        <w:t>core</w:t>
      </w:r>
      <w:r w:rsidR="00A62F9F" w:rsidRPr="006C3DFF">
        <w:rPr>
          <w:lang w:val="en-AU"/>
        </w:rPr>
        <w:t xml:space="preserve"> values and principles</w:t>
      </w:r>
      <w:r w:rsidRPr="006C3DFF">
        <w:rPr>
          <w:lang w:val="en-AU"/>
        </w:rPr>
        <w:t xml:space="preserve"> that underpin Australia’s </w:t>
      </w:r>
      <w:r w:rsidR="00E2090E" w:rsidRPr="006C3DFF">
        <w:rPr>
          <w:lang w:val="en-AU"/>
        </w:rPr>
        <w:t>political system</w:t>
      </w:r>
      <w:r w:rsidRPr="006C3DFF">
        <w:rPr>
          <w:lang w:val="en-AU"/>
        </w:rPr>
        <w:t>. These values and principles</w:t>
      </w:r>
      <w:r w:rsidR="00627E88" w:rsidRPr="006C3DFF">
        <w:rPr>
          <w:lang w:val="en-AU"/>
        </w:rPr>
        <w:t xml:space="preserve">, such as popular sovereignty, representative government and responsible government, </w:t>
      </w:r>
      <w:r w:rsidR="00E2090E" w:rsidRPr="006C3DFF">
        <w:rPr>
          <w:lang w:val="en-AU"/>
        </w:rPr>
        <w:t>are an integral part of the study design included in Unit 3 Area of Study 1. They not only underpin Australia’s liberal democracy; they underpin the entirety of VCE Units 3 and 4 Australian Politics.</w:t>
      </w:r>
    </w:p>
    <w:p w14:paraId="29027E3E" w14:textId="2708DF1E" w:rsidR="00B62480" w:rsidRPr="006C3DFF" w:rsidRDefault="00024018" w:rsidP="00350651">
      <w:pPr>
        <w:pStyle w:val="VCAAHeading1"/>
        <w:rPr>
          <w:lang w:val="en-AU"/>
        </w:rPr>
      </w:pPr>
      <w:r w:rsidRPr="006C3DFF">
        <w:rPr>
          <w:lang w:val="en-AU"/>
        </w:rPr>
        <w:t>Specific information</w:t>
      </w:r>
    </w:p>
    <w:p w14:paraId="31E0C784" w14:textId="77777777" w:rsidR="004B2746" w:rsidRPr="006C3DFF" w:rsidRDefault="004B2746" w:rsidP="000202B8">
      <w:pPr>
        <w:pStyle w:val="VCAAbody"/>
        <w:rPr>
          <w:lang w:val="en-AU"/>
        </w:rPr>
      </w:pPr>
      <w:r w:rsidRPr="006C3DFF">
        <w:rPr>
          <w:lang w:val="en-AU"/>
        </w:rPr>
        <w:t>Note: Student responses reproduced in this report have not been corrected for grammar, spelling or factual information.</w:t>
      </w:r>
    </w:p>
    <w:p w14:paraId="4570CF80" w14:textId="18D01D04" w:rsidR="00B5443D" w:rsidRPr="006C3DFF" w:rsidRDefault="00B5443D" w:rsidP="00B5443D">
      <w:pPr>
        <w:pStyle w:val="VCAAbody"/>
        <w:rPr>
          <w:lang w:val="en-AU"/>
        </w:rPr>
      </w:pPr>
      <w:r w:rsidRPr="006C3DFF">
        <w:rPr>
          <w:lang w:val="en-AU"/>
        </w:rPr>
        <w:t>This report provides sample answers or an indication of what answers may have included. Unless otherwise stated, these are not intended to be e</w:t>
      </w:r>
      <w:r w:rsidR="00463C8D" w:rsidRPr="006C3DFF">
        <w:rPr>
          <w:lang w:val="en-AU"/>
        </w:rPr>
        <w:t>xemplary or complete responses.</w:t>
      </w:r>
    </w:p>
    <w:p w14:paraId="65B22DA8" w14:textId="7205B067" w:rsidR="00B5443D" w:rsidRPr="006C3DFF" w:rsidRDefault="00B5443D" w:rsidP="00B5443D">
      <w:pPr>
        <w:pStyle w:val="VCAAbody"/>
        <w:rPr>
          <w:lang w:val="en-AU"/>
        </w:rPr>
      </w:pPr>
      <w:r w:rsidRPr="006C3DFF">
        <w:rPr>
          <w:lang w:val="en-AU"/>
        </w:rPr>
        <w:t>The statistics in this report may be subject to rounding</w:t>
      </w:r>
      <w:r w:rsidR="007504A3">
        <w:rPr>
          <w:lang w:val="en-AU"/>
        </w:rPr>
        <w:t>,</w:t>
      </w:r>
      <w:r w:rsidRPr="006C3DFF">
        <w:rPr>
          <w:lang w:val="en-AU"/>
        </w:rPr>
        <w:t xml:space="preserve"> resulting in a total </w:t>
      </w:r>
      <w:r w:rsidR="007504A3">
        <w:rPr>
          <w:lang w:val="en-AU"/>
        </w:rPr>
        <w:t xml:space="preserve">of </w:t>
      </w:r>
      <w:r w:rsidRPr="006C3DFF">
        <w:rPr>
          <w:lang w:val="en-AU"/>
        </w:rPr>
        <w:t>more or less than 100 per cent.</w:t>
      </w:r>
    </w:p>
    <w:p w14:paraId="72595300" w14:textId="48BC3482" w:rsidR="0044213C" w:rsidRPr="006C3DFF" w:rsidRDefault="00F06317" w:rsidP="000202B8">
      <w:pPr>
        <w:pStyle w:val="VCAAHeading2"/>
        <w:rPr>
          <w:lang w:val="en-AU"/>
        </w:rPr>
      </w:pPr>
      <w:r w:rsidRPr="006C3DFF">
        <w:rPr>
          <w:lang w:val="en-AU"/>
        </w:rPr>
        <w:t>Section A</w:t>
      </w:r>
    </w:p>
    <w:p w14:paraId="77374ABF" w14:textId="280BFB04" w:rsidR="00F06317" w:rsidRPr="006C3DFF" w:rsidRDefault="00F06317">
      <w:pPr>
        <w:pStyle w:val="VCAAHeading3"/>
        <w:rPr>
          <w:lang w:val="en-AU"/>
        </w:rPr>
      </w:pPr>
      <w:r w:rsidRPr="006C3DFF">
        <w:rPr>
          <w:lang w:val="en-AU"/>
        </w:rPr>
        <w:t>Question 1a.</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864"/>
      </w:tblGrid>
      <w:tr w:rsidR="00204E86" w:rsidRPr="006C3DFF" w14:paraId="4F917D02" w14:textId="77777777" w:rsidTr="00B942C4">
        <w:trPr>
          <w:cnfStyle w:val="100000000000" w:firstRow="1" w:lastRow="0" w:firstColumn="0" w:lastColumn="0" w:oddVBand="0" w:evenVBand="0" w:oddHBand="0" w:evenHBand="0" w:firstRowFirstColumn="0" w:firstRowLastColumn="0" w:lastRowFirstColumn="0" w:lastRowLastColumn="0"/>
        </w:trPr>
        <w:tc>
          <w:tcPr>
            <w:tcW w:w="599" w:type="dxa"/>
          </w:tcPr>
          <w:p w14:paraId="384FB141" w14:textId="77777777" w:rsidR="00204E86" w:rsidRPr="006C3DFF" w:rsidRDefault="00204E86" w:rsidP="00D81C70">
            <w:pPr>
              <w:pStyle w:val="VCAAtablecondensedheading"/>
              <w:rPr>
                <w:lang w:val="en-AU"/>
              </w:rPr>
            </w:pPr>
            <w:r w:rsidRPr="006C3DFF">
              <w:rPr>
                <w:lang w:val="en-AU"/>
              </w:rPr>
              <w:t>Mark</w:t>
            </w:r>
          </w:p>
        </w:tc>
        <w:tc>
          <w:tcPr>
            <w:tcW w:w="576" w:type="dxa"/>
          </w:tcPr>
          <w:p w14:paraId="644FD790" w14:textId="77777777" w:rsidR="00204E86" w:rsidRPr="006C3DFF" w:rsidRDefault="00204E86" w:rsidP="00D81C70">
            <w:pPr>
              <w:pStyle w:val="VCAAtablecondensedheading"/>
              <w:rPr>
                <w:lang w:val="en-AU"/>
              </w:rPr>
            </w:pPr>
            <w:r w:rsidRPr="006C3DFF">
              <w:rPr>
                <w:lang w:val="en-AU"/>
              </w:rPr>
              <w:t>0</w:t>
            </w:r>
          </w:p>
        </w:tc>
        <w:tc>
          <w:tcPr>
            <w:tcW w:w="576" w:type="dxa"/>
          </w:tcPr>
          <w:p w14:paraId="660D9E0E" w14:textId="77777777" w:rsidR="00204E86" w:rsidRPr="006C3DFF" w:rsidRDefault="00204E86" w:rsidP="00D81C70">
            <w:pPr>
              <w:pStyle w:val="VCAAtablecondensedheading"/>
              <w:rPr>
                <w:lang w:val="en-AU"/>
              </w:rPr>
            </w:pPr>
            <w:r w:rsidRPr="006C3DFF">
              <w:rPr>
                <w:lang w:val="en-AU"/>
              </w:rPr>
              <w:t>1</w:t>
            </w:r>
          </w:p>
        </w:tc>
        <w:tc>
          <w:tcPr>
            <w:tcW w:w="576" w:type="dxa"/>
          </w:tcPr>
          <w:p w14:paraId="33756AC2" w14:textId="77777777" w:rsidR="00204E86" w:rsidRPr="006C3DFF" w:rsidRDefault="00204E86" w:rsidP="00D81C70">
            <w:pPr>
              <w:pStyle w:val="VCAAtablecondensedheading"/>
              <w:rPr>
                <w:lang w:val="en-AU"/>
              </w:rPr>
            </w:pPr>
            <w:r w:rsidRPr="006C3DFF">
              <w:rPr>
                <w:lang w:val="en-AU"/>
              </w:rPr>
              <w:t>2</w:t>
            </w:r>
          </w:p>
        </w:tc>
        <w:tc>
          <w:tcPr>
            <w:tcW w:w="864" w:type="dxa"/>
          </w:tcPr>
          <w:p w14:paraId="7D3AB07C" w14:textId="77777777" w:rsidR="00204E86" w:rsidRPr="006C3DFF" w:rsidRDefault="00204E86" w:rsidP="00D81C70">
            <w:pPr>
              <w:pStyle w:val="VCAAtablecondensedheading"/>
              <w:rPr>
                <w:lang w:val="en-AU"/>
              </w:rPr>
            </w:pPr>
            <w:r w:rsidRPr="006C3DFF">
              <w:rPr>
                <w:lang w:val="en-AU"/>
              </w:rPr>
              <w:t>Average</w:t>
            </w:r>
          </w:p>
        </w:tc>
      </w:tr>
      <w:tr w:rsidR="00204E86" w:rsidRPr="006C3DFF" w14:paraId="2DFB213E" w14:textId="77777777" w:rsidTr="00D81C70">
        <w:tc>
          <w:tcPr>
            <w:tcW w:w="599" w:type="dxa"/>
          </w:tcPr>
          <w:p w14:paraId="1B75883A" w14:textId="77777777" w:rsidR="00204E86" w:rsidRPr="006C3DFF" w:rsidRDefault="00204E86" w:rsidP="00204E86">
            <w:pPr>
              <w:pStyle w:val="VCAAtablecondensed"/>
              <w:rPr>
                <w:lang w:val="en-AU"/>
              </w:rPr>
            </w:pPr>
            <w:r w:rsidRPr="006C3DFF">
              <w:rPr>
                <w:lang w:val="en-AU"/>
              </w:rPr>
              <w:t>%</w:t>
            </w:r>
          </w:p>
        </w:tc>
        <w:tc>
          <w:tcPr>
            <w:tcW w:w="576" w:type="dxa"/>
            <w:vAlign w:val="center"/>
          </w:tcPr>
          <w:p w14:paraId="06F7CC06" w14:textId="445C6CC8" w:rsidR="00204E86" w:rsidRPr="006C3DFF" w:rsidRDefault="00204E86" w:rsidP="00204E86">
            <w:pPr>
              <w:pStyle w:val="VCAAtablecondensed"/>
              <w:rPr>
                <w:lang w:val="en-AU"/>
              </w:rPr>
            </w:pPr>
            <w:r w:rsidRPr="006C3DFF">
              <w:rPr>
                <w:lang w:val="en-AU"/>
              </w:rPr>
              <w:t>4</w:t>
            </w:r>
          </w:p>
        </w:tc>
        <w:tc>
          <w:tcPr>
            <w:tcW w:w="576" w:type="dxa"/>
            <w:vAlign w:val="center"/>
          </w:tcPr>
          <w:p w14:paraId="6B5AC96F" w14:textId="28C610E5" w:rsidR="00204E86" w:rsidRPr="006C3DFF" w:rsidRDefault="00204E86" w:rsidP="00204E86">
            <w:pPr>
              <w:pStyle w:val="VCAAtablecondensed"/>
              <w:rPr>
                <w:lang w:val="en-AU"/>
              </w:rPr>
            </w:pPr>
            <w:r w:rsidRPr="006C3DFF">
              <w:rPr>
                <w:lang w:val="en-AU"/>
              </w:rPr>
              <w:t>34</w:t>
            </w:r>
          </w:p>
        </w:tc>
        <w:tc>
          <w:tcPr>
            <w:tcW w:w="576" w:type="dxa"/>
            <w:vAlign w:val="center"/>
          </w:tcPr>
          <w:p w14:paraId="14EE9D90" w14:textId="5182EBAB" w:rsidR="00204E86" w:rsidRPr="006C3DFF" w:rsidRDefault="00204E86" w:rsidP="00204E86">
            <w:pPr>
              <w:pStyle w:val="VCAAtablecondensed"/>
              <w:rPr>
                <w:lang w:val="en-AU"/>
              </w:rPr>
            </w:pPr>
            <w:r w:rsidRPr="006C3DFF">
              <w:rPr>
                <w:lang w:val="en-AU"/>
              </w:rPr>
              <w:t>63</w:t>
            </w:r>
          </w:p>
        </w:tc>
        <w:tc>
          <w:tcPr>
            <w:tcW w:w="864" w:type="dxa"/>
          </w:tcPr>
          <w:p w14:paraId="3FE4220D" w14:textId="555D9ECF" w:rsidR="00204E86" w:rsidRPr="006C3DFF" w:rsidRDefault="00204E86" w:rsidP="00204E86">
            <w:pPr>
              <w:pStyle w:val="VCAAtablecondensed"/>
              <w:rPr>
                <w:lang w:val="en-AU"/>
              </w:rPr>
            </w:pPr>
            <w:r w:rsidRPr="006C3DFF">
              <w:rPr>
                <w:lang w:val="en-AU"/>
              </w:rPr>
              <w:t>1.6</w:t>
            </w:r>
          </w:p>
        </w:tc>
      </w:tr>
    </w:tbl>
    <w:p w14:paraId="488DBF15" w14:textId="68BEAAEF" w:rsidR="00DA5EAC" w:rsidRPr="006C3DFF" w:rsidRDefault="00DA5EAC" w:rsidP="006532E1">
      <w:pPr>
        <w:pStyle w:val="VCAAbody"/>
        <w:rPr>
          <w:lang w:val="en-AU"/>
        </w:rPr>
      </w:pPr>
      <w:r w:rsidRPr="006C3DFF">
        <w:rPr>
          <w:lang w:val="en-AU"/>
        </w:rPr>
        <w:t>Functions of the Senate include</w:t>
      </w:r>
      <w:r w:rsidR="008B4A40" w:rsidRPr="006C3DFF">
        <w:rPr>
          <w:lang w:val="en-AU"/>
        </w:rPr>
        <w:t xml:space="preserve"> to</w:t>
      </w:r>
      <w:r w:rsidRPr="006C3DFF">
        <w:rPr>
          <w:lang w:val="en-AU"/>
        </w:rPr>
        <w:t>:</w:t>
      </w:r>
    </w:p>
    <w:p w14:paraId="04CE8770" w14:textId="3461FB17" w:rsidR="004D68AC" w:rsidRPr="006C3DFF" w:rsidRDefault="004D68AC" w:rsidP="000202B8">
      <w:pPr>
        <w:pStyle w:val="VCAAbullet"/>
        <w:rPr>
          <w:lang w:val="en-AU"/>
        </w:rPr>
      </w:pPr>
      <w:r w:rsidRPr="006C3DFF">
        <w:rPr>
          <w:lang w:val="en-AU"/>
        </w:rPr>
        <w:t>legislate</w:t>
      </w:r>
    </w:p>
    <w:p w14:paraId="325FCABD" w14:textId="2DEA8370" w:rsidR="004D68AC" w:rsidRPr="006C3DFF" w:rsidRDefault="004D68AC" w:rsidP="000202B8">
      <w:pPr>
        <w:pStyle w:val="VCAAbullet"/>
        <w:rPr>
          <w:lang w:val="en-AU"/>
        </w:rPr>
      </w:pPr>
      <w:r w:rsidRPr="006C3DFF">
        <w:rPr>
          <w:lang w:val="en-AU"/>
        </w:rPr>
        <w:t>represent the states and territories</w:t>
      </w:r>
    </w:p>
    <w:p w14:paraId="1A7FEB80" w14:textId="18C1309D" w:rsidR="004D68AC" w:rsidRPr="006C3DFF" w:rsidRDefault="004D68AC" w:rsidP="000202B8">
      <w:pPr>
        <w:pStyle w:val="VCAAbullet"/>
        <w:rPr>
          <w:lang w:val="en-AU"/>
        </w:rPr>
      </w:pPr>
      <w:r w:rsidRPr="006C3DFF">
        <w:rPr>
          <w:lang w:val="en-AU"/>
        </w:rPr>
        <w:t>debate bills</w:t>
      </w:r>
    </w:p>
    <w:p w14:paraId="6F54C9DB" w14:textId="4672B11B" w:rsidR="004D68AC" w:rsidRPr="006C3DFF" w:rsidRDefault="004D68AC" w:rsidP="000202B8">
      <w:pPr>
        <w:pStyle w:val="VCAAbullet"/>
        <w:rPr>
          <w:lang w:val="en-AU"/>
        </w:rPr>
      </w:pPr>
      <w:r w:rsidRPr="006C3DFF">
        <w:rPr>
          <w:lang w:val="en-AU"/>
        </w:rPr>
        <w:t>amend bills</w:t>
      </w:r>
    </w:p>
    <w:p w14:paraId="4BC94CB4" w14:textId="65912607" w:rsidR="004D68AC" w:rsidRPr="006C3DFF" w:rsidRDefault="00ED18B8" w:rsidP="000202B8">
      <w:pPr>
        <w:pStyle w:val="VCAAbullet"/>
        <w:rPr>
          <w:lang w:val="en-AU"/>
        </w:rPr>
      </w:pPr>
      <w:r w:rsidRPr="006C3DFF">
        <w:rPr>
          <w:lang w:val="en-AU"/>
        </w:rPr>
        <w:t xml:space="preserve">act </w:t>
      </w:r>
      <w:r w:rsidR="004D68AC" w:rsidRPr="006C3DFF">
        <w:rPr>
          <w:lang w:val="en-AU"/>
        </w:rPr>
        <w:t>as a house of review</w:t>
      </w:r>
    </w:p>
    <w:p w14:paraId="4FB93B09" w14:textId="7CB08B1B" w:rsidR="004D68AC" w:rsidRPr="006C3DFF" w:rsidRDefault="004D68AC" w:rsidP="000202B8">
      <w:pPr>
        <w:pStyle w:val="VCAAbullet"/>
        <w:rPr>
          <w:lang w:val="en-AU"/>
        </w:rPr>
      </w:pPr>
      <w:r w:rsidRPr="006C3DFF">
        <w:rPr>
          <w:lang w:val="en-AU"/>
        </w:rPr>
        <w:t>scrutinise supply bills</w:t>
      </w:r>
    </w:p>
    <w:p w14:paraId="4B0DB9AD" w14:textId="1BD57A01" w:rsidR="004D68AC" w:rsidRPr="006C3DFF" w:rsidRDefault="004D68AC" w:rsidP="000202B8">
      <w:pPr>
        <w:pStyle w:val="VCAAbullet"/>
        <w:rPr>
          <w:lang w:val="en-AU"/>
        </w:rPr>
      </w:pPr>
      <w:r w:rsidRPr="006C3DFF">
        <w:rPr>
          <w:lang w:val="en-AU"/>
        </w:rPr>
        <w:t>hold the executive to account.</w:t>
      </w:r>
    </w:p>
    <w:p w14:paraId="68B2C5E0" w14:textId="573378BF" w:rsidR="00DA5EAC" w:rsidRPr="006C3DFF" w:rsidRDefault="00DA5EAC" w:rsidP="00DA5EAC">
      <w:pPr>
        <w:pStyle w:val="VCAAbody"/>
        <w:rPr>
          <w:lang w:val="en-AU"/>
        </w:rPr>
      </w:pPr>
      <w:r w:rsidRPr="006C3DFF">
        <w:rPr>
          <w:lang w:val="en-AU"/>
        </w:rPr>
        <w:t>This opening question was straightforward for many students. However, a significant number of students presented the idea that the Senate represents minorities, which is not a function of the Senate but an outcome of the electoral system.</w:t>
      </w:r>
      <w:r w:rsidR="00B063B6" w:rsidRPr="006C3DFF">
        <w:rPr>
          <w:lang w:val="en-AU"/>
        </w:rPr>
        <w:t xml:space="preserve"> Students were only required to state two functions.</w:t>
      </w:r>
    </w:p>
    <w:p w14:paraId="4F40539D" w14:textId="479BD8D2" w:rsidR="004D68AC" w:rsidRPr="006C3DFF" w:rsidRDefault="004D68AC">
      <w:pPr>
        <w:pStyle w:val="VCAAHeading3"/>
        <w:rPr>
          <w:lang w:val="en-AU"/>
        </w:rPr>
      </w:pPr>
      <w:r w:rsidRPr="006C3DFF">
        <w:rPr>
          <w:lang w:val="en-AU"/>
        </w:rPr>
        <w:t>Question 1b.</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864"/>
      </w:tblGrid>
      <w:tr w:rsidR="00204E86" w:rsidRPr="006C3DFF" w14:paraId="75543BA9" w14:textId="77777777" w:rsidTr="00D81C70">
        <w:trPr>
          <w:cnfStyle w:val="100000000000" w:firstRow="1" w:lastRow="0" w:firstColumn="0" w:lastColumn="0" w:oddVBand="0" w:evenVBand="0" w:oddHBand="0" w:evenHBand="0" w:firstRowFirstColumn="0" w:firstRowLastColumn="0" w:lastRowFirstColumn="0" w:lastRowLastColumn="0"/>
        </w:trPr>
        <w:tc>
          <w:tcPr>
            <w:tcW w:w="599" w:type="dxa"/>
          </w:tcPr>
          <w:p w14:paraId="1D38C488" w14:textId="77777777" w:rsidR="00204E86" w:rsidRPr="006C3DFF" w:rsidRDefault="00204E86" w:rsidP="00D81C70">
            <w:pPr>
              <w:pStyle w:val="VCAAtablecondensedheading"/>
              <w:rPr>
                <w:lang w:val="en-AU"/>
              </w:rPr>
            </w:pPr>
            <w:r w:rsidRPr="006C3DFF">
              <w:rPr>
                <w:lang w:val="en-AU"/>
              </w:rPr>
              <w:t>Mark</w:t>
            </w:r>
          </w:p>
        </w:tc>
        <w:tc>
          <w:tcPr>
            <w:tcW w:w="576" w:type="dxa"/>
          </w:tcPr>
          <w:p w14:paraId="25D85ADE" w14:textId="77777777" w:rsidR="00204E86" w:rsidRPr="006C3DFF" w:rsidRDefault="00204E86" w:rsidP="00D81C70">
            <w:pPr>
              <w:pStyle w:val="VCAAtablecondensedheading"/>
              <w:rPr>
                <w:lang w:val="en-AU"/>
              </w:rPr>
            </w:pPr>
            <w:r w:rsidRPr="006C3DFF">
              <w:rPr>
                <w:lang w:val="en-AU"/>
              </w:rPr>
              <w:t>0</w:t>
            </w:r>
          </w:p>
        </w:tc>
        <w:tc>
          <w:tcPr>
            <w:tcW w:w="576" w:type="dxa"/>
          </w:tcPr>
          <w:p w14:paraId="7822B8BB" w14:textId="77777777" w:rsidR="00204E86" w:rsidRPr="006C3DFF" w:rsidRDefault="00204E86" w:rsidP="00D81C70">
            <w:pPr>
              <w:pStyle w:val="VCAAtablecondensedheading"/>
              <w:rPr>
                <w:lang w:val="en-AU"/>
              </w:rPr>
            </w:pPr>
            <w:r w:rsidRPr="006C3DFF">
              <w:rPr>
                <w:lang w:val="en-AU"/>
              </w:rPr>
              <w:t>1</w:t>
            </w:r>
          </w:p>
        </w:tc>
        <w:tc>
          <w:tcPr>
            <w:tcW w:w="576" w:type="dxa"/>
          </w:tcPr>
          <w:p w14:paraId="6715E614" w14:textId="77777777" w:rsidR="00204E86" w:rsidRPr="006C3DFF" w:rsidRDefault="00204E86" w:rsidP="00D81C70">
            <w:pPr>
              <w:pStyle w:val="VCAAtablecondensedheading"/>
              <w:rPr>
                <w:lang w:val="en-AU"/>
              </w:rPr>
            </w:pPr>
            <w:r w:rsidRPr="006C3DFF">
              <w:rPr>
                <w:lang w:val="en-AU"/>
              </w:rPr>
              <w:t>2</w:t>
            </w:r>
          </w:p>
        </w:tc>
        <w:tc>
          <w:tcPr>
            <w:tcW w:w="864" w:type="dxa"/>
          </w:tcPr>
          <w:p w14:paraId="75DE89AA" w14:textId="77777777" w:rsidR="00204E86" w:rsidRPr="006C3DFF" w:rsidRDefault="00204E86" w:rsidP="00D81C70">
            <w:pPr>
              <w:pStyle w:val="VCAAtablecondensedheading"/>
              <w:rPr>
                <w:lang w:val="en-AU"/>
              </w:rPr>
            </w:pPr>
            <w:r w:rsidRPr="006C3DFF">
              <w:rPr>
                <w:lang w:val="en-AU"/>
              </w:rPr>
              <w:t>Average</w:t>
            </w:r>
          </w:p>
        </w:tc>
      </w:tr>
      <w:tr w:rsidR="00204E86" w:rsidRPr="006C3DFF" w14:paraId="1E1A89D9" w14:textId="77777777" w:rsidTr="00D81C70">
        <w:tc>
          <w:tcPr>
            <w:tcW w:w="599" w:type="dxa"/>
          </w:tcPr>
          <w:p w14:paraId="3B81BACE" w14:textId="77777777" w:rsidR="00204E86" w:rsidRPr="006C3DFF" w:rsidRDefault="00204E86" w:rsidP="00204E86">
            <w:pPr>
              <w:pStyle w:val="VCAAtablecondensed"/>
              <w:rPr>
                <w:lang w:val="en-AU"/>
              </w:rPr>
            </w:pPr>
            <w:r w:rsidRPr="006C3DFF">
              <w:rPr>
                <w:lang w:val="en-AU"/>
              </w:rPr>
              <w:t>%</w:t>
            </w:r>
          </w:p>
        </w:tc>
        <w:tc>
          <w:tcPr>
            <w:tcW w:w="576" w:type="dxa"/>
            <w:vAlign w:val="center"/>
          </w:tcPr>
          <w:p w14:paraId="7AE846C7" w14:textId="491E2C5D" w:rsidR="00204E86" w:rsidRPr="006C3DFF" w:rsidRDefault="00204E86" w:rsidP="00204E86">
            <w:pPr>
              <w:pStyle w:val="VCAAtablecondensed"/>
              <w:rPr>
                <w:lang w:val="en-AU"/>
              </w:rPr>
            </w:pPr>
            <w:r w:rsidRPr="006C3DFF">
              <w:rPr>
                <w:lang w:val="en-AU"/>
              </w:rPr>
              <w:t>15</w:t>
            </w:r>
          </w:p>
        </w:tc>
        <w:tc>
          <w:tcPr>
            <w:tcW w:w="576" w:type="dxa"/>
            <w:vAlign w:val="center"/>
          </w:tcPr>
          <w:p w14:paraId="3BF0273F" w14:textId="2598C3D4" w:rsidR="00204E86" w:rsidRPr="006C3DFF" w:rsidRDefault="00204E86" w:rsidP="00204E86">
            <w:pPr>
              <w:pStyle w:val="VCAAtablecondensed"/>
              <w:rPr>
                <w:lang w:val="en-AU"/>
              </w:rPr>
            </w:pPr>
            <w:r w:rsidRPr="006C3DFF">
              <w:rPr>
                <w:lang w:val="en-AU"/>
              </w:rPr>
              <w:t>22</w:t>
            </w:r>
          </w:p>
        </w:tc>
        <w:tc>
          <w:tcPr>
            <w:tcW w:w="576" w:type="dxa"/>
            <w:vAlign w:val="center"/>
          </w:tcPr>
          <w:p w14:paraId="071E658C" w14:textId="709D5FE6" w:rsidR="00204E86" w:rsidRPr="006C3DFF" w:rsidRDefault="00204E86" w:rsidP="00204E86">
            <w:pPr>
              <w:pStyle w:val="VCAAtablecondensed"/>
              <w:rPr>
                <w:lang w:val="en-AU"/>
              </w:rPr>
            </w:pPr>
            <w:r w:rsidRPr="006C3DFF">
              <w:rPr>
                <w:lang w:val="en-AU"/>
              </w:rPr>
              <w:t>62</w:t>
            </w:r>
          </w:p>
        </w:tc>
        <w:tc>
          <w:tcPr>
            <w:tcW w:w="864" w:type="dxa"/>
          </w:tcPr>
          <w:p w14:paraId="3DA92C70" w14:textId="0DB1B071" w:rsidR="00204E86" w:rsidRPr="006C3DFF" w:rsidRDefault="00204E86" w:rsidP="00204E86">
            <w:pPr>
              <w:pStyle w:val="VCAAtablecondensed"/>
              <w:rPr>
                <w:lang w:val="en-AU"/>
              </w:rPr>
            </w:pPr>
            <w:r w:rsidRPr="006C3DFF">
              <w:rPr>
                <w:lang w:val="en-AU"/>
              </w:rPr>
              <w:t>1.5</w:t>
            </w:r>
          </w:p>
        </w:tc>
      </w:tr>
    </w:tbl>
    <w:p w14:paraId="5A3D12F6" w14:textId="236D4E59" w:rsidR="001C3ED8" w:rsidRPr="006C3DFF" w:rsidRDefault="00BA147C" w:rsidP="004D68AC">
      <w:pPr>
        <w:pStyle w:val="VCAAbody"/>
        <w:rPr>
          <w:lang w:val="en-AU"/>
        </w:rPr>
      </w:pPr>
      <w:r w:rsidRPr="006C3DFF">
        <w:rPr>
          <w:lang w:val="en-AU"/>
        </w:rPr>
        <w:t>A high-scoring response</w:t>
      </w:r>
      <w:r w:rsidR="00DA5EAC" w:rsidRPr="006C3DFF">
        <w:rPr>
          <w:lang w:val="en-AU"/>
        </w:rPr>
        <w:t xml:space="preserve"> needed to show a cl</w:t>
      </w:r>
      <w:r w:rsidR="00C521D3" w:rsidRPr="006C3DFF">
        <w:rPr>
          <w:lang w:val="en-AU"/>
        </w:rPr>
        <w:t xml:space="preserve">ear link between one aspect of </w:t>
      </w:r>
      <w:r w:rsidR="00ED18B8" w:rsidRPr="006C3DFF">
        <w:rPr>
          <w:lang w:val="en-AU"/>
        </w:rPr>
        <w:t>q</w:t>
      </w:r>
      <w:r w:rsidR="00DA5EAC" w:rsidRPr="006C3DFF">
        <w:rPr>
          <w:lang w:val="en-AU"/>
        </w:rPr>
        <w:t xml:space="preserve">uestion </w:t>
      </w:r>
      <w:r w:rsidR="00ED18B8" w:rsidRPr="006C3DFF">
        <w:rPr>
          <w:lang w:val="en-AU"/>
        </w:rPr>
        <w:t>t</w:t>
      </w:r>
      <w:r w:rsidR="00DA5EAC" w:rsidRPr="006C3DFF">
        <w:rPr>
          <w:lang w:val="en-AU"/>
        </w:rPr>
        <w:t xml:space="preserve">ime and a lack of accountability, either of the government as a whole or of an individual minister. </w:t>
      </w:r>
      <w:r w:rsidR="001C3ED8" w:rsidRPr="006C3DFF">
        <w:rPr>
          <w:lang w:val="en-AU"/>
        </w:rPr>
        <w:t xml:space="preserve">The question referred </w:t>
      </w:r>
      <w:r w:rsidR="001C3ED8" w:rsidRPr="006C3DFF">
        <w:rPr>
          <w:lang w:val="en-AU"/>
        </w:rPr>
        <w:lastRenderedPageBreak/>
        <w:t xml:space="preserve">specifically to the House of Representatives so it was essential that students confined their answers to a discussion of </w:t>
      </w:r>
      <w:r w:rsidR="00ED18B8" w:rsidRPr="006C3DFF">
        <w:rPr>
          <w:lang w:val="en-AU"/>
        </w:rPr>
        <w:t>q</w:t>
      </w:r>
      <w:r w:rsidR="001C3ED8" w:rsidRPr="006C3DFF">
        <w:rPr>
          <w:lang w:val="en-AU"/>
        </w:rPr>
        <w:t xml:space="preserve">uestion </w:t>
      </w:r>
      <w:r w:rsidR="00ED18B8" w:rsidRPr="006C3DFF">
        <w:rPr>
          <w:lang w:val="en-AU"/>
        </w:rPr>
        <w:t>t</w:t>
      </w:r>
      <w:r w:rsidR="001C3ED8" w:rsidRPr="006C3DFF">
        <w:rPr>
          <w:lang w:val="en-AU"/>
        </w:rPr>
        <w:t>ime in that chamber.</w:t>
      </w:r>
    </w:p>
    <w:p w14:paraId="130A073F" w14:textId="403B7427" w:rsidR="004B2746" w:rsidRPr="006C3DFF" w:rsidRDefault="00003576" w:rsidP="004D68AC">
      <w:pPr>
        <w:pStyle w:val="VCAAbody"/>
        <w:rPr>
          <w:lang w:val="en-AU"/>
        </w:rPr>
      </w:pPr>
      <w:r w:rsidRPr="006C3DFF">
        <w:rPr>
          <w:lang w:val="en-AU"/>
        </w:rPr>
        <w:t>T</w:t>
      </w:r>
      <w:r w:rsidR="00DA5EAC" w:rsidRPr="006C3DFF">
        <w:rPr>
          <w:lang w:val="en-AU"/>
        </w:rPr>
        <w:t xml:space="preserve">he most commonly </w:t>
      </w:r>
      <w:r w:rsidRPr="006C3DFF">
        <w:rPr>
          <w:lang w:val="en-AU"/>
        </w:rPr>
        <w:t xml:space="preserve">given and </w:t>
      </w:r>
      <w:r w:rsidR="00DA5EAC" w:rsidRPr="006C3DFF">
        <w:rPr>
          <w:lang w:val="en-AU"/>
        </w:rPr>
        <w:t xml:space="preserve">accepted response related to governments’ use of Dorothy Dixers </w:t>
      </w:r>
      <w:r w:rsidRPr="006C3DFF">
        <w:rPr>
          <w:lang w:val="en-AU"/>
        </w:rPr>
        <w:t xml:space="preserve">as a means of avoiding scrutiny. These questions, asked </w:t>
      </w:r>
      <w:r w:rsidR="00A35212" w:rsidRPr="006C3DFF">
        <w:rPr>
          <w:lang w:val="en-AU"/>
        </w:rPr>
        <w:t xml:space="preserve">with </w:t>
      </w:r>
      <w:r w:rsidRPr="006C3DFF">
        <w:rPr>
          <w:lang w:val="en-AU"/>
        </w:rPr>
        <w:t xml:space="preserve">a minister’s knowledge, allow </w:t>
      </w:r>
      <w:r w:rsidR="00ED18B8" w:rsidRPr="006C3DFF">
        <w:rPr>
          <w:lang w:val="en-AU"/>
        </w:rPr>
        <w:t>that</w:t>
      </w:r>
      <w:r w:rsidRPr="006C3DFF">
        <w:rPr>
          <w:lang w:val="en-AU"/>
        </w:rPr>
        <w:t xml:space="preserve"> minister to give a prepared reply, to </w:t>
      </w:r>
      <w:r w:rsidR="00ED18B8" w:rsidRPr="006C3DFF">
        <w:rPr>
          <w:lang w:val="en-AU"/>
        </w:rPr>
        <w:t xml:space="preserve">present </w:t>
      </w:r>
      <w:r w:rsidRPr="006C3DFF">
        <w:rPr>
          <w:lang w:val="en-AU"/>
        </w:rPr>
        <w:t>government policy and action in a positive light</w:t>
      </w:r>
      <w:r w:rsidR="00C46509" w:rsidRPr="006C3DFF">
        <w:rPr>
          <w:lang w:val="en-AU"/>
        </w:rPr>
        <w:t>,</w:t>
      </w:r>
      <w:r w:rsidRPr="006C3DFF">
        <w:rPr>
          <w:lang w:val="en-AU"/>
        </w:rPr>
        <w:t xml:space="preserve"> or to embarrass the Opposition. </w:t>
      </w:r>
    </w:p>
    <w:p w14:paraId="48162175" w14:textId="43E3DC60" w:rsidR="004D68AC" w:rsidRPr="006C3DFF" w:rsidRDefault="00003576" w:rsidP="004D68AC">
      <w:pPr>
        <w:pStyle w:val="VCAAbody"/>
        <w:rPr>
          <w:lang w:val="en-AU"/>
        </w:rPr>
      </w:pPr>
      <w:r w:rsidRPr="006C3DFF">
        <w:rPr>
          <w:lang w:val="en-AU"/>
        </w:rPr>
        <w:t xml:space="preserve">Other </w:t>
      </w:r>
      <w:r w:rsidR="00ED18B8" w:rsidRPr="006C3DFF">
        <w:rPr>
          <w:lang w:val="en-AU"/>
        </w:rPr>
        <w:t xml:space="preserve">acceptable </w:t>
      </w:r>
      <w:r w:rsidRPr="006C3DFF">
        <w:rPr>
          <w:lang w:val="en-AU"/>
        </w:rPr>
        <w:t>responses included:</w:t>
      </w:r>
    </w:p>
    <w:p w14:paraId="6E0DF796" w14:textId="5D6A20CE" w:rsidR="00C521D3" w:rsidRPr="006C3DFF" w:rsidRDefault="00C521D3" w:rsidP="000202B8">
      <w:pPr>
        <w:pStyle w:val="VCAAbullet"/>
        <w:rPr>
          <w:lang w:val="en-AU"/>
        </w:rPr>
      </w:pPr>
      <w:r w:rsidRPr="006C3DFF">
        <w:rPr>
          <w:lang w:val="en-AU"/>
        </w:rPr>
        <w:t xml:space="preserve">Question </w:t>
      </w:r>
      <w:r w:rsidR="00ED18B8" w:rsidRPr="006C3DFF">
        <w:rPr>
          <w:lang w:val="en-AU"/>
        </w:rPr>
        <w:t>t</w:t>
      </w:r>
      <w:r w:rsidRPr="006C3DFF">
        <w:rPr>
          <w:lang w:val="en-AU"/>
        </w:rPr>
        <w:t xml:space="preserve">ime occurs at the prime minister’s discretion. The prime minister controls the duration of </w:t>
      </w:r>
      <w:r w:rsidR="007504A3">
        <w:rPr>
          <w:lang w:val="en-AU"/>
        </w:rPr>
        <w:t>q</w:t>
      </w:r>
      <w:r w:rsidRPr="006C3DFF">
        <w:rPr>
          <w:lang w:val="en-AU"/>
        </w:rPr>
        <w:t xml:space="preserve">uestion </w:t>
      </w:r>
      <w:r w:rsidR="00ED18B8" w:rsidRPr="006C3DFF">
        <w:rPr>
          <w:lang w:val="en-AU"/>
        </w:rPr>
        <w:t>t</w:t>
      </w:r>
      <w:r w:rsidRPr="006C3DFF">
        <w:rPr>
          <w:lang w:val="en-AU"/>
        </w:rPr>
        <w:t>ime and may stop it at any time, even without any questions having been asked.</w:t>
      </w:r>
    </w:p>
    <w:p w14:paraId="564AE2A4" w14:textId="4079BAF1" w:rsidR="00C521D3" w:rsidRPr="006C3DFF" w:rsidRDefault="00C521D3" w:rsidP="000202B8">
      <w:pPr>
        <w:pStyle w:val="VCAAbullet"/>
        <w:rPr>
          <w:lang w:val="en-AU"/>
        </w:rPr>
      </w:pPr>
      <w:r w:rsidRPr="006C3DFF">
        <w:rPr>
          <w:lang w:val="en-AU"/>
        </w:rPr>
        <w:t>Ministers cannot be compelled to answer a question.</w:t>
      </w:r>
    </w:p>
    <w:p w14:paraId="190595FB" w14:textId="5D1856B2" w:rsidR="00C521D3" w:rsidRPr="006C3DFF" w:rsidRDefault="00C521D3" w:rsidP="000202B8">
      <w:pPr>
        <w:pStyle w:val="VCAAbullet"/>
        <w:rPr>
          <w:lang w:val="en-AU"/>
        </w:rPr>
      </w:pPr>
      <w:r w:rsidRPr="006C3DFF">
        <w:rPr>
          <w:lang w:val="en-AU"/>
        </w:rPr>
        <w:t>The Speaker of</w:t>
      </w:r>
      <w:r w:rsidR="001C3ED8" w:rsidRPr="006C3DFF">
        <w:rPr>
          <w:lang w:val="en-AU"/>
        </w:rPr>
        <w:t xml:space="preserve"> the House of Representatives, w</w:t>
      </w:r>
      <w:r w:rsidRPr="006C3DFF">
        <w:rPr>
          <w:lang w:val="en-AU"/>
        </w:rPr>
        <w:t xml:space="preserve">ho is usually a member of the governing party, presides over </w:t>
      </w:r>
      <w:r w:rsidR="00ED18B8" w:rsidRPr="006C3DFF">
        <w:rPr>
          <w:lang w:val="en-AU"/>
        </w:rPr>
        <w:t>q</w:t>
      </w:r>
      <w:r w:rsidRPr="006C3DFF">
        <w:rPr>
          <w:lang w:val="en-AU"/>
        </w:rPr>
        <w:t xml:space="preserve">uestion </w:t>
      </w:r>
      <w:r w:rsidR="00ED18B8" w:rsidRPr="006C3DFF">
        <w:rPr>
          <w:lang w:val="en-AU"/>
        </w:rPr>
        <w:t>t</w:t>
      </w:r>
      <w:r w:rsidRPr="006C3DFF">
        <w:rPr>
          <w:lang w:val="en-AU"/>
        </w:rPr>
        <w:t>ime</w:t>
      </w:r>
      <w:r w:rsidR="001C3ED8" w:rsidRPr="006C3DFF">
        <w:rPr>
          <w:lang w:val="en-AU"/>
        </w:rPr>
        <w:t>. A Speaker’s leniency in applying the standing orders or ruling on the ‘relevance’ of a minister’s answer may compromise government accountability.</w:t>
      </w:r>
    </w:p>
    <w:p w14:paraId="5CC57257" w14:textId="0FE25B93" w:rsidR="001C3ED8" w:rsidRPr="006C3DFF" w:rsidRDefault="001C3ED8" w:rsidP="000202B8">
      <w:pPr>
        <w:pStyle w:val="VCAAbullet"/>
        <w:rPr>
          <w:lang w:val="en-AU"/>
        </w:rPr>
      </w:pPr>
      <w:r w:rsidRPr="006C3DFF">
        <w:rPr>
          <w:lang w:val="en-AU"/>
        </w:rPr>
        <w:t>House of Representatives standing orders do not allow</w:t>
      </w:r>
      <w:r w:rsidR="00B32830" w:rsidRPr="006C3DFF">
        <w:rPr>
          <w:lang w:val="en-AU"/>
        </w:rPr>
        <w:t xml:space="preserve"> supplementary questions to be asked, which means ministers’ answers cannot be followed up, except in a new question asked later in </w:t>
      </w:r>
      <w:r w:rsidR="00ED18B8" w:rsidRPr="006C3DFF">
        <w:rPr>
          <w:lang w:val="en-AU"/>
        </w:rPr>
        <w:t>q</w:t>
      </w:r>
      <w:r w:rsidR="00B32830" w:rsidRPr="006C3DFF">
        <w:rPr>
          <w:lang w:val="en-AU"/>
        </w:rPr>
        <w:t xml:space="preserve">uestion </w:t>
      </w:r>
      <w:r w:rsidR="00ED18B8" w:rsidRPr="006C3DFF">
        <w:rPr>
          <w:lang w:val="en-AU"/>
        </w:rPr>
        <w:t>t</w:t>
      </w:r>
      <w:r w:rsidR="00B32830" w:rsidRPr="006C3DFF">
        <w:rPr>
          <w:lang w:val="en-AU"/>
        </w:rPr>
        <w:t>ime.</w:t>
      </w:r>
    </w:p>
    <w:p w14:paraId="6002D472" w14:textId="26DBC55A" w:rsidR="001C3ED8" w:rsidRPr="006C3DFF" w:rsidRDefault="001C3ED8">
      <w:pPr>
        <w:pStyle w:val="VCAAHeading3"/>
        <w:rPr>
          <w:lang w:val="en-AU"/>
        </w:rPr>
      </w:pPr>
      <w:r w:rsidRPr="006C3DFF">
        <w:rPr>
          <w:lang w:val="en-AU"/>
        </w:rPr>
        <w:t>Question 2a.</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864"/>
      </w:tblGrid>
      <w:tr w:rsidR="00204E86" w:rsidRPr="006C3DFF" w14:paraId="33176DA8" w14:textId="77777777" w:rsidTr="00D81C70">
        <w:trPr>
          <w:cnfStyle w:val="100000000000" w:firstRow="1" w:lastRow="0" w:firstColumn="0" w:lastColumn="0" w:oddVBand="0" w:evenVBand="0" w:oddHBand="0" w:evenHBand="0" w:firstRowFirstColumn="0" w:firstRowLastColumn="0" w:lastRowFirstColumn="0" w:lastRowLastColumn="0"/>
        </w:trPr>
        <w:tc>
          <w:tcPr>
            <w:tcW w:w="599" w:type="dxa"/>
          </w:tcPr>
          <w:p w14:paraId="28901041" w14:textId="77777777" w:rsidR="00204E86" w:rsidRPr="006C3DFF" w:rsidRDefault="00204E86" w:rsidP="00D81C70">
            <w:pPr>
              <w:pStyle w:val="VCAAtablecondensedheading"/>
              <w:rPr>
                <w:lang w:val="en-AU"/>
              </w:rPr>
            </w:pPr>
            <w:r w:rsidRPr="006C3DFF">
              <w:rPr>
                <w:lang w:val="en-AU"/>
              </w:rPr>
              <w:t>Mark</w:t>
            </w:r>
          </w:p>
        </w:tc>
        <w:tc>
          <w:tcPr>
            <w:tcW w:w="576" w:type="dxa"/>
          </w:tcPr>
          <w:p w14:paraId="39CC45E3" w14:textId="77777777" w:rsidR="00204E86" w:rsidRPr="006C3DFF" w:rsidRDefault="00204E86" w:rsidP="00D81C70">
            <w:pPr>
              <w:pStyle w:val="VCAAtablecondensedheading"/>
              <w:rPr>
                <w:lang w:val="en-AU"/>
              </w:rPr>
            </w:pPr>
            <w:r w:rsidRPr="006C3DFF">
              <w:rPr>
                <w:lang w:val="en-AU"/>
              </w:rPr>
              <w:t>0</w:t>
            </w:r>
          </w:p>
        </w:tc>
        <w:tc>
          <w:tcPr>
            <w:tcW w:w="576" w:type="dxa"/>
          </w:tcPr>
          <w:p w14:paraId="6CA1D8C0" w14:textId="77777777" w:rsidR="00204E86" w:rsidRPr="006C3DFF" w:rsidRDefault="00204E86" w:rsidP="00D81C70">
            <w:pPr>
              <w:pStyle w:val="VCAAtablecondensedheading"/>
              <w:rPr>
                <w:lang w:val="en-AU"/>
              </w:rPr>
            </w:pPr>
            <w:r w:rsidRPr="006C3DFF">
              <w:rPr>
                <w:lang w:val="en-AU"/>
              </w:rPr>
              <w:t>1</w:t>
            </w:r>
          </w:p>
        </w:tc>
        <w:tc>
          <w:tcPr>
            <w:tcW w:w="576" w:type="dxa"/>
          </w:tcPr>
          <w:p w14:paraId="18051BF0" w14:textId="77777777" w:rsidR="00204E86" w:rsidRPr="006C3DFF" w:rsidRDefault="00204E86" w:rsidP="00D81C70">
            <w:pPr>
              <w:pStyle w:val="VCAAtablecondensedheading"/>
              <w:rPr>
                <w:lang w:val="en-AU"/>
              </w:rPr>
            </w:pPr>
            <w:r w:rsidRPr="006C3DFF">
              <w:rPr>
                <w:lang w:val="en-AU"/>
              </w:rPr>
              <w:t>2</w:t>
            </w:r>
          </w:p>
        </w:tc>
        <w:tc>
          <w:tcPr>
            <w:tcW w:w="576" w:type="dxa"/>
          </w:tcPr>
          <w:p w14:paraId="170D861B" w14:textId="77777777" w:rsidR="00204E86" w:rsidRPr="006C3DFF" w:rsidRDefault="00204E86" w:rsidP="00D81C70">
            <w:pPr>
              <w:pStyle w:val="VCAAtablecondensedheading"/>
              <w:rPr>
                <w:lang w:val="en-AU"/>
              </w:rPr>
            </w:pPr>
            <w:r w:rsidRPr="006C3DFF">
              <w:rPr>
                <w:lang w:val="en-AU"/>
              </w:rPr>
              <w:t>3</w:t>
            </w:r>
          </w:p>
        </w:tc>
        <w:tc>
          <w:tcPr>
            <w:tcW w:w="864" w:type="dxa"/>
          </w:tcPr>
          <w:p w14:paraId="7BBA3F32" w14:textId="6F88B8C4" w:rsidR="00204E86" w:rsidRPr="006C3DFF" w:rsidRDefault="00204E86" w:rsidP="00D81C70">
            <w:pPr>
              <w:pStyle w:val="VCAAtablecondensedheading"/>
              <w:rPr>
                <w:lang w:val="en-AU"/>
              </w:rPr>
            </w:pPr>
            <w:r w:rsidRPr="006C3DFF">
              <w:rPr>
                <w:lang w:val="en-AU"/>
              </w:rPr>
              <w:t>Average</w:t>
            </w:r>
          </w:p>
        </w:tc>
      </w:tr>
      <w:tr w:rsidR="00204E86" w:rsidRPr="006C3DFF" w14:paraId="6C27344E" w14:textId="77777777" w:rsidTr="00D81C70">
        <w:tc>
          <w:tcPr>
            <w:tcW w:w="599" w:type="dxa"/>
          </w:tcPr>
          <w:p w14:paraId="24D68FB0"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56531B9E" w14:textId="09306343" w:rsidR="00204E86" w:rsidRPr="006C3DFF" w:rsidRDefault="00204E86" w:rsidP="00F8149F">
            <w:pPr>
              <w:pStyle w:val="VCAAtablecondensed"/>
              <w:rPr>
                <w:lang w:val="en-AU"/>
              </w:rPr>
            </w:pPr>
            <w:r w:rsidRPr="006C3DFF">
              <w:rPr>
                <w:lang w:val="en-AU"/>
              </w:rPr>
              <w:t>10</w:t>
            </w:r>
          </w:p>
        </w:tc>
        <w:tc>
          <w:tcPr>
            <w:tcW w:w="576" w:type="dxa"/>
            <w:vAlign w:val="center"/>
          </w:tcPr>
          <w:p w14:paraId="4D575D94" w14:textId="205CB57E" w:rsidR="00204E86" w:rsidRPr="006C3DFF" w:rsidRDefault="00204E86" w:rsidP="00F8149F">
            <w:pPr>
              <w:pStyle w:val="VCAAtablecondensed"/>
              <w:rPr>
                <w:lang w:val="en-AU"/>
              </w:rPr>
            </w:pPr>
            <w:r w:rsidRPr="006C3DFF">
              <w:rPr>
                <w:lang w:val="en-AU"/>
              </w:rPr>
              <w:t>33</w:t>
            </w:r>
          </w:p>
        </w:tc>
        <w:tc>
          <w:tcPr>
            <w:tcW w:w="576" w:type="dxa"/>
            <w:vAlign w:val="center"/>
          </w:tcPr>
          <w:p w14:paraId="2BADE729" w14:textId="1FAB6670" w:rsidR="00204E86" w:rsidRPr="006C3DFF" w:rsidRDefault="00204E86" w:rsidP="00F8149F">
            <w:pPr>
              <w:pStyle w:val="VCAAtablecondensed"/>
              <w:rPr>
                <w:lang w:val="en-AU"/>
              </w:rPr>
            </w:pPr>
            <w:r w:rsidRPr="006C3DFF">
              <w:rPr>
                <w:lang w:val="en-AU"/>
              </w:rPr>
              <w:t>38</w:t>
            </w:r>
          </w:p>
        </w:tc>
        <w:tc>
          <w:tcPr>
            <w:tcW w:w="576" w:type="dxa"/>
            <w:vAlign w:val="center"/>
          </w:tcPr>
          <w:p w14:paraId="4989D50E" w14:textId="0D858AFE" w:rsidR="00204E86" w:rsidRPr="006C3DFF" w:rsidRDefault="00204E86" w:rsidP="00F8149F">
            <w:pPr>
              <w:pStyle w:val="VCAAtablecondensed"/>
              <w:rPr>
                <w:lang w:val="en-AU"/>
              </w:rPr>
            </w:pPr>
            <w:r w:rsidRPr="006C3DFF">
              <w:rPr>
                <w:lang w:val="en-AU"/>
              </w:rPr>
              <w:t>19</w:t>
            </w:r>
          </w:p>
        </w:tc>
        <w:tc>
          <w:tcPr>
            <w:tcW w:w="864" w:type="dxa"/>
          </w:tcPr>
          <w:p w14:paraId="1006B3AA" w14:textId="1C622A8B" w:rsidR="00204E86" w:rsidRPr="006C3DFF" w:rsidRDefault="00204E86" w:rsidP="00F8149F">
            <w:pPr>
              <w:pStyle w:val="VCAAtablecondensed"/>
              <w:rPr>
                <w:lang w:val="en-AU"/>
              </w:rPr>
            </w:pPr>
            <w:r w:rsidRPr="006C3DFF">
              <w:rPr>
                <w:lang w:val="en-AU"/>
              </w:rPr>
              <w:t>1.7</w:t>
            </w:r>
          </w:p>
        </w:tc>
      </w:tr>
    </w:tbl>
    <w:p w14:paraId="48B93E18" w14:textId="1B10F48E" w:rsidR="00B32830" w:rsidRPr="006C3DFF" w:rsidRDefault="00B32830" w:rsidP="00B32830">
      <w:pPr>
        <w:pStyle w:val="VCAAbody"/>
        <w:rPr>
          <w:lang w:val="en-AU"/>
        </w:rPr>
      </w:pPr>
      <w:r w:rsidRPr="006C3DFF">
        <w:rPr>
          <w:lang w:val="en-AU"/>
        </w:rPr>
        <w:t>The term ‘responsible government’ describes a political system where members of the executive government are drawn from, and are accountable to, the legislative branch. This is a key characteristic of Westminster systems.</w:t>
      </w:r>
    </w:p>
    <w:p w14:paraId="74829A57" w14:textId="0D0B99AC" w:rsidR="00B32830" w:rsidRPr="006C3DFF" w:rsidRDefault="00B32830" w:rsidP="00B32830">
      <w:pPr>
        <w:pStyle w:val="VCAAbody"/>
        <w:rPr>
          <w:lang w:val="en-AU"/>
        </w:rPr>
      </w:pPr>
      <w:r w:rsidRPr="006C3DFF">
        <w:rPr>
          <w:lang w:val="en-AU"/>
        </w:rPr>
        <w:t>The term ‘representative government’ refers to a political system where</w:t>
      </w:r>
      <w:r w:rsidR="001A3514" w:rsidRPr="006C3DFF">
        <w:rPr>
          <w:lang w:val="en-AU"/>
        </w:rPr>
        <w:t xml:space="preserve"> elected citizens</w:t>
      </w:r>
      <w:r w:rsidR="00F071B8" w:rsidRPr="006C3DFF">
        <w:rPr>
          <w:lang w:val="en-AU"/>
        </w:rPr>
        <w:t xml:space="preserve"> make decisions on behalf of the people and carry out</w:t>
      </w:r>
      <w:r w:rsidRPr="006C3DFF">
        <w:rPr>
          <w:lang w:val="en-AU"/>
        </w:rPr>
        <w:t xml:space="preserve"> the legi</w:t>
      </w:r>
      <w:r w:rsidR="00F071B8" w:rsidRPr="006C3DFF">
        <w:rPr>
          <w:lang w:val="en-AU"/>
        </w:rPr>
        <w:t>slative and executive functions.</w:t>
      </w:r>
    </w:p>
    <w:p w14:paraId="60A7A114" w14:textId="79DFC408" w:rsidR="001A3514" w:rsidRPr="006C3DFF" w:rsidRDefault="001A3514" w:rsidP="00B32830">
      <w:pPr>
        <w:pStyle w:val="VCAAbody"/>
        <w:rPr>
          <w:lang w:val="en-AU"/>
        </w:rPr>
      </w:pPr>
      <w:r w:rsidRPr="006C3DFF">
        <w:rPr>
          <w:lang w:val="en-AU"/>
        </w:rPr>
        <w:t xml:space="preserve">Students needed to show an accurate understanding of each of these terms, then to distinguish between the two by explaining the key difference/s between them. Responsible government does not adhere fully to the concept of the separation of powers. While </w:t>
      </w:r>
      <w:r w:rsidR="00ED18B8" w:rsidRPr="006C3DFF">
        <w:rPr>
          <w:lang w:val="en-AU"/>
        </w:rPr>
        <w:t>it is</w:t>
      </w:r>
      <w:r w:rsidRPr="006C3DFF">
        <w:rPr>
          <w:lang w:val="en-AU"/>
        </w:rPr>
        <w:t xml:space="preserve"> to the electors</w:t>
      </w:r>
      <w:r w:rsidR="00ED18B8" w:rsidRPr="006C3DFF">
        <w:rPr>
          <w:lang w:val="en-AU"/>
        </w:rPr>
        <w:t xml:space="preserve"> that governments are ultimately accountable</w:t>
      </w:r>
      <w:r w:rsidRPr="006C3DFF">
        <w:rPr>
          <w:lang w:val="en-AU"/>
        </w:rPr>
        <w:t>, responsible government adds another level of accountability</w:t>
      </w:r>
      <w:r w:rsidR="00F071B8" w:rsidRPr="006C3DFF">
        <w:rPr>
          <w:lang w:val="en-AU"/>
        </w:rPr>
        <w:t xml:space="preserve"> through the parliament.</w:t>
      </w:r>
    </w:p>
    <w:p w14:paraId="706399B7" w14:textId="67B6411E" w:rsidR="00F071B8" w:rsidRPr="006C3DFF" w:rsidRDefault="00703AA1" w:rsidP="00B32830">
      <w:pPr>
        <w:pStyle w:val="VCAAbody"/>
        <w:rPr>
          <w:lang w:val="en-AU"/>
        </w:rPr>
      </w:pPr>
      <w:r w:rsidRPr="006C3DFF">
        <w:rPr>
          <w:lang w:val="en-AU"/>
        </w:rPr>
        <w:t>A</w:t>
      </w:r>
      <w:r w:rsidR="00F071B8" w:rsidRPr="006C3DFF">
        <w:rPr>
          <w:lang w:val="en-AU"/>
        </w:rPr>
        <w:t xml:space="preserve"> significant number of students were unable to demonstrate a clear understanding of these two fundamental prin</w:t>
      </w:r>
      <w:r w:rsidR="00E00FF0" w:rsidRPr="006C3DFF">
        <w:rPr>
          <w:lang w:val="en-AU"/>
        </w:rPr>
        <w:t>ciples of Australian democracy.</w:t>
      </w:r>
    </w:p>
    <w:p w14:paraId="2AB4F598" w14:textId="1E3FFB98" w:rsidR="00E00FF0" w:rsidRPr="006C3DFF" w:rsidRDefault="00E00FF0">
      <w:pPr>
        <w:pStyle w:val="VCAAHeading3"/>
        <w:rPr>
          <w:lang w:val="en-AU"/>
        </w:rPr>
      </w:pPr>
      <w:r w:rsidRPr="006C3DFF">
        <w:rPr>
          <w:lang w:val="en-AU"/>
        </w:rPr>
        <w:t>Question 2b.</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576"/>
        <w:gridCol w:w="1373"/>
      </w:tblGrid>
      <w:tr w:rsidR="00204E86" w:rsidRPr="006C3DFF" w14:paraId="405FD63D" w14:textId="77777777" w:rsidTr="00B942C4">
        <w:trPr>
          <w:cnfStyle w:val="100000000000" w:firstRow="1" w:lastRow="0" w:firstColumn="0" w:lastColumn="0" w:oddVBand="0" w:evenVBand="0" w:oddHBand="0" w:evenHBand="0" w:firstRowFirstColumn="0" w:firstRowLastColumn="0" w:lastRowFirstColumn="0" w:lastRowLastColumn="0"/>
        </w:trPr>
        <w:tc>
          <w:tcPr>
            <w:tcW w:w="599" w:type="dxa"/>
          </w:tcPr>
          <w:p w14:paraId="60143E02" w14:textId="77777777" w:rsidR="00204E86" w:rsidRPr="006C3DFF" w:rsidRDefault="00204E86" w:rsidP="00D81C70">
            <w:pPr>
              <w:pStyle w:val="VCAAtablecondensedheading"/>
              <w:rPr>
                <w:lang w:val="en-AU"/>
              </w:rPr>
            </w:pPr>
            <w:r w:rsidRPr="006C3DFF">
              <w:rPr>
                <w:lang w:val="en-AU"/>
              </w:rPr>
              <w:t>Mark</w:t>
            </w:r>
          </w:p>
        </w:tc>
        <w:tc>
          <w:tcPr>
            <w:tcW w:w="576" w:type="dxa"/>
          </w:tcPr>
          <w:p w14:paraId="039BBDF4" w14:textId="77777777" w:rsidR="00204E86" w:rsidRPr="006C3DFF" w:rsidRDefault="00204E86" w:rsidP="00D81C70">
            <w:pPr>
              <w:pStyle w:val="VCAAtablecondensedheading"/>
              <w:rPr>
                <w:lang w:val="en-AU"/>
              </w:rPr>
            </w:pPr>
            <w:r w:rsidRPr="006C3DFF">
              <w:rPr>
                <w:lang w:val="en-AU"/>
              </w:rPr>
              <w:t>0</w:t>
            </w:r>
          </w:p>
        </w:tc>
        <w:tc>
          <w:tcPr>
            <w:tcW w:w="576" w:type="dxa"/>
          </w:tcPr>
          <w:p w14:paraId="08D2EA59" w14:textId="77777777" w:rsidR="00204E86" w:rsidRPr="006C3DFF" w:rsidRDefault="00204E86" w:rsidP="00D81C70">
            <w:pPr>
              <w:pStyle w:val="VCAAtablecondensedheading"/>
              <w:rPr>
                <w:lang w:val="en-AU"/>
              </w:rPr>
            </w:pPr>
            <w:r w:rsidRPr="006C3DFF">
              <w:rPr>
                <w:lang w:val="en-AU"/>
              </w:rPr>
              <w:t>1</w:t>
            </w:r>
          </w:p>
        </w:tc>
        <w:tc>
          <w:tcPr>
            <w:tcW w:w="576" w:type="dxa"/>
          </w:tcPr>
          <w:p w14:paraId="1E750E5C" w14:textId="77777777" w:rsidR="00204E86" w:rsidRPr="006C3DFF" w:rsidRDefault="00204E86" w:rsidP="00D81C70">
            <w:pPr>
              <w:pStyle w:val="VCAAtablecondensedheading"/>
              <w:rPr>
                <w:lang w:val="en-AU"/>
              </w:rPr>
            </w:pPr>
            <w:r w:rsidRPr="006C3DFF">
              <w:rPr>
                <w:lang w:val="en-AU"/>
              </w:rPr>
              <w:t>2</w:t>
            </w:r>
          </w:p>
        </w:tc>
        <w:tc>
          <w:tcPr>
            <w:tcW w:w="576" w:type="dxa"/>
          </w:tcPr>
          <w:p w14:paraId="0BB4917A" w14:textId="77777777" w:rsidR="00204E86" w:rsidRPr="006C3DFF" w:rsidRDefault="00204E86" w:rsidP="00D81C70">
            <w:pPr>
              <w:pStyle w:val="VCAAtablecondensedheading"/>
              <w:rPr>
                <w:lang w:val="en-AU"/>
              </w:rPr>
            </w:pPr>
            <w:r w:rsidRPr="006C3DFF">
              <w:rPr>
                <w:lang w:val="en-AU"/>
              </w:rPr>
              <w:t>3</w:t>
            </w:r>
          </w:p>
        </w:tc>
        <w:tc>
          <w:tcPr>
            <w:tcW w:w="576" w:type="dxa"/>
          </w:tcPr>
          <w:p w14:paraId="293DB5AF" w14:textId="77777777" w:rsidR="00204E86" w:rsidRPr="006C3DFF" w:rsidRDefault="00204E86" w:rsidP="00D81C70">
            <w:pPr>
              <w:pStyle w:val="VCAAtablecondensedheading"/>
              <w:rPr>
                <w:lang w:val="en-AU"/>
              </w:rPr>
            </w:pPr>
            <w:r w:rsidRPr="006C3DFF">
              <w:rPr>
                <w:lang w:val="en-AU"/>
              </w:rPr>
              <w:t>4</w:t>
            </w:r>
          </w:p>
        </w:tc>
        <w:tc>
          <w:tcPr>
            <w:tcW w:w="1373" w:type="dxa"/>
          </w:tcPr>
          <w:p w14:paraId="3F6FD58A" w14:textId="37A5D1C5" w:rsidR="00204E86" w:rsidRPr="006C3DFF" w:rsidRDefault="00204E86" w:rsidP="00D81C70">
            <w:pPr>
              <w:pStyle w:val="VCAAtablecondensedheading"/>
              <w:rPr>
                <w:lang w:val="en-AU"/>
              </w:rPr>
            </w:pPr>
            <w:r w:rsidRPr="006C3DFF">
              <w:rPr>
                <w:lang w:val="en-AU"/>
              </w:rPr>
              <w:t>Average</w:t>
            </w:r>
          </w:p>
        </w:tc>
      </w:tr>
      <w:tr w:rsidR="00204E86" w:rsidRPr="006C3DFF" w14:paraId="351347C5" w14:textId="77777777" w:rsidTr="00D81C70">
        <w:tc>
          <w:tcPr>
            <w:tcW w:w="599" w:type="dxa"/>
          </w:tcPr>
          <w:p w14:paraId="37AACA76"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2E25E4B7" w14:textId="07D5E820" w:rsidR="00204E86" w:rsidRPr="006C3DFF" w:rsidRDefault="00204E86" w:rsidP="00F8149F">
            <w:pPr>
              <w:pStyle w:val="VCAAtablecondensed"/>
              <w:rPr>
                <w:lang w:val="en-AU"/>
              </w:rPr>
            </w:pPr>
            <w:r w:rsidRPr="006C3DFF">
              <w:rPr>
                <w:lang w:val="en-AU"/>
              </w:rPr>
              <w:t>14</w:t>
            </w:r>
          </w:p>
        </w:tc>
        <w:tc>
          <w:tcPr>
            <w:tcW w:w="576" w:type="dxa"/>
            <w:vAlign w:val="center"/>
          </w:tcPr>
          <w:p w14:paraId="7EC3FDC5" w14:textId="3436C6E1" w:rsidR="00204E86" w:rsidRPr="006C3DFF" w:rsidRDefault="00204E86" w:rsidP="00F8149F">
            <w:pPr>
              <w:pStyle w:val="VCAAtablecondensed"/>
              <w:rPr>
                <w:lang w:val="en-AU"/>
              </w:rPr>
            </w:pPr>
            <w:r w:rsidRPr="006C3DFF">
              <w:rPr>
                <w:lang w:val="en-AU"/>
              </w:rPr>
              <w:t>17</w:t>
            </w:r>
          </w:p>
        </w:tc>
        <w:tc>
          <w:tcPr>
            <w:tcW w:w="576" w:type="dxa"/>
            <w:vAlign w:val="center"/>
          </w:tcPr>
          <w:p w14:paraId="3FEB5EBC" w14:textId="34786282" w:rsidR="00204E86" w:rsidRPr="006C3DFF" w:rsidRDefault="00204E86" w:rsidP="00F8149F">
            <w:pPr>
              <w:pStyle w:val="VCAAtablecondensed"/>
              <w:rPr>
                <w:lang w:val="en-AU"/>
              </w:rPr>
            </w:pPr>
            <w:r w:rsidRPr="006C3DFF">
              <w:rPr>
                <w:lang w:val="en-AU"/>
              </w:rPr>
              <w:t>15</w:t>
            </w:r>
          </w:p>
        </w:tc>
        <w:tc>
          <w:tcPr>
            <w:tcW w:w="576" w:type="dxa"/>
            <w:vAlign w:val="center"/>
          </w:tcPr>
          <w:p w14:paraId="439E28FD" w14:textId="0967D49F" w:rsidR="00204E86" w:rsidRPr="006C3DFF" w:rsidRDefault="00204E86" w:rsidP="00F8149F">
            <w:pPr>
              <w:pStyle w:val="VCAAtablecondensed"/>
              <w:rPr>
                <w:lang w:val="en-AU"/>
              </w:rPr>
            </w:pPr>
            <w:r w:rsidRPr="006C3DFF">
              <w:rPr>
                <w:lang w:val="en-AU"/>
              </w:rPr>
              <w:t>26</w:t>
            </w:r>
          </w:p>
        </w:tc>
        <w:tc>
          <w:tcPr>
            <w:tcW w:w="576" w:type="dxa"/>
            <w:vAlign w:val="center"/>
          </w:tcPr>
          <w:p w14:paraId="259751D2" w14:textId="6F547E7F" w:rsidR="00204E86" w:rsidRPr="006C3DFF" w:rsidRDefault="00204E86" w:rsidP="00F8149F">
            <w:pPr>
              <w:pStyle w:val="VCAAtablecondensed"/>
              <w:rPr>
                <w:lang w:val="en-AU"/>
              </w:rPr>
            </w:pPr>
            <w:r w:rsidRPr="006C3DFF">
              <w:rPr>
                <w:lang w:val="en-AU"/>
              </w:rPr>
              <w:t>28</w:t>
            </w:r>
          </w:p>
        </w:tc>
        <w:tc>
          <w:tcPr>
            <w:tcW w:w="1373" w:type="dxa"/>
          </w:tcPr>
          <w:p w14:paraId="392AABF2" w14:textId="7120916D" w:rsidR="00204E86" w:rsidRPr="006C3DFF" w:rsidRDefault="00204E86" w:rsidP="00F8149F">
            <w:pPr>
              <w:pStyle w:val="VCAAtablecondensed"/>
              <w:rPr>
                <w:lang w:val="en-AU"/>
              </w:rPr>
            </w:pPr>
            <w:r w:rsidRPr="006C3DFF">
              <w:rPr>
                <w:lang w:val="en-AU"/>
              </w:rPr>
              <w:t>2.4</w:t>
            </w:r>
          </w:p>
        </w:tc>
      </w:tr>
    </w:tbl>
    <w:p w14:paraId="3EE3A49B" w14:textId="52538FBA" w:rsidR="00B32830" w:rsidRPr="006C3DFF" w:rsidRDefault="00E00FF0" w:rsidP="001C3ED8">
      <w:pPr>
        <w:pStyle w:val="VCAAbody"/>
        <w:rPr>
          <w:lang w:val="en-AU"/>
        </w:rPr>
      </w:pPr>
      <w:r w:rsidRPr="006C3DFF">
        <w:rPr>
          <w:lang w:val="en-AU"/>
        </w:rPr>
        <w:t>Individual ministerial responsibility</w:t>
      </w:r>
      <w:r w:rsidR="00703AA1" w:rsidRPr="006C3DFF">
        <w:rPr>
          <w:lang w:val="en-AU"/>
        </w:rPr>
        <w:t xml:space="preserve"> (IMR)</w:t>
      </w:r>
      <w:r w:rsidRPr="006C3DFF">
        <w:rPr>
          <w:lang w:val="en-AU"/>
        </w:rPr>
        <w:t xml:space="preserve"> is the Westminster principle that ministers are </w:t>
      </w:r>
      <w:r w:rsidR="00673008" w:rsidRPr="006C3DFF">
        <w:rPr>
          <w:lang w:val="en-AU"/>
        </w:rPr>
        <w:t xml:space="preserve">individually </w:t>
      </w:r>
      <w:r w:rsidRPr="006C3DFF">
        <w:rPr>
          <w:lang w:val="en-AU"/>
        </w:rPr>
        <w:t xml:space="preserve">accountable to the parliament for actions and decisions </w:t>
      </w:r>
      <w:r w:rsidR="0093656E" w:rsidRPr="006C3DFF">
        <w:rPr>
          <w:lang w:val="en-AU"/>
        </w:rPr>
        <w:t>taken under their authority, within</w:t>
      </w:r>
      <w:r w:rsidRPr="006C3DFF">
        <w:rPr>
          <w:lang w:val="en-AU"/>
        </w:rPr>
        <w:t xml:space="preserve"> the</w:t>
      </w:r>
      <w:r w:rsidR="0093656E" w:rsidRPr="006C3DFF">
        <w:rPr>
          <w:lang w:val="en-AU"/>
        </w:rPr>
        <w:t xml:space="preserve"> portfolio,</w:t>
      </w:r>
      <w:r w:rsidRPr="006C3DFF">
        <w:rPr>
          <w:lang w:val="en-AU"/>
        </w:rPr>
        <w:t xml:space="preserve"> department</w:t>
      </w:r>
      <w:r w:rsidR="0093656E" w:rsidRPr="006C3DFF">
        <w:rPr>
          <w:lang w:val="en-AU"/>
        </w:rPr>
        <w:t xml:space="preserve"> and government agencies</w:t>
      </w:r>
      <w:r w:rsidR="00673008" w:rsidRPr="006C3DFF">
        <w:rPr>
          <w:lang w:val="en-AU"/>
        </w:rPr>
        <w:t xml:space="preserve"> for which they are responsible</w:t>
      </w:r>
      <w:r w:rsidR="0093656E" w:rsidRPr="006C3DFF">
        <w:rPr>
          <w:lang w:val="en-AU"/>
        </w:rPr>
        <w:t xml:space="preserve">. </w:t>
      </w:r>
      <w:r w:rsidR="00673008" w:rsidRPr="006C3DFF">
        <w:rPr>
          <w:lang w:val="en-AU"/>
        </w:rPr>
        <w:t>In the event of departmental error, a minister should accept responsibility and seek to rectify the mistake. If the failure is sufficiently serious</w:t>
      </w:r>
      <w:r w:rsidR="00FF58F5" w:rsidRPr="006C3DFF">
        <w:rPr>
          <w:lang w:val="en-AU"/>
        </w:rPr>
        <w:t>,</w:t>
      </w:r>
      <w:r w:rsidR="00673008" w:rsidRPr="006C3DFF">
        <w:rPr>
          <w:lang w:val="en-AU"/>
        </w:rPr>
        <w:t xml:space="preserve"> the minister should, by convention, </w:t>
      </w:r>
      <w:r w:rsidR="00B14410" w:rsidRPr="006C3DFF">
        <w:rPr>
          <w:lang w:val="en-AU"/>
        </w:rPr>
        <w:t xml:space="preserve">be dismissed or </w:t>
      </w:r>
      <w:r w:rsidR="00673008" w:rsidRPr="006C3DFF">
        <w:rPr>
          <w:lang w:val="en-AU"/>
        </w:rPr>
        <w:t>resign from executive government.</w:t>
      </w:r>
    </w:p>
    <w:p w14:paraId="6B9C450A" w14:textId="42438B3C" w:rsidR="009F3BCB" w:rsidRPr="006C3DFF" w:rsidRDefault="00B14410" w:rsidP="009F3BCB">
      <w:pPr>
        <w:pStyle w:val="VCAAbody"/>
        <w:rPr>
          <w:lang w:val="en-AU"/>
        </w:rPr>
      </w:pPr>
      <w:r w:rsidRPr="006C3DFF">
        <w:rPr>
          <w:lang w:val="en-AU"/>
        </w:rPr>
        <w:t>While most students were able to explain the principle of IMR, many struggled to explain its significance in the Australian political system.</w:t>
      </w:r>
      <w:r w:rsidR="00B20ABD" w:rsidRPr="006C3DFF">
        <w:rPr>
          <w:lang w:val="en-AU"/>
        </w:rPr>
        <w:t xml:space="preserve"> </w:t>
      </w:r>
      <w:r w:rsidR="009F3BCB" w:rsidRPr="006C3DFF">
        <w:rPr>
          <w:lang w:val="en-AU"/>
        </w:rPr>
        <w:t>For a question of this value, students needed to support their answer with contemporary evidence.</w:t>
      </w:r>
    </w:p>
    <w:p w14:paraId="099B0FEA" w14:textId="00808706" w:rsidR="00AD72A8" w:rsidRPr="006C3DFF" w:rsidRDefault="009F3BCB" w:rsidP="001C3ED8">
      <w:pPr>
        <w:pStyle w:val="VCAAbody"/>
        <w:rPr>
          <w:lang w:val="en-AU"/>
        </w:rPr>
      </w:pPr>
      <w:r w:rsidRPr="006C3DFF">
        <w:rPr>
          <w:lang w:val="en-AU"/>
        </w:rPr>
        <w:t xml:space="preserve">Some argued that </w:t>
      </w:r>
      <w:r w:rsidR="00B20ABD" w:rsidRPr="006C3DFF">
        <w:rPr>
          <w:lang w:val="en-AU"/>
        </w:rPr>
        <w:t xml:space="preserve">IMR </w:t>
      </w:r>
      <w:r w:rsidRPr="006C3DFF">
        <w:rPr>
          <w:lang w:val="en-AU"/>
        </w:rPr>
        <w:t>is important in</w:t>
      </w:r>
      <w:r w:rsidR="00B20ABD" w:rsidRPr="006C3DFF">
        <w:rPr>
          <w:lang w:val="en-AU"/>
        </w:rPr>
        <w:t xml:space="preserve"> ensur</w:t>
      </w:r>
      <w:r w:rsidRPr="006C3DFF">
        <w:rPr>
          <w:lang w:val="en-AU"/>
        </w:rPr>
        <w:t>ing</w:t>
      </w:r>
      <w:r w:rsidR="00B20ABD" w:rsidRPr="006C3DFF">
        <w:rPr>
          <w:lang w:val="en-AU"/>
        </w:rPr>
        <w:t xml:space="preserve"> standards of transparency and integrity, to keep ministers accountable to the parliament and the people. </w:t>
      </w:r>
      <w:r w:rsidRPr="006C3DFF">
        <w:rPr>
          <w:lang w:val="en-AU"/>
        </w:rPr>
        <w:t xml:space="preserve">Examples offered included </w:t>
      </w:r>
      <w:r w:rsidR="00FF58F5" w:rsidRPr="006C3DFF">
        <w:rPr>
          <w:lang w:val="en-AU"/>
        </w:rPr>
        <w:t xml:space="preserve">Bridget McKenzie’s </w:t>
      </w:r>
      <w:r w:rsidR="00391936" w:rsidRPr="006C3DFF">
        <w:rPr>
          <w:lang w:val="en-AU"/>
        </w:rPr>
        <w:t xml:space="preserve">2020 </w:t>
      </w:r>
      <w:r w:rsidR="00FF58F5" w:rsidRPr="006C3DFF">
        <w:rPr>
          <w:lang w:val="en-AU"/>
        </w:rPr>
        <w:lastRenderedPageBreak/>
        <w:t>resignation from Cabinet</w:t>
      </w:r>
      <w:r w:rsidR="00391936" w:rsidRPr="006C3DFF">
        <w:rPr>
          <w:lang w:val="en-AU"/>
        </w:rPr>
        <w:t xml:space="preserve"> after a </w:t>
      </w:r>
      <w:r w:rsidR="00930220" w:rsidRPr="006C3DFF">
        <w:rPr>
          <w:lang w:val="en-AU"/>
        </w:rPr>
        <w:t xml:space="preserve">Department of Prime Minister and Cabinet </w:t>
      </w:r>
      <w:r w:rsidR="00391936" w:rsidRPr="006C3DFF">
        <w:rPr>
          <w:lang w:val="en-AU"/>
        </w:rPr>
        <w:t>investigation found she failed to disclose her membership of a gun club that benefited from a government grants program that she a</w:t>
      </w:r>
      <w:r w:rsidR="00EF1172" w:rsidRPr="006C3DFF">
        <w:rPr>
          <w:lang w:val="en-AU"/>
        </w:rPr>
        <w:t xml:space="preserve">dministered, and </w:t>
      </w:r>
      <w:proofErr w:type="spellStart"/>
      <w:r w:rsidR="00EF1172" w:rsidRPr="006C3DFF">
        <w:rPr>
          <w:lang w:val="en-AU"/>
        </w:rPr>
        <w:t>Sussan</w:t>
      </w:r>
      <w:proofErr w:type="spellEnd"/>
      <w:r w:rsidR="00EF1172" w:rsidRPr="006C3DFF">
        <w:rPr>
          <w:lang w:val="en-AU"/>
        </w:rPr>
        <w:t xml:space="preserve"> Ley’s 20</w:t>
      </w:r>
      <w:r w:rsidR="00391936" w:rsidRPr="006C3DFF">
        <w:rPr>
          <w:lang w:val="en-AU"/>
        </w:rPr>
        <w:t xml:space="preserve">17 resignation as </w:t>
      </w:r>
      <w:r w:rsidR="00C46509" w:rsidRPr="006C3DFF">
        <w:rPr>
          <w:lang w:val="en-AU"/>
        </w:rPr>
        <w:t>h</w:t>
      </w:r>
      <w:r w:rsidR="00391936" w:rsidRPr="006C3DFF">
        <w:rPr>
          <w:lang w:val="en-AU"/>
        </w:rPr>
        <w:t xml:space="preserve">ealth </w:t>
      </w:r>
      <w:r w:rsidR="00C46509" w:rsidRPr="006C3DFF">
        <w:rPr>
          <w:lang w:val="en-AU"/>
        </w:rPr>
        <w:t>m</w:t>
      </w:r>
      <w:r w:rsidR="00391936" w:rsidRPr="006C3DFF">
        <w:rPr>
          <w:lang w:val="en-AU"/>
        </w:rPr>
        <w:t xml:space="preserve">inister following a </w:t>
      </w:r>
      <w:r w:rsidR="00AD72A8" w:rsidRPr="006C3DFF">
        <w:rPr>
          <w:lang w:val="en-AU"/>
        </w:rPr>
        <w:t>parliamentary expenses scandal.</w:t>
      </w:r>
    </w:p>
    <w:p w14:paraId="357A5D21" w14:textId="7E355951" w:rsidR="00B14410" w:rsidRPr="006C3DFF" w:rsidRDefault="00391936" w:rsidP="001C3ED8">
      <w:pPr>
        <w:pStyle w:val="VCAAbody"/>
        <w:rPr>
          <w:lang w:val="en-AU"/>
        </w:rPr>
      </w:pPr>
      <w:r w:rsidRPr="006C3DFF">
        <w:rPr>
          <w:lang w:val="en-AU"/>
        </w:rPr>
        <w:t xml:space="preserve">Some students argued that IMR </w:t>
      </w:r>
      <w:r w:rsidR="00EF1172" w:rsidRPr="006C3DFF">
        <w:rPr>
          <w:lang w:val="en-AU"/>
        </w:rPr>
        <w:t xml:space="preserve">has declined in significance in recent decades, with ministers now less inclined to resign. A contemporary viewpoint is that it is unreasonable to expect ministers to take direct responsibility for all of the actions of those under their authority. </w:t>
      </w:r>
      <w:r w:rsidR="003E4CF7" w:rsidRPr="006C3DFF">
        <w:rPr>
          <w:lang w:val="en-AU"/>
        </w:rPr>
        <w:t xml:space="preserve">There is now greater reliance on ministerial codes of conduct. </w:t>
      </w:r>
      <w:r w:rsidR="00EF1172" w:rsidRPr="006C3DFF">
        <w:rPr>
          <w:lang w:val="en-AU"/>
        </w:rPr>
        <w:t>T</w:t>
      </w:r>
      <w:r w:rsidR="00B20ABD" w:rsidRPr="006C3DFF">
        <w:rPr>
          <w:lang w:val="en-AU"/>
        </w:rPr>
        <w:t xml:space="preserve">he increased size and complexity of government departments have seen </w:t>
      </w:r>
      <w:r w:rsidR="00EF1172" w:rsidRPr="006C3DFF">
        <w:rPr>
          <w:lang w:val="en-AU"/>
        </w:rPr>
        <w:t>alternative accountability mechanisms instituted</w:t>
      </w:r>
      <w:r w:rsidR="008965FF" w:rsidRPr="006C3DFF">
        <w:rPr>
          <w:lang w:val="en-AU"/>
        </w:rPr>
        <w:t xml:space="preserve">, such as Senate Estimates processes and </w:t>
      </w:r>
      <w:r w:rsidR="00930220" w:rsidRPr="006C3DFF">
        <w:rPr>
          <w:lang w:val="en-AU"/>
        </w:rPr>
        <w:t>freedom of information (</w:t>
      </w:r>
      <w:r w:rsidR="008965FF" w:rsidRPr="006C3DFF">
        <w:rPr>
          <w:lang w:val="en-AU"/>
        </w:rPr>
        <w:t>FOI</w:t>
      </w:r>
      <w:r w:rsidR="00930220" w:rsidRPr="006C3DFF">
        <w:rPr>
          <w:lang w:val="en-AU"/>
        </w:rPr>
        <w:t>)</w:t>
      </w:r>
      <w:r w:rsidR="008965FF" w:rsidRPr="006C3DFF">
        <w:rPr>
          <w:lang w:val="en-AU"/>
        </w:rPr>
        <w:t xml:space="preserve"> legislation, </w:t>
      </w:r>
      <w:r w:rsidR="00EF1172" w:rsidRPr="006C3DFF">
        <w:rPr>
          <w:lang w:val="en-AU"/>
        </w:rPr>
        <w:t>to offset the growth in bureaucratic decision-making</w:t>
      </w:r>
      <w:r w:rsidR="008965FF" w:rsidRPr="006C3DFF">
        <w:rPr>
          <w:lang w:val="en-AU"/>
        </w:rPr>
        <w:t>.</w:t>
      </w:r>
      <w:r w:rsidR="00EF1172" w:rsidRPr="006C3DFF">
        <w:rPr>
          <w:lang w:val="en-AU"/>
        </w:rPr>
        <w:t xml:space="preserve"> </w:t>
      </w:r>
      <w:r w:rsidR="00582DBC" w:rsidRPr="006C3DFF">
        <w:rPr>
          <w:lang w:val="en-AU"/>
        </w:rPr>
        <w:t>Other</w:t>
      </w:r>
      <w:r w:rsidR="008B0816" w:rsidRPr="006C3DFF">
        <w:rPr>
          <w:lang w:val="en-AU"/>
        </w:rPr>
        <w:t xml:space="preserve"> reasons given for reduced significance of IMR included the larger role that ministerial advisers play and the damage ministerial resignations can inflict on governments, particularly those with a small majority. Students referred to ministers’ retention of their portfolios to support these points: </w:t>
      </w:r>
      <w:proofErr w:type="spellStart"/>
      <w:r w:rsidR="008B0816" w:rsidRPr="006C3DFF">
        <w:rPr>
          <w:lang w:val="en-AU"/>
        </w:rPr>
        <w:t>Michaelia</w:t>
      </w:r>
      <w:proofErr w:type="spellEnd"/>
      <w:r w:rsidR="008B0816" w:rsidRPr="006C3DFF">
        <w:rPr>
          <w:lang w:val="en-AU"/>
        </w:rPr>
        <w:t xml:space="preserve"> Cash remained </w:t>
      </w:r>
      <w:r w:rsidR="00C46509" w:rsidRPr="006C3DFF">
        <w:rPr>
          <w:lang w:val="en-AU"/>
        </w:rPr>
        <w:t>m</w:t>
      </w:r>
      <w:r w:rsidR="008B0816" w:rsidRPr="006C3DFF">
        <w:rPr>
          <w:lang w:val="en-AU"/>
        </w:rPr>
        <w:t xml:space="preserve">inister for </w:t>
      </w:r>
      <w:r w:rsidR="00C46509" w:rsidRPr="006C3DFF">
        <w:rPr>
          <w:lang w:val="en-AU"/>
        </w:rPr>
        <w:t>e</w:t>
      </w:r>
      <w:r w:rsidR="008B0816" w:rsidRPr="006C3DFF">
        <w:rPr>
          <w:lang w:val="en-AU"/>
        </w:rPr>
        <w:t>mployment after</w:t>
      </w:r>
      <w:r w:rsidR="00A62F9F" w:rsidRPr="006C3DFF">
        <w:rPr>
          <w:lang w:val="en-AU"/>
        </w:rPr>
        <w:t xml:space="preserve"> a member of her staff</w:t>
      </w:r>
      <w:r w:rsidR="008B0816" w:rsidRPr="006C3DFF">
        <w:rPr>
          <w:lang w:val="en-AU"/>
        </w:rPr>
        <w:t xml:space="preserve"> tipped off the media before </w:t>
      </w:r>
      <w:r w:rsidR="008B0816" w:rsidRPr="006C3DFF">
        <w:rPr>
          <w:color w:val="202122"/>
          <w:sz w:val="21"/>
          <w:szCs w:val="21"/>
          <w:shd w:val="clear" w:color="auto" w:fill="FFFFFF"/>
          <w:lang w:val="en-AU"/>
        </w:rPr>
        <w:t>the</w:t>
      </w:r>
      <w:r w:rsidR="00A62F9F" w:rsidRPr="006C3DFF">
        <w:rPr>
          <w:color w:val="202122"/>
          <w:sz w:val="21"/>
          <w:szCs w:val="21"/>
          <w:shd w:val="clear" w:color="auto" w:fill="FFFFFF"/>
          <w:lang w:val="en-AU"/>
        </w:rPr>
        <w:t xml:space="preserve"> Australian Federal Police raided the Australian Workers’ Union offices in 2017, and </w:t>
      </w:r>
      <w:r w:rsidR="00A62F9F" w:rsidRPr="006C3DFF">
        <w:rPr>
          <w:lang w:val="en-AU"/>
        </w:rPr>
        <w:t xml:space="preserve">no responsible ministers lost their jobs over the Coalition government’s unlawful </w:t>
      </w:r>
      <w:proofErr w:type="spellStart"/>
      <w:r w:rsidR="00A62F9F" w:rsidRPr="006C3DFF">
        <w:rPr>
          <w:lang w:val="en-AU"/>
        </w:rPr>
        <w:t>Robodebt</w:t>
      </w:r>
      <w:proofErr w:type="spellEnd"/>
      <w:r w:rsidR="00A62F9F" w:rsidRPr="006C3DFF">
        <w:rPr>
          <w:lang w:val="en-AU"/>
        </w:rPr>
        <w:t xml:space="preserve"> scheme. Similarly, students referred to the return to executive government of individuals such as McKenzie and Ley as evidence of the diminished significance of IMR.</w:t>
      </w:r>
    </w:p>
    <w:p w14:paraId="7F415167" w14:textId="3E2860FF" w:rsidR="00A62F9F" w:rsidRPr="006C3DFF" w:rsidRDefault="00A62F9F">
      <w:pPr>
        <w:pStyle w:val="VCAAHeading3"/>
        <w:rPr>
          <w:lang w:val="en-AU"/>
        </w:rPr>
      </w:pPr>
      <w:r w:rsidRPr="006C3DFF">
        <w:rPr>
          <w:lang w:val="en-AU"/>
        </w:rPr>
        <w:t>Question 3</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576"/>
        <w:gridCol w:w="576"/>
        <w:gridCol w:w="576"/>
        <w:gridCol w:w="576"/>
        <w:gridCol w:w="576"/>
        <w:gridCol w:w="864"/>
      </w:tblGrid>
      <w:tr w:rsidR="00204E86" w:rsidRPr="006C3DFF" w14:paraId="2416A14B" w14:textId="77777777" w:rsidTr="00B942C4">
        <w:trPr>
          <w:cnfStyle w:val="100000000000" w:firstRow="1" w:lastRow="0" w:firstColumn="0" w:lastColumn="0" w:oddVBand="0" w:evenVBand="0" w:oddHBand="0" w:evenHBand="0" w:firstRowFirstColumn="0" w:firstRowLastColumn="0" w:lastRowFirstColumn="0" w:lastRowLastColumn="0"/>
        </w:trPr>
        <w:tc>
          <w:tcPr>
            <w:tcW w:w="599" w:type="dxa"/>
          </w:tcPr>
          <w:p w14:paraId="03CE4EEA" w14:textId="77777777" w:rsidR="00204E86" w:rsidRPr="006C3DFF" w:rsidRDefault="00204E86" w:rsidP="00D81C70">
            <w:pPr>
              <w:pStyle w:val="VCAAtablecondensedheading"/>
              <w:rPr>
                <w:lang w:val="en-AU"/>
              </w:rPr>
            </w:pPr>
            <w:r w:rsidRPr="006C3DFF">
              <w:rPr>
                <w:lang w:val="en-AU"/>
              </w:rPr>
              <w:t>Mark</w:t>
            </w:r>
          </w:p>
        </w:tc>
        <w:tc>
          <w:tcPr>
            <w:tcW w:w="576" w:type="dxa"/>
          </w:tcPr>
          <w:p w14:paraId="1CB61BE9" w14:textId="77777777" w:rsidR="00204E86" w:rsidRPr="006C3DFF" w:rsidRDefault="00204E86" w:rsidP="00D81C70">
            <w:pPr>
              <w:pStyle w:val="VCAAtablecondensedheading"/>
              <w:rPr>
                <w:lang w:val="en-AU"/>
              </w:rPr>
            </w:pPr>
            <w:r w:rsidRPr="006C3DFF">
              <w:rPr>
                <w:lang w:val="en-AU"/>
              </w:rPr>
              <w:t>0</w:t>
            </w:r>
          </w:p>
        </w:tc>
        <w:tc>
          <w:tcPr>
            <w:tcW w:w="576" w:type="dxa"/>
          </w:tcPr>
          <w:p w14:paraId="11597644" w14:textId="77777777" w:rsidR="00204E86" w:rsidRPr="006C3DFF" w:rsidRDefault="00204E86" w:rsidP="00D81C70">
            <w:pPr>
              <w:pStyle w:val="VCAAtablecondensedheading"/>
              <w:rPr>
                <w:lang w:val="en-AU"/>
              </w:rPr>
            </w:pPr>
            <w:r w:rsidRPr="006C3DFF">
              <w:rPr>
                <w:lang w:val="en-AU"/>
              </w:rPr>
              <w:t>1</w:t>
            </w:r>
          </w:p>
        </w:tc>
        <w:tc>
          <w:tcPr>
            <w:tcW w:w="576" w:type="dxa"/>
          </w:tcPr>
          <w:p w14:paraId="301AC028" w14:textId="77777777" w:rsidR="00204E86" w:rsidRPr="006C3DFF" w:rsidRDefault="00204E86" w:rsidP="00D81C70">
            <w:pPr>
              <w:pStyle w:val="VCAAtablecondensedheading"/>
              <w:rPr>
                <w:lang w:val="en-AU"/>
              </w:rPr>
            </w:pPr>
            <w:r w:rsidRPr="006C3DFF">
              <w:rPr>
                <w:lang w:val="en-AU"/>
              </w:rPr>
              <w:t>2</w:t>
            </w:r>
          </w:p>
        </w:tc>
        <w:tc>
          <w:tcPr>
            <w:tcW w:w="576" w:type="dxa"/>
          </w:tcPr>
          <w:p w14:paraId="0D4A93E1" w14:textId="77777777" w:rsidR="00204E86" w:rsidRPr="006C3DFF" w:rsidRDefault="00204E86" w:rsidP="00D81C70">
            <w:pPr>
              <w:pStyle w:val="VCAAtablecondensedheading"/>
              <w:rPr>
                <w:lang w:val="en-AU"/>
              </w:rPr>
            </w:pPr>
            <w:r w:rsidRPr="006C3DFF">
              <w:rPr>
                <w:lang w:val="en-AU"/>
              </w:rPr>
              <w:t>3</w:t>
            </w:r>
          </w:p>
        </w:tc>
        <w:tc>
          <w:tcPr>
            <w:tcW w:w="576" w:type="dxa"/>
          </w:tcPr>
          <w:p w14:paraId="0117CDF3" w14:textId="77777777" w:rsidR="00204E86" w:rsidRPr="006C3DFF" w:rsidRDefault="00204E86" w:rsidP="00D81C70">
            <w:pPr>
              <w:pStyle w:val="VCAAtablecondensedheading"/>
              <w:rPr>
                <w:lang w:val="en-AU"/>
              </w:rPr>
            </w:pPr>
            <w:r w:rsidRPr="006C3DFF">
              <w:rPr>
                <w:lang w:val="en-AU"/>
              </w:rPr>
              <w:t>4</w:t>
            </w:r>
          </w:p>
        </w:tc>
        <w:tc>
          <w:tcPr>
            <w:tcW w:w="576" w:type="dxa"/>
          </w:tcPr>
          <w:p w14:paraId="233F8793" w14:textId="5541CFA5" w:rsidR="00204E86" w:rsidRPr="006C3DFF" w:rsidRDefault="00204E86" w:rsidP="00D81C70">
            <w:pPr>
              <w:pStyle w:val="VCAAtablecondensedheading"/>
              <w:rPr>
                <w:lang w:val="en-AU"/>
              </w:rPr>
            </w:pPr>
            <w:r w:rsidRPr="006C3DFF">
              <w:rPr>
                <w:lang w:val="en-AU"/>
              </w:rPr>
              <w:t>5</w:t>
            </w:r>
          </w:p>
        </w:tc>
        <w:tc>
          <w:tcPr>
            <w:tcW w:w="576" w:type="dxa"/>
          </w:tcPr>
          <w:p w14:paraId="7340DAF4" w14:textId="596CD2C2" w:rsidR="00204E86" w:rsidRPr="006C3DFF" w:rsidRDefault="00204E86" w:rsidP="00D81C70">
            <w:pPr>
              <w:pStyle w:val="VCAAtablecondensedheading"/>
              <w:rPr>
                <w:lang w:val="en-AU"/>
              </w:rPr>
            </w:pPr>
            <w:r w:rsidRPr="006C3DFF">
              <w:rPr>
                <w:lang w:val="en-AU"/>
              </w:rPr>
              <w:t>6</w:t>
            </w:r>
          </w:p>
        </w:tc>
        <w:tc>
          <w:tcPr>
            <w:tcW w:w="576" w:type="dxa"/>
          </w:tcPr>
          <w:p w14:paraId="79F02F0D" w14:textId="1E919A39" w:rsidR="00204E86" w:rsidRPr="006C3DFF" w:rsidRDefault="00204E86" w:rsidP="00D81C70">
            <w:pPr>
              <w:pStyle w:val="VCAAtablecondensedheading"/>
              <w:rPr>
                <w:lang w:val="en-AU"/>
              </w:rPr>
            </w:pPr>
            <w:r w:rsidRPr="006C3DFF">
              <w:rPr>
                <w:lang w:val="en-AU"/>
              </w:rPr>
              <w:t>7</w:t>
            </w:r>
          </w:p>
        </w:tc>
        <w:tc>
          <w:tcPr>
            <w:tcW w:w="576" w:type="dxa"/>
          </w:tcPr>
          <w:p w14:paraId="56BBF3EC" w14:textId="02894D7D" w:rsidR="00204E86" w:rsidRPr="006C3DFF" w:rsidRDefault="00204E86" w:rsidP="00D81C70">
            <w:pPr>
              <w:pStyle w:val="VCAAtablecondensedheading"/>
              <w:rPr>
                <w:lang w:val="en-AU"/>
              </w:rPr>
            </w:pPr>
            <w:r w:rsidRPr="006C3DFF">
              <w:rPr>
                <w:lang w:val="en-AU"/>
              </w:rPr>
              <w:t>8</w:t>
            </w:r>
          </w:p>
        </w:tc>
        <w:tc>
          <w:tcPr>
            <w:tcW w:w="864" w:type="dxa"/>
          </w:tcPr>
          <w:p w14:paraId="09448107" w14:textId="67B209FE" w:rsidR="00204E86" w:rsidRPr="006C3DFF" w:rsidRDefault="00204E86" w:rsidP="00D81C70">
            <w:pPr>
              <w:pStyle w:val="VCAAtablecondensedheading"/>
              <w:rPr>
                <w:lang w:val="en-AU"/>
              </w:rPr>
            </w:pPr>
            <w:r w:rsidRPr="006C3DFF">
              <w:rPr>
                <w:lang w:val="en-AU"/>
              </w:rPr>
              <w:t>Average</w:t>
            </w:r>
          </w:p>
        </w:tc>
      </w:tr>
      <w:tr w:rsidR="00204E86" w:rsidRPr="006C3DFF" w14:paraId="536ECE96" w14:textId="77777777" w:rsidTr="00D81C70">
        <w:tc>
          <w:tcPr>
            <w:tcW w:w="599" w:type="dxa"/>
          </w:tcPr>
          <w:p w14:paraId="13367E9F"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2CA456B8" w14:textId="116F5163" w:rsidR="00204E86" w:rsidRPr="006C3DFF" w:rsidRDefault="00204E86" w:rsidP="00F8149F">
            <w:pPr>
              <w:pStyle w:val="VCAAtablecondensed"/>
              <w:rPr>
                <w:lang w:val="en-AU"/>
              </w:rPr>
            </w:pPr>
            <w:r w:rsidRPr="006C3DFF">
              <w:rPr>
                <w:lang w:val="en-AU"/>
              </w:rPr>
              <w:t>12</w:t>
            </w:r>
          </w:p>
        </w:tc>
        <w:tc>
          <w:tcPr>
            <w:tcW w:w="576" w:type="dxa"/>
            <w:vAlign w:val="center"/>
          </w:tcPr>
          <w:p w14:paraId="379F8E79" w14:textId="76920F3D" w:rsidR="00204E86" w:rsidRPr="006C3DFF" w:rsidRDefault="00204E86" w:rsidP="00F8149F">
            <w:pPr>
              <w:pStyle w:val="VCAAtablecondensed"/>
              <w:rPr>
                <w:lang w:val="en-AU"/>
              </w:rPr>
            </w:pPr>
            <w:r w:rsidRPr="006C3DFF">
              <w:rPr>
                <w:lang w:val="en-AU"/>
              </w:rPr>
              <w:t>7</w:t>
            </w:r>
          </w:p>
        </w:tc>
        <w:tc>
          <w:tcPr>
            <w:tcW w:w="576" w:type="dxa"/>
            <w:vAlign w:val="center"/>
          </w:tcPr>
          <w:p w14:paraId="7F298DEF" w14:textId="5C5F93EA" w:rsidR="00204E86" w:rsidRPr="006C3DFF" w:rsidRDefault="00204E86" w:rsidP="00F8149F">
            <w:pPr>
              <w:pStyle w:val="VCAAtablecondensed"/>
              <w:rPr>
                <w:lang w:val="en-AU"/>
              </w:rPr>
            </w:pPr>
            <w:r w:rsidRPr="006C3DFF">
              <w:rPr>
                <w:lang w:val="en-AU"/>
              </w:rPr>
              <w:t>9</w:t>
            </w:r>
          </w:p>
        </w:tc>
        <w:tc>
          <w:tcPr>
            <w:tcW w:w="576" w:type="dxa"/>
            <w:vAlign w:val="center"/>
          </w:tcPr>
          <w:p w14:paraId="78370767" w14:textId="59BA627B" w:rsidR="00204E86" w:rsidRPr="006C3DFF" w:rsidRDefault="00204E86" w:rsidP="00F8149F">
            <w:pPr>
              <w:pStyle w:val="VCAAtablecondensed"/>
              <w:rPr>
                <w:lang w:val="en-AU"/>
              </w:rPr>
            </w:pPr>
            <w:r w:rsidRPr="006C3DFF">
              <w:rPr>
                <w:lang w:val="en-AU"/>
              </w:rPr>
              <w:t>10</w:t>
            </w:r>
          </w:p>
        </w:tc>
        <w:tc>
          <w:tcPr>
            <w:tcW w:w="576" w:type="dxa"/>
            <w:vAlign w:val="center"/>
          </w:tcPr>
          <w:p w14:paraId="7223E4BD" w14:textId="5E60E6CB" w:rsidR="00204E86" w:rsidRPr="006C3DFF" w:rsidRDefault="00204E86" w:rsidP="00F8149F">
            <w:pPr>
              <w:pStyle w:val="VCAAtablecondensed"/>
              <w:rPr>
                <w:lang w:val="en-AU"/>
              </w:rPr>
            </w:pPr>
            <w:r w:rsidRPr="006C3DFF">
              <w:rPr>
                <w:lang w:val="en-AU"/>
              </w:rPr>
              <w:t>14</w:t>
            </w:r>
          </w:p>
        </w:tc>
        <w:tc>
          <w:tcPr>
            <w:tcW w:w="576" w:type="dxa"/>
            <w:vAlign w:val="center"/>
          </w:tcPr>
          <w:p w14:paraId="6AEE5AAB" w14:textId="4682D8FB" w:rsidR="00204E86" w:rsidRPr="006C3DFF" w:rsidRDefault="00204E86" w:rsidP="00F8149F">
            <w:pPr>
              <w:pStyle w:val="VCAAtablecondensed"/>
              <w:rPr>
                <w:lang w:val="en-AU"/>
              </w:rPr>
            </w:pPr>
            <w:r w:rsidRPr="006C3DFF">
              <w:rPr>
                <w:lang w:val="en-AU"/>
              </w:rPr>
              <w:t>17</w:t>
            </w:r>
          </w:p>
        </w:tc>
        <w:tc>
          <w:tcPr>
            <w:tcW w:w="576" w:type="dxa"/>
            <w:vAlign w:val="center"/>
          </w:tcPr>
          <w:p w14:paraId="5D7CBE01" w14:textId="24CAE9DB" w:rsidR="00204E86" w:rsidRPr="006C3DFF" w:rsidRDefault="00204E86" w:rsidP="00F8149F">
            <w:pPr>
              <w:pStyle w:val="VCAAtablecondensed"/>
              <w:rPr>
                <w:lang w:val="en-AU"/>
              </w:rPr>
            </w:pPr>
            <w:r w:rsidRPr="006C3DFF">
              <w:rPr>
                <w:lang w:val="en-AU"/>
              </w:rPr>
              <w:t>18</w:t>
            </w:r>
          </w:p>
        </w:tc>
        <w:tc>
          <w:tcPr>
            <w:tcW w:w="576" w:type="dxa"/>
            <w:vAlign w:val="center"/>
          </w:tcPr>
          <w:p w14:paraId="4A8FB2E0" w14:textId="177A33C7" w:rsidR="00204E86" w:rsidRPr="006C3DFF" w:rsidRDefault="00204E86" w:rsidP="00F8149F">
            <w:pPr>
              <w:pStyle w:val="VCAAtablecondensed"/>
              <w:rPr>
                <w:lang w:val="en-AU"/>
              </w:rPr>
            </w:pPr>
            <w:r w:rsidRPr="006C3DFF">
              <w:rPr>
                <w:lang w:val="en-AU"/>
              </w:rPr>
              <w:t>8</w:t>
            </w:r>
          </w:p>
        </w:tc>
        <w:tc>
          <w:tcPr>
            <w:tcW w:w="576" w:type="dxa"/>
            <w:vAlign w:val="center"/>
          </w:tcPr>
          <w:p w14:paraId="4E8176C0" w14:textId="46211C21" w:rsidR="00204E86" w:rsidRPr="006C3DFF" w:rsidRDefault="00204E86" w:rsidP="00F8149F">
            <w:pPr>
              <w:pStyle w:val="VCAAtablecondensed"/>
              <w:rPr>
                <w:lang w:val="en-AU"/>
              </w:rPr>
            </w:pPr>
            <w:r w:rsidRPr="006C3DFF">
              <w:rPr>
                <w:strike/>
                <w:lang w:val="en-AU"/>
              </w:rPr>
              <w:t>4</w:t>
            </w:r>
          </w:p>
        </w:tc>
        <w:tc>
          <w:tcPr>
            <w:tcW w:w="864" w:type="dxa"/>
          </w:tcPr>
          <w:p w14:paraId="660B1D45" w14:textId="4E557A09" w:rsidR="00204E86" w:rsidRPr="006C3DFF" w:rsidRDefault="00204E86" w:rsidP="00F8149F">
            <w:pPr>
              <w:pStyle w:val="VCAAtablecondensed"/>
              <w:rPr>
                <w:lang w:val="en-AU"/>
              </w:rPr>
            </w:pPr>
            <w:r w:rsidRPr="006C3DFF">
              <w:rPr>
                <w:lang w:val="en-AU"/>
              </w:rPr>
              <w:t>4</w:t>
            </w:r>
          </w:p>
        </w:tc>
      </w:tr>
    </w:tbl>
    <w:p w14:paraId="073CA910" w14:textId="1970B7EC" w:rsidR="00834A47" w:rsidRPr="006C3DFF" w:rsidRDefault="00834A47" w:rsidP="001C3ED8">
      <w:pPr>
        <w:pStyle w:val="VCAAbody"/>
        <w:rPr>
          <w:lang w:val="en-AU"/>
        </w:rPr>
      </w:pPr>
      <w:r w:rsidRPr="006C3DFF">
        <w:rPr>
          <w:lang w:val="en-AU"/>
        </w:rPr>
        <w:t>Broadly, there were two acceptable approaches</w:t>
      </w:r>
      <w:r w:rsidR="00930220" w:rsidRPr="006C3DFF">
        <w:rPr>
          <w:lang w:val="en-AU"/>
        </w:rPr>
        <w:t xml:space="preserve"> to this question</w:t>
      </w:r>
      <w:r w:rsidRPr="006C3DFF">
        <w:rPr>
          <w:lang w:val="en-AU"/>
        </w:rPr>
        <w:t>: first, comparing how political parties affect the composition of the Australian and US legislatures</w:t>
      </w:r>
      <w:r w:rsidR="00930220" w:rsidRPr="006C3DFF">
        <w:rPr>
          <w:lang w:val="en-AU"/>
        </w:rPr>
        <w:t>;</w:t>
      </w:r>
      <w:r w:rsidRPr="006C3DFF">
        <w:rPr>
          <w:lang w:val="en-AU"/>
        </w:rPr>
        <w:t xml:space="preserve"> and/or second, comparing how political parties affect the operation and effectiveness of the Australian and US legislatures in fulfilling their representative functions.</w:t>
      </w:r>
    </w:p>
    <w:p w14:paraId="73728E3B" w14:textId="7C76852D" w:rsidR="00A35F22" w:rsidRPr="006C3DFF" w:rsidRDefault="00E0427A" w:rsidP="001C3ED8">
      <w:pPr>
        <w:pStyle w:val="VCAAbody"/>
        <w:rPr>
          <w:lang w:val="en-AU"/>
        </w:rPr>
      </w:pPr>
      <w:r w:rsidRPr="006C3DFF">
        <w:rPr>
          <w:lang w:val="en-AU"/>
        </w:rPr>
        <w:t xml:space="preserve">While some students demonstrated excellent knowledge, many failed to adhere to the requirements of the question. </w:t>
      </w:r>
      <w:r w:rsidR="00834A47" w:rsidRPr="006C3DFF">
        <w:rPr>
          <w:lang w:val="en-AU"/>
        </w:rPr>
        <w:t>A comparison requires</w:t>
      </w:r>
      <w:r w:rsidRPr="006C3DFF">
        <w:rPr>
          <w:lang w:val="en-AU"/>
        </w:rPr>
        <w:t xml:space="preserve"> an exploration of similarities and differences. The question contained a plural – </w:t>
      </w:r>
      <w:r w:rsidR="00ED18B8" w:rsidRPr="006C3DFF">
        <w:rPr>
          <w:lang w:val="en-AU"/>
        </w:rPr>
        <w:t>‘</w:t>
      </w:r>
      <w:r w:rsidRPr="006C3DFF">
        <w:rPr>
          <w:lang w:val="en-AU"/>
        </w:rPr>
        <w:t>impacts</w:t>
      </w:r>
      <w:r w:rsidR="00ED18B8" w:rsidRPr="006C3DFF">
        <w:rPr>
          <w:lang w:val="en-AU"/>
        </w:rPr>
        <w:t>’</w:t>
      </w:r>
      <w:r w:rsidRPr="006C3DFF">
        <w:rPr>
          <w:lang w:val="en-AU"/>
        </w:rPr>
        <w:t xml:space="preserve"> – so students needed to discuss at least two ways in which parties influence representation in the respective legislatures. The impacts discussed needed to be linked to the democratic principle of representation</w:t>
      </w:r>
      <w:r w:rsidR="009467BF" w:rsidRPr="006C3DFF">
        <w:rPr>
          <w:lang w:val="en-AU"/>
        </w:rPr>
        <w:t>. S</w:t>
      </w:r>
      <w:r w:rsidRPr="006C3DFF">
        <w:rPr>
          <w:lang w:val="en-AU"/>
        </w:rPr>
        <w:t>ome</w:t>
      </w:r>
      <w:r w:rsidR="009467BF" w:rsidRPr="006C3DFF">
        <w:rPr>
          <w:lang w:val="en-AU"/>
        </w:rPr>
        <w:t xml:space="preserve"> responses were constrained by the </w:t>
      </w:r>
      <w:r w:rsidR="00ED1D7A" w:rsidRPr="006C3DFF">
        <w:rPr>
          <w:lang w:val="en-AU"/>
        </w:rPr>
        <w:t>writers’ belief</w:t>
      </w:r>
      <w:r w:rsidR="009467BF" w:rsidRPr="006C3DFF">
        <w:rPr>
          <w:lang w:val="en-AU"/>
        </w:rPr>
        <w:t xml:space="preserve"> that representation simply means to follow the wishes of electors</w:t>
      </w:r>
      <w:r w:rsidR="00A35F22" w:rsidRPr="006C3DFF">
        <w:rPr>
          <w:lang w:val="en-AU"/>
        </w:rPr>
        <w:t>, while h</w:t>
      </w:r>
      <w:r w:rsidRPr="006C3DFF">
        <w:rPr>
          <w:lang w:val="en-AU"/>
        </w:rPr>
        <w:t>i</w:t>
      </w:r>
      <w:r w:rsidR="009467BF" w:rsidRPr="006C3DFF">
        <w:rPr>
          <w:lang w:val="en-AU"/>
        </w:rPr>
        <w:t>gher-scoring responses explored different notions of representation</w:t>
      </w:r>
      <w:r w:rsidR="00A35F22" w:rsidRPr="006C3DFF">
        <w:rPr>
          <w:lang w:val="en-AU"/>
        </w:rPr>
        <w:t>.</w:t>
      </w:r>
    </w:p>
    <w:p w14:paraId="010743BE" w14:textId="18FA4A96" w:rsidR="000A11B9" w:rsidRPr="006C3DFF" w:rsidRDefault="000A11B9" w:rsidP="001C3ED8">
      <w:pPr>
        <w:pStyle w:val="VCAAbody"/>
        <w:rPr>
          <w:lang w:val="en-AU"/>
        </w:rPr>
      </w:pPr>
      <w:r w:rsidRPr="006C3DFF">
        <w:rPr>
          <w:lang w:val="en-AU"/>
        </w:rPr>
        <w:t>Similar</w:t>
      </w:r>
      <w:r w:rsidR="00A43E1C" w:rsidRPr="006C3DFF">
        <w:rPr>
          <w:lang w:val="en-AU"/>
        </w:rPr>
        <w:t>ities between the</w:t>
      </w:r>
      <w:r w:rsidRPr="006C3DFF">
        <w:rPr>
          <w:lang w:val="en-AU"/>
        </w:rPr>
        <w:t xml:space="preserve"> impacts of parties on representation in Parliament and Congress include:</w:t>
      </w:r>
    </w:p>
    <w:p w14:paraId="7783F7BA" w14:textId="04475848" w:rsidR="000A11B9" w:rsidRPr="006C3DFF" w:rsidRDefault="000A11B9" w:rsidP="000202B8">
      <w:pPr>
        <w:pStyle w:val="VCAAbullet"/>
        <w:rPr>
          <w:lang w:val="en-AU"/>
        </w:rPr>
      </w:pPr>
      <w:r w:rsidRPr="006C3DFF">
        <w:rPr>
          <w:lang w:val="en-AU"/>
        </w:rPr>
        <w:t>membership recruitment</w:t>
      </w:r>
    </w:p>
    <w:p w14:paraId="401271F6" w14:textId="5BD79EA8" w:rsidR="000A11B9" w:rsidRPr="006C3DFF" w:rsidRDefault="000A11B9" w:rsidP="000202B8">
      <w:pPr>
        <w:pStyle w:val="VCAAbullet"/>
        <w:rPr>
          <w:lang w:val="en-AU"/>
        </w:rPr>
      </w:pPr>
      <w:r w:rsidRPr="006C3DFF">
        <w:rPr>
          <w:lang w:val="en-AU"/>
        </w:rPr>
        <w:t>control of pre-selection processes</w:t>
      </w:r>
    </w:p>
    <w:p w14:paraId="79EE76C2" w14:textId="79C15DEE" w:rsidR="000A11B9" w:rsidRPr="006C3DFF" w:rsidRDefault="000A11B9" w:rsidP="000202B8">
      <w:pPr>
        <w:pStyle w:val="VCAAbullet"/>
        <w:rPr>
          <w:lang w:val="en-AU"/>
        </w:rPr>
      </w:pPr>
      <w:r w:rsidRPr="006C3DFF">
        <w:rPr>
          <w:lang w:val="en-AU"/>
        </w:rPr>
        <w:t>campaigning and fundraising</w:t>
      </w:r>
    </w:p>
    <w:p w14:paraId="0A3D5F5C" w14:textId="3B067EA4" w:rsidR="000A11B9" w:rsidRPr="006C3DFF" w:rsidRDefault="00A43E1C" w:rsidP="000202B8">
      <w:pPr>
        <w:pStyle w:val="VCAAbullet"/>
        <w:rPr>
          <w:lang w:val="en-AU"/>
        </w:rPr>
      </w:pPr>
      <w:r w:rsidRPr="006C3DFF">
        <w:rPr>
          <w:lang w:val="en-AU"/>
        </w:rPr>
        <w:t>role of party whips in organising party members to take part in debates and votes</w:t>
      </w:r>
      <w:r w:rsidR="008F72DA" w:rsidRPr="006C3DFF">
        <w:rPr>
          <w:lang w:val="en-AU"/>
        </w:rPr>
        <w:t>.</w:t>
      </w:r>
    </w:p>
    <w:p w14:paraId="505BEA9A" w14:textId="77AFB2F4" w:rsidR="00A43E1C" w:rsidRPr="006C3DFF" w:rsidRDefault="00A43E1C" w:rsidP="00A43E1C">
      <w:pPr>
        <w:pStyle w:val="VCAAbody"/>
        <w:rPr>
          <w:lang w:val="en-AU"/>
        </w:rPr>
      </w:pPr>
      <w:r w:rsidRPr="006C3DFF">
        <w:rPr>
          <w:lang w:val="en-AU"/>
        </w:rPr>
        <w:t>Differences between the impacts of parties on representation in Parliament and Congress include:</w:t>
      </w:r>
    </w:p>
    <w:p w14:paraId="67389CF6" w14:textId="47AB6CD5" w:rsidR="00A43E1C" w:rsidRPr="006C3DFF" w:rsidRDefault="00A43E1C" w:rsidP="000202B8">
      <w:pPr>
        <w:pStyle w:val="VCAAbullet"/>
        <w:rPr>
          <w:lang w:val="en-AU"/>
        </w:rPr>
      </w:pPr>
      <w:r w:rsidRPr="006C3DFF">
        <w:rPr>
          <w:lang w:val="en-AU"/>
        </w:rPr>
        <w:t>strong two-party dominance of US Congress, with increasing partisanship resulting in little representation of moderates</w:t>
      </w:r>
    </w:p>
    <w:p w14:paraId="167AFD06" w14:textId="1384FAE9" w:rsidR="00A43E1C" w:rsidRPr="006C3DFF" w:rsidRDefault="00A43E1C" w:rsidP="000202B8">
      <w:pPr>
        <w:pStyle w:val="VCAAbullet"/>
        <w:rPr>
          <w:lang w:val="en-AU"/>
        </w:rPr>
      </w:pPr>
      <w:r w:rsidRPr="006C3DFF">
        <w:rPr>
          <w:lang w:val="en-AU"/>
        </w:rPr>
        <w:t>two major parties compete for government</w:t>
      </w:r>
      <w:r w:rsidR="002D187F" w:rsidRPr="006C3DFF">
        <w:rPr>
          <w:lang w:val="en-AU"/>
        </w:rPr>
        <w:t xml:space="preserve"> in Australia, but</w:t>
      </w:r>
      <w:r w:rsidRPr="006C3DFF">
        <w:rPr>
          <w:lang w:val="en-AU"/>
        </w:rPr>
        <w:t xml:space="preserve"> </w:t>
      </w:r>
      <w:r w:rsidR="00930220" w:rsidRPr="006C3DFF">
        <w:rPr>
          <w:lang w:val="en-AU"/>
        </w:rPr>
        <w:t xml:space="preserve">there is </w:t>
      </w:r>
      <w:r w:rsidRPr="006C3DFF">
        <w:rPr>
          <w:lang w:val="en-AU"/>
        </w:rPr>
        <w:t>increas</w:t>
      </w:r>
      <w:r w:rsidR="002D187F" w:rsidRPr="006C3DFF">
        <w:rPr>
          <w:lang w:val="en-AU"/>
        </w:rPr>
        <w:t>ing</w:t>
      </w:r>
      <w:r w:rsidRPr="006C3DFF">
        <w:rPr>
          <w:lang w:val="en-AU"/>
        </w:rPr>
        <w:t xml:space="preserve"> diversity of representation in Australia due to the openness of the system to minor parties and ind</w:t>
      </w:r>
      <w:r w:rsidR="002D187F" w:rsidRPr="006C3DFF">
        <w:rPr>
          <w:lang w:val="en-AU"/>
        </w:rPr>
        <w:t>ependents</w:t>
      </w:r>
    </w:p>
    <w:p w14:paraId="204A52BE" w14:textId="4463883E" w:rsidR="002D187F" w:rsidRPr="006C3DFF" w:rsidRDefault="002D187F" w:rsidP="000202B8">
      <w:pPr>
        <w:pStyle w:val="VCAAbullet"/>
        <w:rPr>
          <w:lang w:val="en-AU"/>
        </w:rPr>
      </w:pPr>
      <w:r w:rsidRPr="006C3DFF">
        <w:rPr>
          <w:lang w:val="en-AU"/>
        </w:rPr>
        <w:t>stronger party discipline in Parliament than Congress</w:t>
      </w:r>
      <w:r w:rsidR="002C6434" w:rsidRPr="006C3DFF">
        <w:rPr>
          <w:lang w:val="en-AU"/>
        </w:rPr>
        <w:t xml:space="preserve"> </w:t>
      </w:r>
      <w:r w:rsidR="00930220" w:rsidRPr="006C3DFF">
        <w:rPr>
          <w:lang w:val="en-AU"/>
        </w:rPr>
        <w:t xml:space="preserve">(for example, </w:t>
      </w:r>
      <w:r w:rsidR="002C6434" w:rsidRPr="006C3DFF">
        <w:rPr>
          <w:lang w:val="en-AU"/>
        </w:rPr>
        <w:t>bloc voting, ALP pledge for members to ‘toe the party line’)</w:t>
      </w:r>
    </w:p>
    <w:p w14:paraId="35042199" w14:textId="78BC56E6" w:rsidR="002D187F" w:rsidRPr="006C3DFF" w:rsidRDefault="002D187F" w:rsidP="000202B8">
      <w:pPr>
        <w:pStyle w:val="VCAAbullet"/>
        <w:rPr>
          <w:lang w:val="en-AU"/>
        </w:rPr>
      </w:pPr>
      <w:r w:rsidRPr="006C3DFF">
        <w:rPr>
          <w:lang w:val="en-AU"/>
        </w:rPr>
        <w:t>government control over parliamentary notice paper but numerous opportunities in Parliament for individuals to represent their constituencies’ interests</w:t>
      </w:r>
    </w:p>
    <w:p w14:paraId="6C5EB1B5" w14:textId="148E2EB2" w:rsidR="002D187F" w:rsidRPr="006C3DFF" w:rsidRDefault="002D187F" w:rsidP="000202B8">
      <w:pPr>
        <w:pStyle w:val="VCAAbullet"/>
        <w:rPr>
          <w:lang w:val="en-AU"/>
        </w:rPr>
      </w:pPr>
      <w:r w:rsidRPr="006C3DFF">
        <w:rPr>
          <w:lang w:val="en-AU"/>
        </w:rPr>
        <w:lastRenderedPageBreak/>
        <w:t>powerful majority party control over congressional committees, therefore over the US legislative program, which constrains individual representatives’ ability to represent the specific interests of their constituencies</w:t>
      </w:r>
    </w:p>
    <w:p w14:paraId="2DA20C07" w14:textId="07AC87E7" w:rsidR="002C6434" w:rsidRPr="006C3DFF" w:rsidRDefault="002C6434" w:rsidP="000202B8">
      <w:pPr>
        <w:pStyle w:val="VCAAbullet"/>
        <w:rPr>
          <w:lang w:val="en-AU"/>
        </w:rPr>
      </w:pPr>
      <w:r w:rsidRPr="006C3DFF">
        <w:rPr>
          <w:lang w:val="en-AU"/>
        </w:rPr>
        <w:t>US political parties’ use of strategic devices such as the filibuster may thwart accurate representation</w:t>
      </w:r>
      <w:r w:rsidR="008F72DA" w:rsidRPr="006C3DFF">
        <w:rPr>
          <w:lang w:val="en-AU"/>
        </w:rPr>
        <w:t>.</w:t>
      </w:r>
    </w:p>
    <w:p w14:paraId="643B5F03" w14:textId="516C8F5D" w:rsidR="00A43E1C" w:rsidRPr="006C3DFF" w:rsidRDefault="002C6434" w:rsidP="00A43E1C">
      <w:pPr>
        <w:pStyle w:val="VCAAbody"/>
        <w:rPr>
          <w:lang w:val="en-AU"/>
        </w:rPr>
      </w:pPr>
      <w:r w:rsidRPr="006C3DFF">
        <w:rPr>
          <w:lang w:val="en-AU"/>
        </w:rPr>
        <w:t>M</w:t>
      </w:r>
      <w:r w:rsidR="002D187F" w:rsidRPr="006C3DFF">
        <w:rPr>
          <w:lang w:val="en-AU"/>
        </w:rPr>
        <w:t xml:space="preserve">any students demonstrated </w:t>
      </w:r>
      <w:r w:rsidR="00ED1D7A" w:rsidRPr="006C3DFF">
        <w:rPr>
          <w:lang w:val="en-AU"/>
        </w:rPr>
        <w:t xml:space="preserve">detailed </w:t>
      </w:r>
      <w:r w:rsidR="002D187F" w:rsidRPr="006C3DFF">
        <w:rPr>
          <w:lang w:val="en-AU"/>
        </w:rPr>
        <w:t xml:space="preserve">knowledge of </w:t>
      </w:r>
      <w:r w:rsidRPr="006C3DFF">
        <w:rPr>
          <w:lang w:val="en-AU"/>
        </w:rPr>
        <w:t>the impacts of</w:t>
      </w:r>
      <w:r w:rsidR="002D187F" w:rsidRPr="006C3DFF">
        <w:rPr>
          <w:lang w:val="en-AU"/>
        </w:rPr>
        <w:t xml:space="preserve"> electoral systems </w:t>
      </w:r>
      <w:r w:rsidRPr="006C3DFF">
        <w:rPr>
          <w:lang w:val="en-AU"/>
        </w:rPr>
        <w:t>on representation; however,</w:t>
      </w:r>
      <w:r w:rsidR="002D187F" w:rsidRPr="006C3DFF">
        <w:rPr>
          <w:lang w:val="en-AU"/>
        </w:rPr>
        <w:t xml:space="preserve"> without specific reference to the actions of political parties</w:t>
      </w:r>
      <w:r w:rsidRPr="006C3DFF">
        <w:rPr>
          <w:lang w:val="en-AU"/>
        </w:rPr>
        <w:t xml:space="preserve"> within the Australian and US electoral systems</w:t>
      </w:r>
      <w:r w:rsidR="00D450E1" w:rsidRPr="006C3DFF">
        <w:rPr>
          <w:lang w:val="en-AU"/>
        </w:rPr>
        <w:t>,</w:t>
      </w:r>
      <w:r w:rsidRPr="006C3DFF">
        <w:rPr>
          <w:lang w:val="en-AU"/>
        </w:rPr>
        <w:t xml:space="preserve"> students were not rewarded for this knowledge. Some students digressed significantly from the question to discuss presidential elections.</w:t>
      </w:r>
    </w:p>
    <w:p w14:paraId="5066A16D" w14:textId="2040102D" w:rsidR="002C6434" w:rsidRPr="006C3DFF" w:rsidRDefault="002C6434">
      <w:pPr>
        <w:pStyle w:val="VCAAHeading3"/>
        <w:rPr>
          <w:lang w:val="en-AU"/>
        </w:rPr>
      </w:pPr>
      <w:r w:rsidRPr="006C3DFF">
        <w:rPr>
          <w:lang w:val="en-AU"/>
        </w:rPr>
        <w:t>Question 4</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864"/>
      </w:tblGrid>
      <w:tr w:rsidR="00204E86" w:rsidRPr="006C3DFF" w14:paraId="7056D86B" w14:textId="77777777" w:rsidTr="00D81C70">
        <w:trPr>
          <w:cnfStyle w:val="100000000000" w:firstRow="1" w:lastRow="0" w:firstColumn="0" w:lastColumn="0" w:oddVBand="0" w:evenVBand="0" w:oddHBand="0" w:evenHBand="0" w:firstRowFirstColumn="0" w:firstRowLastColumn="0" w:lastRowFirstColumn="0" w:lastRowLastColumn="0"/>
        </w:trPr>
        <w:tc>
          <w:tcPr>
            <w:tcW w:w="599" w:type="dxa"/>
          </w:tcPr>
          <w:p w14:paraId="635C3978" w14:textId="77777777" w:rsidR="00204E86" w:rsidRPr="006C3DFF" w:rsidRDefault="00204E86" w:rsidP="00D81C70">
            <w:pPr>
              <w:pStyle w:val="VCAAtablecondensedheading"/>
              <w:rPr>
                <w:lang w:val="en-AU"/>
              </w:rPr>
            </w:pPr>
            <w:r w:rsidRPr="006C3DFF">
              <w:rPr>
                <w:lang w:val="en-AU"/>
              </w:rPr>
              <w:t>Mark</w:t>
            </w:r>
          </w:p>
        </w:tc>
        <w:tc>
          <w:tcPr>
            <w:tcW w:w="576" w:type="dxa"/>
          </w:tcPr>
          <w:p w14:paraId="6415979E" w14:textId="77777777" w:rsidR="00204E86" w:rsidRPr="006C3DFF" w:rsidRDefault="00204E86" w:rsidP="00D81C70">
            <w:pPr>
              <w:pStyle w:val="VCAAtablecondensedheading"/>
              <w:rPr>
                <w:lang w:val="en-AU"/>
              </w:rPr>
            </w:pPr>
            <w:r w:rsidRPr="006C3DFF">
              <w:rPr>
                <w:lang w:val="en-AU"/>
              </w:rPr>
              <w:t>0</w:t>
            </w:r>
          </w:p>
        </w:tc>
        <w:tc>
          <w:tcPr>
            <w:tcW w:w="576" w:type="dxa"/>
          </w:tcPr>
          <w:p w14:paraId="2B667F3C" w14:textId="77777777" w:rsidR="00204E86" w:rsidRPr="006C3DFF" w:rsidRDefault="00204E86" w:rsidP="00D81C70">
            <w:pPr>
              <w:pStyle w:val="VCAAtablecondensedheading"/>
              <w:rPr>
                <w:lang w:val="en-AU"/>
              </w:rPr>
            </w:pPr>
            <w:r w:rsidRPr="006C3DFF">
              <w:rPr>
                <w:lang w:val="en-AU"/>
              </w:rPr>
              <w:t>1</w:t>
            </w:r>
          </w:p>
        </w:tc>
        <w:tc>
          <w:tcPr>
            <w:tcW w:w="576" w:type="dxa"/>
          </w:tcPr>
          <w:p w14:paraId="162BFDC9" w14:textId="77777777" w:rsidR="00204E86" w:rsidRPr="006C3DFF" w:rsidRDefault="00204E86" w:rsidP="00D81C70">
            <w:pPr>
              <w:pStyle w:val="VCAAtablecondensedheading"/>
              <w:rPr>
                <w:lang w:val="en-AU"/>
              </w:rPr>
            </w:pPr>
            <w:r w:rsidRPr="006C3DFF">
              <w:rPr>
                <w:lang w:val="en-AU"/>
              </w:rPr>
              <w:t>2</w:t>
            </w:r>
          </w:p>
        </w:tc>
        <w:tc>
          <w:tcPr>
            <w:tcW w:w="864" w:type="dxa"/>
          </w:tcPr>
          <w:p w14:paraId="63B6A14C" w14:textId="77777777" w:rsidR="00204E86" w:rsidRPr="006C3DFF" w:rsidRDefault="00204E86" w:rsidP="00D81C70">
            <w:pPr>
              <w:pStyle w:val="VCAAtablecondensedheading"/>
              <w:rPr>
                <w:lang w:val="en-AU"/>
              </w:rPr>
            </w:pPr>
            <w:r w:rsidRPr="006C3DFF">
              <w:rPr>
                <w:lang w:val="en-AU"/>
              </w:rPr>
              <w:t>Average</w:t>
            </w:r>
          </w:p>
        </w:tc>
      </w:tr>
      <w:tr w:rsidR="00204E86" w:rsidRPr="006C3DFF" w14:paraId="7047E788" w14:textId="77777777" w:rsidTr="00D81C70">
        <w:tc>
          <w:tcPr>
            <w:tcW w:w="599" w:type="dxa"/>
          </w:tcPr>
          <w:p w14:paraId="4EB96BB8"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3A664C95" w14:textId="18AEBAEF" w:rsidR="00204E86" w:rsidRPr="006C3DFF" w:rsidRDefault="00204E86" w:rsidP="00F8149F">
            <w:pPr>
              <w:pStyle w:val="VCAAtablecondensed"/>
              <w:rPr>
                <w:lang w:val="en-AU"/>
              </w:rPr>
            </w:pPr>
            <w:r w:rsidRPr="006C3DFF">
              <w:rPr>
                <w:lang w:val="en-AU"/>
              </w:rPr>
              <w:t>8</w:t>
            </w:r>
          </w:p>
        </w:tc>
        <w:tc>
          <w:tcPr>
            <w:tcW w:w="576" w:type="dxa"/>
            <w:vAlign w:val="center"/>
          </w:tcPr>
          <w:p w14:paraId="0194C8B3" w14:textId="02462165" w:rsidR="00204E86" w:rsidRPr="006C3DFF" w:rsidRDefault="00204E86" w:rsidP="00F8149F">
            <w:pPr>
              <w:pStyle w:val="VCAAtablecondensed"/>
              <w:rPr>
                <w:lang w:val="en-AU"/>
              </w:rPr>
            </w:pPr>
            <w:r w:rsidRPr="006C3DFF">
              <w:rPr>
                <w:lang w:val="en-AU"/>
              </w:rPr>
              <w:t>21</w:t>
            </w:r>
          </w:p>
        </w:tc>
        <w:tc>
          <w:tcPr>
            <w:tcW w:w="576" w:type="dxa"/>
            <w:vAlign w:val="center"/>
          </w:tcPr>
          <w:p w14:paraId="43E422F7" w14:textId="577BC681" w:rsidR="00204E86" w:rsidRPr="006C3DFF" w:rsidRDefault="00204E86" w:rsidP="00F8149F">
            <w:pPr>
              <w:pStyle w:val="VCAAtablecondensed"/>
              <w:rPr>
                <w:lang w:val="en-AU"/>
              </w:rPr>
            </w:pPr>
            <w:r w:rsidRPr="006C3DFF">
              <w:rPr>
                <w:lang w:val="en-AU"/>
              </w:rPr>
              <w:t>71</w:t>
            </w:r>
          </w:p>
        </w:tc>
        <w:tc>
          <w:tcPr>
            <w:tcW w:w="864" w:type="dxa"/>
          </w:tcPr>
          <w:p w14:paraId="5419791B" w14:textId="559FC421" w:rsidR="00204E86" w:rsidRPr="006C3DFF" w:rsidRDefault="00204E86" w:rsidP="00F8149F">
            <w:pPr>
              <w:pStyle w:val="VCAAtablecondensed"/>
              <w:rPr>
                <w:lang w:val="en-AU"/>
              </w:rPr>
            </w:pPr>
            <w:r w:rsidRPr="006C3DFF">
              <w:rPr>
                <w:lang w:val="en-AU"/>
              </w:rPr>
              <w:t>1.6</w:t>
            </w:r>
          </w:p>
        </w:tc>
      </w:tr>
    </w:tbl>
    <w:p w14:paraId="1E930442" w14:textId="443BAD67" w:rsidR="002C6434" w:rsidRPr="006C3DFF" w:rsidRDefault="0038644E" w:rsidP="00A43E1C">
      <w:pPr>
        <w:pStyle w:val="VCAAbody"/>
        <w:rPr>
          <w:lang w:val="en-AU"/>
        </w:rPr>
      </w:pPr>
      <w:r w:rsidRPr="006C3DFF">
        <w:rPr>
          <w:lang w:val="en-AU"/>
        </w:rPr>
        <w:t>This was an accessible question for most students, although some struggled to make a clear link between their argument and the case for voluntary voting. Possible arguments included:</w:t>
      </w:r>
    </w:p>
    <w:p w14:paraId="4078191E" w14:textId="5B87ACCB" w:rsidR="0038644E" w:rsidRPr="006C3DFF" w:rsidRDefault="0038644E" w:rsidP="000202B8">
      <w:pPr>
        <w:pStyle w:val="VCAAbullet"/>
        <w:rPr>
          <w:lang w:val="en-AU"/>
        </w:rPr>
      </w:pPr>
      <w:r w:rsidRPr="006C3DFF">
        <w:rPr>
          <w:lang w:val="en-AU"/>
        </w:rPr>
        <w:t>US political values of freedom and individualism make</w:t>
      </w:r>
      <w:r w:rsidR="00A22EB4" w:rsidRPr="006C3DFF">
        <w:rPr>
          <w:lang w:val="en-AU"/>
        </w:rPr>
        <w:t xml:space="preserve"> it a right </w:t>
      </w:r>
      <w:r w:rsidR="008F72DA" w:rsidRPr="006C3DFF">
        <w:rPr>
          <w:lang w:val="en-AU"/>
        </w:rPr>
        <w:t xml:space="preserve">to choose </w:t>
      </w:r>
      <w:r w:rsidR="00A22EB4" w:rsidRPr="006C3DFF">
        <w:rPr>
          <w:lang w:val="en-AU"/>
        </w:rPr>
        <w:t>not to vote</w:t>
      </w:r>
      <w:r w:rsidR="001E7E66" w:rsidRPr="006C3DFF">
        <w:rPr>
          <w:lang w:val="en-AU"/>
        </w:rPr>
        <w:t>.</w:t>
      </w:r>
    </w:p>
    <w:p w14:paraId="61501AEC" w14:textId="396E91FC" w:rsidR="00A22EB4" w:rsidRPr="006C3DFF" w:rsidRDefault="001E7E66" w:rsidP="000202B8">
      <w:pPr>
        <w:pStyle w:val="VCAAbullet"/>
        <w:rPr>
          <w:lang w:val="en-AU"/>
        </w:rPr>
      </w:pPr>
      <w:r w:rsidRPr="006C3DFF">
        <w:rPr>
          <w:lang w:val="en-AU"/>
        </w:rPr>
        <w:t>C</w:t>
      </w:r>
      <w:r w:rsidR="00A22EB4" w:rsidRPr="006C3DFF">
        <w:rPr>
          <w:lang w:val="en-AU"/>
        </w:rPr>
        <w:t xml:space="preserve">ompulsory voting leads to a greater number of uninformed </w:t>
      </w:r>
      <w:r w:rsidR="008F72DA" w:rsidRPr="006C3DFF">
        <w:rPr>
          <w:lang w:val="en-AU"/>
        </w:rPr>
        <w:t xml:space="preserve">and apathetic voters, which may </w:t>
      </w:r>
      <w:r w:rsidR="00A22EB4" w:rsidRPr="006C3DFF">
        <w:rPr>
          <w:lang w:val="en-AU"/>
        </w:rPr>
        <w:t xml:space="preserve">see campaigns focus on </w:t>
      </w:r>
      <w:r w:rsidR="008F72DA" w:rsidRPr="006C3DFF">
        <w:rPr>
          <w:lang w:val="en-AU"/>
        </w:rPr>
        <w:t>appealing to marginal voters and ignoring the base, and ‘random’ votes dampening the voice of the engaged majority</w:t>
      </w:r>
      <w:r w:rsidRPr="006C3DFF">
        <w:rPr>
          <w:lang w:val="en-AU"/>
        </w:rPr>
        <w:t>.</w:t>
      </w:r>
    </w:p>
    <w:p w14:paraId="030C921B" w14:textId="61E333C1" w:rsidR="008F72DA" w:rsidRPr="006C3DFF" w:rsidRDefault="001E7E66" w:rsidP="000202B8">
      <w:pPr>
        <w:pStyle w:val="VCAAbullet"/>
        <w:rPr>
          <w:lang w:val="en-AU"/>
        </w:rPr>
      </w:pPr>
      <w:r w:rsidRPr="006C3DFF">
        <w:rPr>
          <w:lang w:val="en-AU"/>
        </w:rPr>
        <w:t>T</w:t>
      </w:r>
      <w:r w:rsidR="008F72DA" w:rsidRPr="006C3DFF">
        <w:rPr>
          <w:lang w:val="en-AU"/>
        </w:rPr>
        <w:t>he US Constitution grants states the right to run elections, which would be undermined by mandatory voting.</w:t>
      </w:r>
    </w:p>
    <w:p w14:paraId="615A0764" w14:textId="4CC4D0EE" w:rsidR="008F72DA" w:rsidRPr="006C3DFF" w:rsidRDefault="008F72DA" w:rsidP="008F72DA">
      <w:pPr>
        <w:pStyle w:val="VCAAbody"/>
        <w:rPr>
          <w:lang w:val="en-AU"/>
        </w:rPr>
      </w:pPr>
      <w:r w:rsidRPr="006C3DFF">
        <w:rPr>
          <w:lang w:val="en-AU"/>
        </w:rPr>
        <w:t xml:space="preserve">Numerous students argued that voluntary </w:t>
      </w:r>
      <w:r w:rsidR="009F646C" w:rsidRPr="006C3DFF">
        <w:rPr>
          <w:lang w:val="en-AU"/>
        </w:rPr>
        <w:t xml:space="preserve">voting reduces the donkey vote. This is an Australian phenomenon relevant to only two US states </w:t>
      </w:r>
      <w:r w:rsidR="00ED1D7A" w:rsidRPr="006C3DFF">
        <w:rPr>
          <w:lang w:val="en-AU"/>
        </w:rPr>
        <w:t xml:space="preserve">(Maine and Alaska) </w:t>
      </w:r>
      <w:r w:rsidR="009F646C" w:rsidRPr="006C3DFF">
        <w:rPr>
          <w:lang w:val="en-AU"/>
        </w:rPr>
        <w:t>that recently adopted ranked-choice voting, not the entire US electoral system.</w:t>
      </w:r>
    </w:p>
    <w:p w14:paraId="163C493D" w14:textId="39B01765" w:rsidR="009F646C" w:rsidRPr="006C3DFF" w:rsidRDefault="009F646C">
      <w:pPr>
        <w:pStyle w:val="VCAAHeading3"/>
        <w:rPr>
          <w:lang w:val="en-AU"/>
        </w:rPr>
      </w:pPr>
      <w:r w:rsidRPr="006C3DFF">
        <w:rPr>
          <w:lang w:val="en-AU"/>
        </w:rPr>
        <w:t>Question 5</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576"/>
        <w:gridCol w:w="864"/>
      </w:tblGrid>
      <w:tr w:rsidR="00204E86" w:rsidRPr="006C3DFF" w14:paraId="3AFC93B3" w14:textId="77777777" w:rsidTr="00E25D3E">
        <w:trPr>
          <w:cnfStyle w:val="100000000000" w:firstRow="1" w:lastRow="0" w:firstColumn="0" w:lastColumn="0" w:oddVBand="0" w:evenVBand="0" w:oddHBand="0" w:evenHBand="0" w:firstRowFirstColumn="0" w:firstRowLastColumn="0" w:lastRowFirstColumn="0" w:lastRowLastColumn="0"/>
        </w:trPr>
        <w:tc>
          <w:tcPr>
            <w:tcW w:w="599" w:type="dxa"/>
          </w:tcPr>
          <w:p w14:paraId="6859F850" w14:textId="77777777" w:rsidR="00204E86" w:rsidRPr="006C3DFF" w:rsidRDefault="00204E86" w:rsidP="00D81C70">
            <w:pPr>
              <w:pStyle w:val="VCAAtablecondensedheading"/>
              <w:rPr>
                <w:lang w:val="en-AU"/>
              </w:rPr>
            </w:pPr>
            <w:r w:rsidRPr="006C3DFF">
              <w:rPr>
                <w:lang w:val="en-AU"/>
              </w:rPr>
              <w:t>Mark</w:t>
            </w:r>
          </w:p>
        </w:tc>
        <w:tc>
          <w:tcPr>
            <w:tcW w:w="576" w:type="dxa"/>
          </w:tcPr>
          <w:p w14:paraId="5E98114B" w14:textId="77777777" w:rsidR="00204E86" w:rsidRPr="006C3DFF" w:rsidRDefault="00204E86" w:rsidP="00D81C70">
            <w:pPr>
              <w:pStyle w:val="VCAAtablecondensedheading"/>
              <w:rPr>
                <w:lang w:val="en-AU"/>
              </w:rPr>
            </w:pPr>
            <w:r w:rsidRPr="006C3DFF">
              <w:rPr>
                <w:lang w:val="en-AU"/>
              </w:rPr>
              <w:t>0</w:t>
            </w:r>
          </w:p>
        </w:tc>
        <w:tc>
          <w:tcPr>
            <w:tcW w:w="576" w:type="dxa"/>
          </w:tcPr>
          <w:p w14:paraId="0ADC4A3C" w14:textId="77777777" w:rsidR="00204E86" w:rsidRPr="006C3DFF" w:rsidRDefault="00204E86" w:rsidP="00D81C70">
            <w:pPr>
              <w:pStyle w:val="VCAAtablecondensedheading"/>
              <w:rPr>
                <w:lang w:val="en-AU"/>
              </w:rPr>
            </w:pPr>
            <w:r w:rsidRPr="006C3DFF">
              <w:rPr>
                <w:lang w:val="en-AU"/>
              </w:rPr>
              <w:t>1</w:t>
            </w:r>
          </w:p>
        </w:tc>
        <w:tc>
          <w:tcPr>
            <w:tcW w:w="576" w:type="dxa"/>
          </w:tcPr>
          <w:p w14:paraId="4018870F" w14:textId="77777777" w:rsidR="00204E86" w:rsidRPr="006C3DFF" w:rsidRDefault="00204E86" w:rsidP="00D81C70">
            <w:pPr>
              <w:pStyle w:val="VCAAtablecondensedheading"/>
              <w:rPr>
                <w:lang w:val="en-AU"/>
              </w:rPr>
            </w:pPr>
            <w:r w:rsidRPr="006C3DFF">
              <w:rPr>
                <w:lang w:val="en-AU"/>
              </w:rPr>
              <w:t>2</w:t>
            </w:r>
          </w:p>
        </w:tc>
        <w:tc>
          <w:tcPr>
            <w:tcW w:w="576" w:type="dxa"/>
          </w:tcPr>
          <w:p w14:paraId="08022B2F" w14:textId="77777777" w:rsidR="00204E86" w:rsidRPr="006C3DFF" w:rsidRDefault="00204E86" w:rsidP="00D81C70">
            <w:pPr>
              <w:pStyle w:val="VCAAtablecondensedheading"/>
              <w:rPr>
                <w:lang w:val="en-AU"/>
              </w:rPr>
            </w:pPr>
            <w:r w:rsidRPr="006C3DFF">
              <w:rPr>
                <w:lang w:val="en-AU"/>
              </w:rPr>
              <w:t>3</w:t>
            </w:r>
          </w:p>
        </w:tc>
        <w:tc>
          <w:tcPr>
            <w:tcW w:w="576" w:type="dxa"/>
          </w:tcPr>
          <w:p w14:paraId="563F70A8" w14:textId="77777777" w:rsidR="00204E86" w:rsidRPr="006C3DFF" w:rsidRDefault="00204E86" w:rsidP="00D81C70">
            <w:pPr>
              <w:pStyle w:val="VCAAtablecondensedheading"/>
              <w:rPr>
                <w:lang w:val="en-AU"/>
              </w:rPr>
            </w:pPr>
            <w:r w:rsidRPr="006C3DFF">
              <w:rPr>
                <w:lang w:val="en-AU"/>
              </w:rPr>
              <w:t>4</w:t>
            </w:r>
          </w:p>
        </w:tc>
        <w:tc>
          <w:tcPr>
            <w:tcW w:w="864" w:type="dxa"/>
          </w:tcPr>
          <w:p w14:paraId="5AD1BAEA" w14:textId="5D5DA187" w:rsidR="00204E86" w:rsidRPr="006C3DFF" w:rsidRDefault="00204E86" w:rsidP="00D81C70">
            <w:pPr>
              <w:pStyle w:val="VCAAtablecondensedheading"/>
              <w:rPr>
                <w:lang w:val="en-AU"/>
              </w:rPr>
            </w:pPr>
            <w:r w:rsidRPr="006C3DFF">
              <w:rPr>
                <w:lang w:val="en-AU"/>
              </w:rPr>
              <w:t>Average</w:t>
            </w:r>
          </w:p>
        </w:tc>
      </w:tr>
      <w:tr w:rsidR="00204E86" w:rsidRPr="006C3DFF" w14:paraId="454B293C" w14:textId="77777777" w:rsidTr="00E25D3E">
        <w:tc>
          <w:tcPr>
            <w:tcW w:w="599" w:type="dxa"/>
          </w:tcPr>
          <w:p w14:paraId="06BB1B10"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5309F0E7" w14:textId="7E04039F" w:rsidR="00204E86" w:rsidRPr="006C3DFF" w:rsidRDefault="00204E86" w:rsidP="00F8149F">
            <w:pPr>
              <w:pStyle w:val="VCAAtablecondensed"/>
              <w:rPr>
                <w:lang w:val="en-AU"/>
              </w:rPr>
            </w:pPr>
            <w:r w:rsidRPr="006C3DFF">
              <w:rPr>
                <w:lang w:val="en-AU"/>
              </w:rPr>
              <w:t>4</w:t>
            </w:r>
          </w:p>
        </w:tc>
        <w:tc>
          <w:tcPr>
            <w:tcW w:w="576" w:type="dxa"/>
            <w:vAlign w:val="center"/>
          </w:tcPr>
          <w:p w14:paraId="3F6BC1AF" w14:textId="7B0BD934" w:rsidR="00204E86" w:rsidRPr="006C3DFF" w:rsidRDefault="00204E86" w:rsidP="00F8149F">
            <w:pPr>
              <w:pStyle w:val="VCAAtablecondensed"/>
              <w:rPr>
                <w:lang w:val="en-AU"/>
              </w:rPr>
            </w:pPr>
            <w:r w:rsidRPr="006C3DFF">
              <w:rPr>
                <w:lang w:val="en-AU"/>
              </w:rPr>
              <w:t>11</w:t>
            </w:r>
          </w:p>
        </w:tc>
        <w:tc>
          <w:tcPr>
            <w:tcW w:w="576" w:type="dxa"/>
            <w:vAlign w:val="center"/>
          </w:tcPr>
          <w:p w14:paraId="23F22267" w14:textId="10989635" w:rsidR="00204E86" w:rsidRPr="006C3DFF" w:rsidRDefault="00204E86" w:rsidP="00F8149F">
            <w:pPr>
              <w:pStyle w:val="VCAAtablecondensed"/>
              <w:rPr>
                <w:lang w:val="en-AU"/>
              </w:rPr>
            </w:pPr>
            <w:r w:rsidRPr="006C3DFF">
              <w:rPr>
                <w:lang w:val="en-AU"/>
              </w:rPr>
              <w:t>23</w:t>
            </w:r>
          </w:p>
        </w:tc>
        <w:tc>
          <w:tcPr>
            <w:tcW w:w="576" w:type="dxa"/>
            <w:vAlign w:val="center"/>
          </w:tcPr>
          <w:p w14:paraId="1B1E9C5E" w14:textId="48C71B89" w:rsidR="00204E86" w:rsidRPr="006C3DFF" w:rsidRDefault="00204E86" w:rsidP="00F8149F">
            <w:pPr>
              <w:pStyle w:val="VCAAtablecondensed"/>
              <w:rPr>
                <w:lang w:val="en-AU"/>
              </w:rPr>
            </w:pPr>
            <w:r w:rsidRPr="006C3DFF">
              <w:rPr>
                <w:lang w:val="en-AU"/>
              </w:rPr>
              <w:t>35</w:t>
            </w:r>
          </w:p>
        </w:tc>
        <w:tc>
          <w:tcPr>
            <w:tcW w:w="576" w:type="dxa"/>
            <w:vAlign w:val="center"/>
          </w:tcPr>
          <w:p w14:paraId="0061788D" w14:textId="19783E06" w:rsidR="00204E86" w:rsidRPr="006C3DFF" w:rsidRDefault="00204E86" w:rsidP="00F8149F">
            <w:pPr>
              <w:pStyle w:val="VCAAtablecondensed"/>
              <w:rPr>
                <w:lang w:val="en-AU"/>
              </w:rPr>
            </w:pPr>
            <w:r w:rsidRPr="006C3DFF">
              <w:rPr>
                <w:lang w:val="en-AU"/>
              </w:rPr>
              <w:t>28</w:t>
            </w:r>
          </w:p>
        </w:tc>
        <w:tc>
          <w:tcPr>
            <w:tcW w:w="864" w:type="dxa"/>
          </w:tcPr>
          <w:p w14:paraId="365A67C1" w14:textId="15B723F0" w:rsidR="00204E86" w:rsidRPr="006C3DFF" w:rsidRDefault="00204E86" w:rsidP="00F8149F">
            <w:pPr>
              <w:pStyle w:val="VCAAtablecondensed"/>
              <w:rPr>
                <w:lang w:val="en-AU"/>
              </w:rPr>
            </w:pPr>
            <w:r w:rsidRPr="006C3DFF">
              <w:rPr>
                <w:lang w:val="en-AU"/>
              </w:rPr>
              <w:t>2.7</w:t>
            </w:r>
          </w:p>
        </w:tc>
      </w:tr>
    </w:tbl>
    <w:p w14:paraId="448E8D7E" w14:textId="73308937" w:rsidR="009F646C" w:rsidRPr="006C3DFF" w:rsidRDefault="009F646C" w:rsidP="008F72DA">
      <w:pPr>
        <w:pStyle w:val="VCAAbody"/>
        <w:rPr>
          <w:lang w:val="en-AU"/>
        </w:rPr>
      </w:pPr>
      <w:r w:rsidRPr="006C3DFF">
        <w:rPr>
          <w:lang w:val="en-AU"/>
        </w:rPr>
        <w:t xml:space="preserve">While there are many </w:t>
      </w:r>
      <w:r w:rsidR="00D5288C" w:rsidRPr="006C3DFF">
        <w:rPr>
          <w:lang w:val="en-AU"/>
        </w:rPr>
        <w:t xml:space="preserve">constitutional and structural </w:t>
      </w:r>
      <w:r w:rsidRPr="006C3DFF">
        <w:rPr>
          <w:lang w:val="en-AU"/>
        </w:rPr>
        <w:t xml:space="preserve">constraints on presidential power that students could have </w:t>
      </w:r>
      <w:r w:rsidR="00D5288C" w:rsidRPr="006C3DFF">
        <w:rPr>
          <w:lang w:val="en-AU"/>
        </w:rPr>
        <w:t>chosen</w:t>
      </w:r>
      <w:r w:rsidRPr="006C3DFF">
        <w:rPr>
          <w:lang w:val="en-AU"/>
        </w:rPr>
        <w:t xml:space="preserve">, </w:t>
      </w:r>
      <w:r w:rsidR="00D5288C" w:rsidRPr="006C3DFF">
        <w:rPr>
          <w:lang w:val="en-AU"/>
        </w:rPr>
        <w:t>the majority discussed impeachment. High-scoring responses outlined the chosen constraint, gave one or more recent examples of its exercise, and discussed the extent to which the constraint is effective or democratic. Constraints on presidential power include:</w:t>
      </w:r>
    </w:p>
    <w:p w14:paraId="74A2461B" w14:textId="359014C0" w:rsidR="007E13BB" w:rsidRPr="006C3DFF" w:rsidRDefault="00D5288C" w:rsidP="000202B8">
      <w:pPr>
        <w:pStyle w:val="VCAAbullet"/>
        <w:rPr>
          <w:lang w:val="en-AU"/>
        </w:rPr>
      </w:pPr>
      <w:r w:rsidRPr="006C3DFF">
        <w:rPr>
          <w:lang w:val="en-AU"/>
        </w:rPr>
        <w:t>congressional control of the federal budget</w:t>
      </w:r>
      <w:r w:rsidR="009A117F" w:rsidRPr="006C3DFF">
        <w:rPr>
          <w:lang w:val="en-AU"/>
        </w:rPr>
        <w:t>,</w:t>
      </w:r>
      <w:r w:rsidRPr="006C3DFF">
        <w:rPr>
          <w:lang w:val="en-AU"/>
        </w:rPr>
        <w:t xml:space="preserve"> legislation</w:t>
      </w:r>
      <w:r w:rsidR="009A117F" w:rsidRPr="006C3DFF">
        <w:rPr>
          <w:lang w:val="en-AU"/>
        </w:rPr>
        <w:t xml:space="preserve"> </w:t>
      </w:r>
    </w:p>
    <w:p w14:paraId="6D8AE1CC" w14:textId="7378DEDE" w:rsidR="00D5288C" w:rsidRPr="006C3DFF" w:rsidRDefault="009A117F" w:rsidP="000202B8">
      <w:pPr>
        <w:pStyle w:val="VCAAbullet"/>
        <w:rPr>
          <w:lang w:val="en-AU"/>
        </w:rPr>
      </w:pPr>
      <w:r w:rsidRPr="006C3DFF">
        <w:rPr>
          <w:lang w:val="en-AU"/>
        </w:rPr>
        <w:t>impeachment</w:t>
      </w:r>
    </w:p>
    <w:p w14:paraId="51722F09" w14:textId="644570B1" w:rsidR="00D5288C" w:rsidRPr="006C3DFF" w:rsidRDefault="00D5288C" w:rsidP="000202B8">
      <w:pPr>
        <w:pStyle w:val="VCAAbullet"/>
        <w:rPr>
          <w:lang w:val="en-AU"/>
        </w:rPr>
      </w:pPr>
      <w:r w:rsidRPr="006C3DFF">
        <w:rPr>
          <w:lang w:val="en-AU"/>
        </w:rPr>
        <w:t xml:space="preserve">the constitutional requirement for Senate </w:t>
      </w:r>
      <w:r w:rsidR="008A129D" w:rsidRPr="006C3DFF">
        <w:rPr>
          <w:lang w:val="en-AU"/>
        </w:rPr>
        <w:t xml:space="preserve">approval of treaties and appointments of ambassadors, </w:t>
      </w:r>
      <w:r w:rsidR="00D450E1" w:rsidRPr="006C3DFF">
        <w:rPr>
          <w:lang w:val="en-AU"/>
        </w:rPr>
        <w:t>C</w:t>
      </w:r>
      <w:r w:rsidR="008A129D" w:rsidRPr="006C3DFF">
        <w:rPr>
          <w:lang w:val="en-AU"/>
        </w:rPr>
        <w:t>abinet ministers and Supreme Court justices</w:t>
      </w:r>
    </w:p>
    <w:p w14:paraId="04F060B0" w14:textId="4949C106" w:rsidR="008A129D" w:rsidRPr="006C3DFF" w:rsidRDefault="008A129D" w:rsidP="000202B8">
      <w:pPr>
        <w:pStyle w:val="VCAAbullet"/>
        <w:rPr>
          <w:lang w:val="en-AU"/>
        </w:rPr>
      </w:pPr>
      <w:r w:rsidRPr="006C3DFF">
        <w:rPr>
          <w:lang w:val="en-AU"/>
        </w:rPr>
        <w:t>congressional power to declare war</w:t>
      </w:r>
    </w:p>
    <w:p w14:paraId="2D7EEEB4" w14:textId="168E9FDA" w:rsidR="008A129D" w:rsidRPr="006C3DFF" w:rsidRDefault="008A129D" w:rsidP="000202B8">
      <w:pPr>
        <w:pStyle w:val="VCAAbullet"/>
        <w:rPr>
          <w:lang w:val="en-AU"/>
        </w:rPr>
      </w:pPr>
      <w:r w:rsidRPr="006C3DFF">
        <w:rPr>
          <w:lang w:val="en-AU"/>
        </w:rPr>
        <w:t>congressional power to override a presidential veto</w:t>
      </w:r>
    </w:p>
    <w:p w14:paraId="0D2475D4" w14:textId="6AF9592E" w:rsidR="00A555AC" w:rsidRPr="006C3DFF" w:rsidRDefault="00A555AC" w:rsidP="000202B8">
      <w:pPr>
        <w:pStyle w:val="VCAAbullet"/>
        <w:rPr>
          <w:lang w:val="en-AU"/>
        </w:rPr>
      </w:pPr>
      <w:r w:rsidRPr="006C3DFF">
        <w:rPr>
          <w:lang w:val="en-AU"/>
        </w:rPr>
        <w:t>two</w:t>
      </w:r>
      <w:r w:rsidR="00F8149F" w:rsidRPr="006C3DFF">
        <w:rPr>
          <w:lang w:val="en-AU"/>
        </w:rPr>
        <w:t>-</w:t>
      </w:r>
      <w:r w:rsidRPr="006C3DFF">
        <w:rPr>
          <w:lang w:val="en-AU"/>
        </w:rPr>
        <w:t>term limit</w:t>
      </w:r>
    </w:p>
    <w:p w14:paraId="368771A6" w14:textId="2B54947C" w:rsidR="00A555AC" w:rsidRPr="006C3DFF" w:rsidRDefault="00A555AC" w:rsidP="000202B8">
      <w:pPr>
        <w:pStyle w:val="VCAAbullet"/>
        <w:rPr>
          <w:lang w:val="en-AU"/>
        </w:rPr>
      </w:pPr>
      <w:r w:rsidRPr="006C3DFF">
        <w:rPr>
          <w:lang w:val="en-AU"/>
        </w:rPr>
        <w:t>judicial power to rule presidential action to be unconstitutional or unlawful</w:t>
      </w:r>
    </w:p>
    <w:p w14:paraId="66D1282B" w14:textId="71F91614" w:rsidR="00A555AC" w:rsidRPr="006C3DFF" w:rsidRDefault="00A555AC" w:rsidP="000202B8">
      <w:pPr>
        <w:pStyle w:val="VCAAbullet"/>
        <w:rPr>
          <w:lang w:val="en-AU"/>
        </w:rPr>
      </w:pPr>
      <w:r w:rsidRPr="006C3DFF">
        <w:rPr>
          <w:lang w:val="en-AU"/>
        </w:rPr>
        <w:t>the House of Representatives and/or the Senate, especially during periods of divided government</w:t>
      </w:r>
    </w:p>
    <w:p w14:paraId="7BD1015C" w14:textId="2CDC600E" w:rsidR="00A555AC" w:rsidRPr="006C3DFF" w:rsidRDefault="00A555AC" w:rsidP="000202B8">
      <w:pPr>
        <w:pStyle w:val="VCAAbullet"/>
        <w:rPr>
          <w:lang w:val="en-AU"/>
        </w:rPr>
      </w:pPr>
      <w:r w:rsidRPr="006C3DFF">
        <w:rPr>
          <w:lang w:val="en-AU"/>
        </w:rPr>
        <w:t>‘lame duck presidency’ – relative powerlessness of a president whose term is nearing its end and/or whose successor has been elected</w:t>
      </w:r>
      <w:r w:rsidR="002F3693" w:rsidRPr="006C3DFF">
        <w:rPr>
          <w:lang w:val="en-AU"/>
        </w:rPr>
        <w:t>.</w:t>
      </w:r>
    </w:p>
    <w:p w14:paraId="51C61434" w14:textId="530973DE" w:rsidR="002F3693" w:rsidRPr="006C3DFF" w:rsidRDefault="002F3693">
      <w:pPr>
        <w:pStyle w:val="VCAAHeading3"/>
        <w:rPr>
          <w:lang w:val="en-AU"/>
        </w:rPr>
      </w:pPr>
      <w:r w:rsidRPr="006C3DFF">
        <w:rPr>
          <w:lang w:val="en-AU"/>
        </w:rPr>
        <w:t>Question 6</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576"/>
        <w:gridCol w:w="864"/>
        <w:gridCol w:w="864"/>
      </w:tblGrid>
      <w:tr w:rsidR="00204E86" w:rsidRPr="006C3DFF" w14:paraId="52F40EF3" w14:textId="77777777" w:rsidTr="00D81C70">
        <w:trPr>
          <w:cnfStyle w:val="100000000000" w:firstRow="1" w:lastRow="0" w:firstColumn="0" w:lastColumn="0" w:oddVBand="0" w:evenVBand="0" w:oddHBand="0" w:evenHBand="0" w:firstRowFirstColumn="0" w:firstRowLastColumn="0" w:lastRowFirstColumn="0" w:lastRowLastColumn="0"/>
        </w:trPr>
        <w:tc>
          <w:tcPr>
            <w:tcW w:w="599" w:type="dxa"/>
          </w:tcPr>
          <w:p w14:paraId="00F2D7B4" w14:textId="77777777" w:rsidR="00204E86" w:rsidRPr="006C3DFF" w:rsidRDefault="00204E86" w:rsidP="00D81C70">
            <w:pPr>
              <w:pStyle w:val="VCAAtablecondensedheading"/>
              <w:rPr>
                <w:lang w:val="en-AU"/>
              </w:rPr>
            </w:pPr>
            <w:r w:rsidRPr="006C3DFF">
              <w:rPr>
                <w:lang w:val="en-AU"/>
              </w:rPr>
              <w:lastRenderedPageBreak/>
              <w:t>Mark</w:t>
            </w:r>
          </w:p>
        </w:tc>
        <w:tc>
          <w:tcPr>
            <w:tcW w:w="576" w:type="dxa"/>
          </w:tcPr>
          <w:p w14:paraId="7F49C5D7" w14:textId="77777777" w:rsidR="00204E86" w:rsidRPr="006C3DFF" w:rsidRDefault="00204E86" w:rsidP="00D81C70">
            <w:pPr>
              <w:pStyle w:val="VCAAtablecondensedheading"/>
              <w:rPr>
                <w:lang w:val="en-AU"/>
              </w:rPr>
            </w:pPr>
            <w:r w:rsidRPr="006C3DFF">
              <w:rPr>
                <w:lang w:val="en-AU"/>
              </w:rPr>
              <w:t>0</w:t>
            </w:r>
          </w:p>
        </w:tc>
        <w:tc>
          <w:tcPr>
            <w:tcW w:w="576" w:type="dxa"/>
          </w:tcPr>
          <w:p w14:paraId="4C37C4D0" w14:textId="77777777" w:rsidR="00204E86" w:rsidRPr="006C3DFF" w:rsidRDefault="00204E86" w:rsidP="00D81C70">
            <w:pPr>
              <w:pStyle w:val="VCAAtablecondensedheading"/>
              <w:rPr>
                <w:lang w:val="en-AU"/>
              </w:rPr>
            </w:pPr>
            <w:r w:rsidRPr="006C3DFF">
              <w:rPr>
                <w:lang w:val="en-AU"/>
              </w:rPr>
              <w:t>1</w:t>
            </w:r>
          </w:p>
        </w:tc>
        <w:tc>
          <w:tcPr>
            <w:tcW w:w="576" w:type="dxa"/>
          </w:tcPr>
          <w:p w14:paraId="128640BF" w14:textId="77777777" w:rsidR="00204E86" w:rsidRPr="006C3DFF" w:rsidRDefault="00204E86" w:rsidP="00D81C70">
            <w:pPr>
              <w:pStyle w:val="VCAAtablecondensedheading"/>
              <w:rPr>
                <w:lang w:val="en-AU"/>
              </w:rPr>
            </w:pPr>
            <w:r w:rsidRPr="006C3DFF">
              <w:rPr>
                <w:lang w:val="en-AU"/>
              </w:rPr>
              <w:t>2</w:t>
            </w:r>
          </w:p>
        </w:tc>
        <w:tc>
          <w:tcPr>
            <w:tcW w:w="576" w:type="dxa"/>
          </w:tcPr>
          <w:p w14:paraId="436EA96A" w14:textId="77777777" w:rsidR="00204E86" w:rsidRPr="006C3DFF" w:rsidRDefault="00204E86" w:rsidP="00D81C70">
            <w:pPr>
              <w:pStyle w:val="VCAAtablecondensedheading"/>
              <w:rPr>
                <w:lang w:val="en-AU"/>
              </w:rPr>
            </w:pPr>
            <w:r w:rsidRPr="006C3DFF">
              <w:rPr>
                <w:lang w:val="en-AU"/>
              </w:rPr>
              <w:t>3</w:t>
            </w:r>
          </w:p>
        </w:tc>
        <w:tc>
          <w:tcPr>
            <w:tcW w:w="576" w:type="dxa"/>
          </w:tcPr>
          <w:p w14:paraId="07663309" w14:textId="77777777" w:rsidR="00204E86" w:rsidRPr="006C3DFF" w:rsidRDefault="00204E86" w:rsidP="00D81C70">
            <w:pPr>
              <w:pStyle w:val="VCAAtablecondensedheading"/>
              <w:rPr>
                <w:lang w:val="en-AU"/>
              </w:rPr>
            </w:pPr>
            <w:r w:rsidRPr="006C3DFF">
              <w:rPr>
                <w:lang w:val="en-AU"/>
              </w:rPr>
              <w:t>4</w:t>
            </w:r>
          </w:p>
        </w:tc>
        <w:tc>
          <w:tcPr>
            <w:tcW w:w="864" w:type="dxa"/>
          </w:tcPr>
          <w:p w14:paraId="31BF4024" w14:textId="11BE4AE1" w:rsidR="00204E86" w:rsidRPr="006C3DFF" w:rsidRDefault="00204E86" w:rsidP="00D81C70">
            <w:pPr>
              <w:pStyle w:val="VCAAtablecondensedheading"/>
              <w:rPr>
                <w:lang w:val="en-AU"/>
              </w:rPr>
            </w:pPr>
            <w:r w:rsidRPr="006C3DFF">
              <w:rPr>
                <w:lang w:val="en-AU"/>
              </w:rPr>
              <w:t>5</w:t>
            </w:r>
          </w:p>
        </w:tc>
        <w:tc>
          <w:tcPr>
            <w:tcW w:w="864" w:type="dxa"/>
          </w:tcPr>
          <w:p w14:paraId="76C0867B" w14:textId="230C810B" w:rsidR="00204E86" w:rsidRPr="006C3DFF" w:rsidRDefault="00204E86" w:rsidP="00D81C70">
            <w:pPr>
              <w:pStyle w:val="VCAAtablecondensedheading"/>
              <w:rPr>
                <w:lang w:val="en-AU"/>
              </w:rPr>
            </w:pPr>
            <w:r w:rsidRPr="006C3DFF">
              <w:rPr>
                <w:lang w:val="en-AU"/>
              </w:rPr>
              <w:t>Average</w:t>
            </w:r>
          </w:p>
        </w:tc>
      </w:tr>
      <w:tr w:rsidR="00204E86" w:rsidRPr="006C3DFF" w14:paraId="316C2DB7" w14:textId="77777777" w:rsidTr="00D81C70">
        <w:tc>
          <w:tcPr>
            <w:tcW w:w="599" w:type="dxa"/>
          </w:tcPr>
          <w:p w14:paraId="77EE5A43"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0E09C251" w14:textId="7ADF2D8C" w:rsidR="00204E86" w:rsidRPr="006C3DFF" w:rsidRDefault="00204E86" w:rsidP="00F8149F">
            <w:pPr>
              <w:pStyle w:val="VCAAtablecondensed"/>
              <w:rPr>
                <w:lang w:val="en-AU"/>
              </w:rPr>
            </w:pPr>
            <w:r w:rsidRPr="006C3DFF">
              <w:rPr>
                <w:lang w:val="en-AU"/>
              </w:rPr>
              <w:t>18</w:t>
            </w:r>
          </w:p>
        </w:tc>
        <w:tc>
          <w:tcPr>
            <w:tcW w:w="576" w:type="dxa"/>
            <w:vAlign w:val="center"/>
          </w:tcPr>
          <w:p w14:paraId="27704836" w14:textId="5EE34D2B" w:rsidR="00204E86" w:rsidRPr="006C3DFF" w:rsidRDefault="00204E86" w:rsidP="00F8149F">
            <w:pPr>
              <w:pStyle w:val="VCAAtablecondensed"/>
              <w:rPr>
                <w:lang w:val="en-AU"/>
              </w:rPr>
            </w:pPr>
            <w:r w:rsidRPr="006C3DFF">
              <w:rPr>
                <w:lang w:val="en-AU"/>
              </w:rPr>
              <w:t>9</w:t>
            </w:r>
          </w:p>
        </w:tc>
        <w:tc>
          <w:tcPr>
            <w:tcW w:w="576" w:type="dxa"/>
            <w:vAlign w:val="center"/>
          </w:tcPr>
          <w:p w14:paraId="198F0E98" w14:textId="51144775" w:rsidR="00204E86" w:rsidRPr="006C3DFF" w:rsidRDefault="00204E86" w:rsidP="00F8149F">
            <w:pPr>
              <w:pStyle w:val="VCAAtablecondensed"/>
              <w:rPr>
                <w:lang w:val="en-AU"/>
              </w:rPr>
            </w:pPr>
            <w:r w:rsidRPr="006C3DFF">
              <w:rPr>
                <w:lang w:val="en-AU"/>
              </w:rPr>
              <w:t>15</w:t>
            </w:r>
          </w:p>
        </w:tc>
        <w:tc>
          <w:tcPr>
            <w:tcW w:w="576" w:type="dxa"/>
            <w:vAlign w:val="center"/>
          </w:tcPr>
          <w:p w14:paraId="202FA1EE" w14:textId="12062F5E" w:rsidR="00204E86" w:rsidRPr="006C3DFF" w:rsidRDefault="00204E86" w:rsidP="00F8149F">
            <w:pPr>
              <w:pStyle w:val="VCAAtablecondensed"/>
              <w:rPr>
                <w:lang w:val="en-AU"/>
              </w:rPr>
            </w:pPr>
            <w:r w:rsidRPr="006C3DFF">
              <w:rPr>
                <w:lang w:val="en-AU"/>
              </w:rPr>
              <w:t>23</w:t>
            </w:r>
          </w:p>
        </w:tc>
        <w:tc>
          <w:tcPr>
            <w:tcW w:w="576" w:type="dxa"/>
            <w:vAlign w:val="center"/>
          </w:tcPr>
          <w:p w14:paraId="5E63F097" w14:textId="1253F727" w:rsidR="00204E86" w:rsidRPr="006C3DFF" w:rsidRDefault="00204E86" w:rsidP="00F8149F">
            <w:pPr>
              <w:pStyle w:val="VCAAtablecondensed"/>
              <w:rPr>
                <w:lang w:val="en-AU"/>
              </w:rPr>
            </w:pPr>
            <w:r w:rsidRPr="006C3DFF">
              <w:rPr>
                <w:lang w:val="en-AU"/>
              </w:rPr>
              <w:t>17</w:t>
            </w:r>
          </w:p>
        </w:tc>
        <w:tc>
          <w:tcPr>
            <w:tcW w:w="864" w:type="dxa"/>
          </w:tcPr>
          <w:p w14:paraId="22F002C6" w14:textId="74F3FAA0" w:rsidR="00204E86" w:rsidRPr="006C3DFF" w:rsidRDefault="00204E86" w:rsidP="00F8149F">
            <w:pPr>
              <w:pStyle w:val="VCAAtablecondensed"/>
              <w:rPr>
                <w:lang w:val="en-AU"/>
              </w:rPr>
            </w:pPr>
            <w:r w:rsidRPr="006C3DFF">
              <w:rPr>
                <w:lang w:val="en-AU"/>
              </w:rPr>
              <w:t>17</w:t>
            </w:r>
          </w:p>
        </w:tc>
        <w:tc>
          <w:tcPr>
            <w:tcW w:w="864" w:type="dxa"/>
          </w:tcPr>
          <w:p w14:paraId="3B11B57C" w14:textId="110C60F3" w:rsidR="00204E86" w:rsidRPr="006C3DFF" w:rsidRDefault="00204E86" w:rsidP="00F8149F">
            <w:pPr>
              <w:pStyle w:val="VCAAtablecondensed"/>
              <w:rPr>
                <w:lang w:val="en-AU"/>
              </w:rPr>
            </w:pPr>
            <w:r w:rsidRPr="006C3DFF">
              <w:rPr>
                <w:lang w:val="en-AU"/>
              </w:rPr>
              <w:t>2.7</w:t>
            </w:r>
          </w:p>
        </w:tc>
      </w:tr>
    </w:tbl>
    <w:p w14:paraId="11B1E2CA" w14:textId="389F4B0D" w:rsidR="0091501D" w:rsidRPr="006C3DFF" w:rsidRDefault="002F3693" w:rsidP="000202B8">
      <w:pPr>
        <w:pStyle w:val="VCAAbody"/>
        <w:rPr>
          <w:rFonts w:ascii="Times New Roman" w:hAnsi="Times New Roman"/>
          <w:color w:val="FF0000"/>
          <w:lang w:val="en-AU"/>
        </w:rPr>
      </w:pPr>
      <w:r w:rsidRPr="006C3DFF">
        <w:rPr>
          <w:lang w:val="en-AU"/>
        </w:rPr>
        <w:t>This question required students to demonstrate an understanding of the key roles of US congressional committees and to analyse one or more ways in which those roles influence the effectiveness of Congress. High-scoring responses clearly articulated an understanding of what congressional effectiveness means.</w:t>
      </w:r>
      <w:r w:rsidR="00CB781D" w:rsidRPr="006C3DFF">
        <w:rPr>
          <w:lang w:val="en-AU"/>
        </w:rPr>
        <w:t xml:space="preserve"> They provided at least one example of the work of a committee, and numerous students gave statistics to illustrate the volume of legislation that proceeds.</w:t>
      </w:r>
    </w:p>
    <w:p w14:paraId="1E730491" w14:textId="024F3049" w:rsidR="002F3693" w:rsidRPr="006C3DFF" w:rsidRDefault="002F3693" w:rsidP="002F3693">
      <w:pPr>
        <w:pStyle w:val="VCAAbody"/>
        <w:rPr>
          <w:lang w:val="en-AU"/>
        </w:rPr>
      </w:pPr>
      <w:r w:rsidRPr="006C3DFF">
        <w:rPr>
          <w:lang w:val="en-AU"/>
        </w:rPr>
        <w:t>Too many student responses focused solely on the investigative r</w:t>
      </w:r>
      <w:r w:rsidR="004B3CDC" w:rsidRPr="006C3DFF">
        <w:rPr>
          <w:lang w:val="en-AU"/>
        </w:rPr>
        <w:t>ole of congressional committees, especially the House Select Committee to Investigate the January 6th Attack on the United States Capitol. While this was an excellent example, it was also necessary to consider the role of committees in the legislative function of Congress.</w:t>
      </w:r>
    </w:p>
    <w:p w14:paraId="71CFF334" w14:textId="223077FD" w:rsidR="002F3693" w:rsidRPr="006C3DFF" w:rsidRDefault="0091501D" w:rsidP="002F3693">
      <w:pPr>
        <w:pStyle w:val="VCAAbody"/>
        <w:rPr>
          <w:lang w:val="en-AU"/>
        </w:rPr>
      </w:pPr>
      <w:r w:rsidRPr="006C3DFF">
        <w:rPr>
          <w:lang w:val="en-AU"/>
        </w:rPr>
        <w:t>Roles of congressional committees</w:t>
      </w:r>
      <w:r w:rsidR="00BE3B89" w:rsidRPr="006C3DFF">
        <w:rPr>
          <w:lang w:val="en-AU"/>
        </w:rPr>
        <w:t xml:space="preserve"> and sub</w:t>
      </w:r>
      <w:r w:rsidR="004B3CDC" w:rsidRPr="006C3DFF">
        <w:rPr>
          <w:lang w:val="en-AU"/>
        </w:rPr>
        <w:t>-</w:t>
      </w:r>
      <w:r w:rsidR="00BE3B89" w:rsidRPr="006C3DFF">
        <w:rPr>
          <w:lang w:val="en-AU"/>
        </w:rPr>
        <w:t>committees</w:t>
      </w:r>
      <w:r w:rsidRPr="006C3DFF">
        <w:rPr>
          <w:lang w:val="en-AU"/>
        </w:rPr>
        <w:t xml:space="preserve"> include</w:t>
      </w:r>
      <w:r w:rsidR="00D450E1" w:rsidRPr="006C3DFF">
        <w:rPr>
          <w:lang w:val="en-AU"/>
        </w:rPr>
        <w:t xml:space="preserve"> to</w:t>
      </w:r>
      <w:r w:rsidRPr="006C3DFF">
        <w:rPr>
          <w:lang w:val="en-AU"/>
        </w:rPr>
        <w:t>:</w:t>
      </w:r>
    </w:p>
    <w:p w14:paraId="7D9A3F04" w14:textId="5701209F" w:rsidR="0091501D" w:rsidRPr="006C3DFF" w:rsidRDefault="0091501D" w:rsidP="000202B8">
      <w:pPr>
        <w:pStyle w:val="VCAAbullet"/>
        <w:rPr>
          <w:lang w:val="en-AU"/>
        </w:rPr>
      </w:pPr>
      <w:r w:rsidRPr="006C3DFF">
        <w:rPr>
          <w:lang w:val="en-AU"/>
        </w:rPr>
        <w:t xml:space="preserve">formulate </w:t>
      </w:r>
      <w:r w:rsidR="00342D9A" w:rsidRPr="006C3DFF">
        <w:rPr>
          <w:lang w:val="en-AU"/>
        </w:rPr>
        <w:t>and consider bills</w:t>
      </w:r>
      <w:r w:rsidRPr="006C3DFF">
        <w:rPr>
          <w:lang w:val="en-AU"/>
        </w:rPr>
        <w:t xml:space="preserve"> on specific issues</w:t>
      </w:r>
    </w:p>
    <w:p w14:paraId="22A986D5" w14:textId="614D6A4C" w:rsidR="00342D9A" w:rsidRPr="006C3DFF" w:rsidRDefault="00342D9A" w:rsidP="000202B8">
      <w:pPr>
        <w:pStyle w:val="VCAAbullet"/>
        <w:rPr>
          <w:lang w:val="en-AU"/>
        </w:rPr>
      </w:pPr>
      <w:r w:rsidRPr="006C3DFF">
        <w:rPr>
          <w:lang w:val="en-AU"/>
        </w:rPr>
        <w:t>determine which bills will be debated in the House and Senate</w:t>
      </w:r>
    </w:p>
    <w:p w14:paraId="523442A7" w14:textId="71F3CD15" w:rsidR="00342D9A" w:rsidRPr="006C3DFF" w:rsidRDefault="00342D9A" w:rsidP="000202B8">
      <w:pPr>
        <w:pStyle w:val="VCAAbullet"/>
        <w:rPr>
          <w:lang w:val="en-AU"/>
        </w:rPr>
      </w:pPr>
      <w:r w:rsidRPr="006C3DFF">
        <w:rPr>
          <w:lang w:val="en-AU"/>
        </w:rPr>
        <w:t>resolve conflicts between House and Senate versions of bills</w:t>
      </w:r>
    </w:p>
    <w:p w14:paraId="2E6B957D" w14:textId="310F98EA" w:rsidR="00342D9A" w:rsidRPr="006C3DFF" w:rsidRDefault="00342D9A" w:rsidP="000202B8">
      <w:pPr>
        <w:pStyle w:val="VCAAbullet"/>
        <w:rPr>
          <w:lang w:val="en-AU"/>
        </w:rPr>
      </w:pPr>
      <w:r w:rsidRPr="006C3DFF">
        <w:rPr>
          <w:lang w:val="en-AU"/>
        </w:rPr>
        <w:t>investigate specific issues</w:t>
      </w:r>
    </w:p>
    <w:p w14:paraId="28B89E30" w14:textId="3E6A0D45" w:rsidR="00342D9A" w:rsidRPr="006C3DFF" w:rsidRDefault="00342D9A" w:rsidP="000202B8">
      <w:pPr>
        <w:pStyle w:val="VCAAbullet"/>
        <w:rPr>
          <w:lang w:val="en-AU"/>
        </w:rPr>
      </w:pPr>
      <w:r w:rsidRPr="006C3DFF">
        <w:rPr>
          <w:lang w:val="en-AU"/>
        </w:rPr>
        <w:t>review and monitor the activities and policy implementation of the executive, including federal executive agencies</w:t>
      </w:r>
    </w:p>
    <w:p w14:paraId="1B139BA8" w14:textId="058BD5C1" w:rsidR="00342D9A" w:rsidRPr="006C3DFF" w:rsidRDefault="00342D9A" w:rsidP="000202B8">
      <w:pPr>
        <w:pStyle w:val="VCAAbullet"/>
        <w:rPr>
          <w:lang w:val="en-AU"/>
        </w:rPr>
      </w:pPr>
      <w:r w:rsidRPr="006C3DFF">
        <w:rPr>
          <w:lang w:val="en-AU"/>
        </w:rPr>
        <w:t>investigate executive appointments and treaties</w:t>
      </w:r>
      <w:r w:rsidR="00D450E1" w:rsidRPr="006C3DFF">
        <w:rPr>
          <w:lang w:val="en-AU"/>
        </w:rPr>
        <w:t>.</w:t>
      </w:r>
    </w:p>
    <w:p w14:paraId="1ABCA1D3" w14:textId="720F50C8" w:rsidR="00342D9A" w:rsidRPr="006C3DFF" w:rsidRDefault="00342D9A" w:rsidP="00342D9A">
      <w:pPr>
        <w:pStyle w:val="VCAAbody"/>
        <w:rPr>
          <w:lang w:val="en-AU"/>
        </w:rPr>
      </w:pPr>
      <w:r w:rsidRPr="006C3DFF">
        <w:rPr>
          <w:lang w:val="en-AU"/>
        </w:rPr>
        <w:t>Possible impacts of committees on congressional effectiveness:</w:t>
      </w:r>
    </w:p>
    <w:p w14:paraId="51C6BCAA" w14:textId="3C4451C8" w:rsidR="00BE3B89" w:rsidRPr="006C3DFF" w:rsidRDefault="00BE3B89" w:rsidP="000202B8">
      <w:pPr>
        <w:pStyle w:val="VCAAbullet"/>
        <w:rPr>
          <w:lang w:val="en-AU"/>
        </w:rPr>
      </w:pPr>
      <w:r w:rsidRPr="006C3DFF">
        <w:rPr>
          <w:lang w:val="en-AU"/>
        </w:rPr>
        <w:t>committees and sub</w:t>
      </w:r>
      <w:r w:rsidR="004B3CDC" w:rsidRPr="006C3DFF">
        <w:rPr>
          <w:lang w:val="en-AU"/>
        </w:rPr>
        <w:t>-</w:t>
      </w:r>
      <w:r w:rsidRPr="006C3DFF">
        <w:rPr>
          <w:lang w:val="en-AU"/>
        </w:rPr>
        <w:t>committees enable a division of labour, better deliberation, cooperation, debate and specialisation, which helps manage the legislative workload of Congress and may produce better legislation</w:t>
      </w:r>
    </w:p>
    <w:p w14:paraId="24A9CD57" w14:textId="1C65E29F" w:rsidR="00BE3B89" w:rsidRPr="006C3DFF" w:rsidRDefault="00BE3B89" w:rsidP="000202B8">
      <w:pPr>
        <w:pStyle w:val="VCAAbullet"/>
        <w:rPr>
          <w:lang w:val="en-AU"/>
        </w:rPr>
      </w:pPr>
      <w:r w:rsidRPr="006C3DFF">
        <w:rPr>
          <w:lang w:val="en-AU"/>
        </w:rPr>
        <w:t>committees allow members to master areas of specialisation; the enhanced influence this may generate could be viewed positively or negatively</w:t>
      </w:r>
    </w:p>
    <w:p w14:paraId="0BB3A73C" w14:textId="080A50E3" w:rsidR="00BE3B89" w:rsidRPr="006C3DFF" w:rsidRDefault="007C0650" w:rsidP="000202B8">
      <w:pPr>
        <w:pStyle w:val="VCAAbullet"/>
        <w:rPr>
          <w:lang w:val="en-AU"/>
        </w:rPr>
      </w:pPr>
      <w:r w:rsidRPr="006C3DFF">
        <w:rPr>
          <w:lang w:val="en-AU"/>
        </w:rPr>
        <w:t>committees may serve as an effective ‘filter’ for bills that are unlikely to pass in Congress, thereby improving the efficiency of Congress</w:t>
      </w:r>
    </w:p>
    <w:p w14:paraId="0ECDC938" w14:textId="17474D4C" w:rsidR="007C0650" w:rsidRPr="006C3DFF" w:rsidRDefault="007C0650" w:rsidP="000202B8">
      <w:pPr>
        <w:pStyle w:val="VCAAbullet"/>
        <w:rPr>
          <w:lang w:val="en-AU"/>
        </w:rPr>
      </w:pPr>
      <w:r w:rsidRPr="006C3DFF">
        <w:rPr>
          <w:lang w:val="en-AU"/>
        </w:rPr>
        <w:t>committee control of the legislative agenda may stifle the introduction of bills not deemed to be in the majority party interest</w:t>
      </w:r>
    </w:p>
    <w:p w14:paraId="0FB965B2" w14:textId="17DE6DF9" w:rsidR="007C0650" w:rsidRPr="006C3DFF" w:rsidRDefault="007C0650" w:rsidP="000202B8">
      <w:pPr>
        <w:pStyle w:val="VCAAbullet"/>
        <w:rPr>
          <w:lang w:val="en-AU"/>
        </w:rPr>
      </w:pPr>
      <w:r w:rsidRPr="006C3DFF">
        <w:rPr>
          <w:lang w:val="en-AU"/>
        </w:rPr>
        <w:t>strong partisanship in committees contributes to legislative gridlock, especially when the two chambers are controlled by different parties</w:t>
      </w:r>
    </w:p>
    <w:p w14:paraId="4B2DB8F5" w14:textId="3E60C91E" w:rsidR="007C0650" w:rsidRPr="006C3DFF" w:rsidRDefault="007C0650" w:rsidP="000202B8">
      <w:pPr>
        <w:pStyle w:val="VCAAbullet"/>
        <w:rPr>
          <w:lang w:val="en-AU"/>
        </w:rPr>
      </w:pPr>
      <w:r w:rsidRPr="006C3DFF">
        <w:rPr>
          <w:lang w:val="en-AU"/>
        </w:rPr>
        <w:t>the distributive tendency of Congress may see committees</w:t>
      </w:r>
      <w:r w:rsidR="004B3CDC" w:rsidRPr="006C3DFF">
        <w:rPr>
          <w:lang w:val="en-AU"/>
        </w:rPr>
        <w:t xml:space="preserve"> engage in pork-barrelling and logrolling</w:t>
      </w:r>
      <w:r w:rsidR="00F437C1" w:rsidRPr="006C3DFF">
        <w:rPr>
          <w:lang w:val="en-AU"/>
        </w:rPr>
        <w:t>.</w:t>
      </w:r>
    </w:p>
    <w:p w14:paraId="7335C91D" w14:textId="54282A0A" w:rsidR="004B3CDC" w:rsidRPr="006C3DFF" w:rsidRDefault="00CB781D" w:rsidP="004B3CDC">
      <w:pPr>
        <w:pStyle w:val="VCAAbody"/>
        <w:rPr>
          <w:lang w:val="en-AU"/>
        </w:rPr>
      </w:pPr>
      <w:r w:rsidRPr="006C3DFF">
        <w:rPr>
          <w:lang w:val="en-AU"/>
        </w:rPr>
        <w:t>Comparisons with Australian parliamentary committees were not required and, where included, were generally unhelpful in answering the question.</w:t>
      </w:r>
    </w:p>
    <w:p w14:paraId="44034BDA" w14:textId="5B638B3F" w:rsidR="00CB781D" w:rsidRPr="006C3DFF" w:rsidRDefault="00CB781D">
      <w:pPr>
        <w:pStyle w:val="VCAAHeading3"/>
        <w:rPr>
          <w:lang w:val="en-AU"/>
        </w:rPr>
      </w:pPr>
      <w:r w:rsidRPr="006C3DFF">
        <w:rPr>
          <w:lang w:val="en-AU"/>
        </w:rPr>
        <w:t>Question 7</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864"/>
      </w:tblGrid>
      <w:tr w:rsidR="00204E86" w:rsidRPr="006C3DFF" w14:paraId="03508F28" w14:textId="77777777" w:rsidTr="00D81C70">
        <w:trPr>
          <w:cnfStyle w:val="100000000000" w:firstRow="1" w:lastRow="0" w:firstColumn="0" w:lastColumn="0" w:oddVBand="0" w:evenVBand="0" w:oddHBand="0" w:evenHBand="0" w:firstRowFirstColumn="0" w:firstRowLastColumn="0" w:lastRowFirstColumn="0" w:lastRowLastColumn="0"/>
        </w:trPr>
        <w:tc>
          <w:tcPr>
            <w:tcW w:w="599" w:type="dxa"/>
          </w:tcPr>
          <w:p w14:paraId="2B3C78A2" w14:textId="77777777" w:rsidR="00204E86" w:rsidRPr="006C3DFF" w:rsidRDefault="00204E86" w:rsidP="00D81C70">
            <w:pPr>
              <w:pStyle w:val="VCAAtablecondensedheading"/>
              <w:rPr>
                <w:lang w:val="en-AU"/>
              </w:rPr>
            </w:pPr>
            <w:r w:rsidRPr="006C3DFF">
              <w:rPr>
                <w:lang w:val="en-AU"/>
              </w:rPr>
              <w:t>Mark</w:t>
            </w:r>
          </w:p>
        </w:tc>
        <w:tc>
          <w:tcPr>
            <w:tcW w:w="576" w:type="dxa"/>
          </w:tcPr>
          <w:p w14:paraId="49ECAFC6" w14:textId="77777777" w:rsidR="00204E86" w:rsidRPr="006C3DFF" w:rsidRDefault="00204E86" w:rsidP="00D81C70">
            <w:pPr>
              <w:pStyle w:val="VCAAtablecondensedheading"/>
              <w:rPr>
                <w:lang w:val="en-AU"/>
              </w:rPr>
            </w:pPr>
            <w:r w:rsidRPr="006C3DFF">
              <w:rPr>
                <w:lang w:val="en-AU"/>
              </w:rPr>
              <w:t>0</w:t>
            </w:r>
          </w:p>
        </w:tc>
        <w:tc>
          <w:tcPr>
            <w:tcW w:w="576" w:type="dxa"/>
          </w:tcPr>
          <w:p w14:paraId="18201F5D" w14:textId="77777777" w:rsidR="00204E86" w:rsidRPr="006C3DFF" w:rsidRDefault="00204E86" w:rsidP="00D81C70">
            <w:pPr>
              <w:pStyle w:val="VCAAtablecondensedheading"/>
              <w:rPr>
                <w:lang w:val="en-AU"/>
              </w:rPr>
            </w:pPr>
            <w:r w:rsidRPr="006C3DFF">
              <w:rPr>
                <w:lang w:val="en-AU"/>
              </w:rPr>
              <w:t>1</w:t>
            </w:r>
          </w:p>
        </w:tc>
        <w:tc>
          <w:tcPr>
            <w:tcW w:w="576" w:type="dxa"/>
          </w:tcPr>
          <w:p w14:paraId="236003DC" w14:textId="77777777" w:rsidR="00204E86" w:rsidRPr="006C3DFF" w:rsidRDefault="00204E86" w:rsidP="00D81C70">
            <w:pPr>
              <w:pStyle w:val="VCAAtablecondensedheading"/>
              <w:rPr>
                <w:lang w:val="en-AU"/>
              </w:rPr>
            </w:pPr>
            <w:r w:rsidRPr="006C3DFF">
              <w:rPr>
                <w:lang w:val="en-AU"/>
              </w:rPr>
              <w:t>2</w:t>
            </w:r>
          </w:p>
        </w:tc>
        <w:tc>
          <w:tcPr>
            <w:tcW w:w="864" w:type="dxa"/>
          </w:tcPr>
          <w:p w14:paraId="76E9D300" w14:textId="77777777" w:rsidR="00204E86" w:rsidRPr="006C3DFF" w:rsidRDefault="00204E86" w:rsidP="00D81C70">
            <w:pPr>
              <w:pStyle w:val="VCAAtablecondensedheading"/>
              <w:rPr>
                <w:lang w:val="en-AU"/>
              </w:rPr>
            </w:pPr>
            <w:r w:rsidRPr="006C3DFF">
              <w:rPr>
                <w:lang w:val="en-AU"/>
              </w:rPr>
              <w:t>Average</w:t>
            </w:r>
          </w:p>
        </w:tc>
      </w:tr>
      <w:tr w:rsidR="00204E86" w:rsidRPr="006C3DFF" w14:paraId="5A313D26" w14:textId="77777777" w:rsidTr="00D81C70">
        <w:tc>
          <w:tcPr>
            <w:tcW w:w="599" w:type="dxa"/>
          </w:tcPr>
          <w:p w14:paraId="4490913A"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7920318A" w14:textId="6B174A8C" w:rsidR="00204E86" w:rsidRPr="006C3DFF" w:rsidRDefault="00204E86" w:rsidP="00F8149F">
            <w:pPr>
              <w:pStyle w:val="VCAAtablecondensed"/>
              <w:rPr>
                <w:lang w:val="en-AU"/>
              </w:rPr>
            </w:pPr>
            <w:r w:rsidRPr="006C3DFF">
              <w:rPr>
                <w:lang w:val="en-AU"/>
              </w:rPr>
              <w:t>29</w:t>
            </w:r>
          </w:p>
        </w:tc>
        <w:tc>
          <w:tcPr>
            <w:tcW w:w="576" w:type="dxa"/>
            <w:vAlign w:val="center"/>
          </w:tcPr>
          <w:p w14:paraId="6319794F" w14:textId="7793C54E" w:rsidR="00204E86" w:rsidRPr="006C3DFF" w:rsidRDefault="00204E86" w:rsidP="00F8149F">
            <w:pPr>
              <w:pStyle w:val="VCAAtablecondensed"/>
              <w:rPr>
                <w:lang w:val="en-AU"/>
              </w:rPr>
            </w:pPr>
            <w:r w:rsidRPr="006C3DFF">
              <w:rPr>
                <w:lang w:val="en-AU"/>
              </w:rPr>
              <w:t>22</w:t>
            </w:r>
          </w:p>
        </w:tc>
        <w:tc>
          <w:tcPr>
            <w:tcW w:w="576" w:type="dxa"/>
            <w:vAlign w:val="center"/>
          </w:tcPr>
          <w:p w14:paraId="634FC767" w14:textId="7B0549A1" w:rsidR="00204E86" w:rsidRPr="006C3DFF" w:rsidRDefault="00204E86" w:rsidP="00F8149F">
            <w:pPr>
              <w:pStyle w:val="VCAAtablecondensed"/>
              <w:rPr>
                <w:lang w:val="en-AU"/>
              </w:rPr>
            </w:pPr>
            <w:r w:rsidRPr="006C3DFF">
              <w:rPr>
                <w:lang w:val="en-AU"/>
              </w:rPr>
              <w:t>49</w:t>
            </w:r>
          </w:p>
        </w:tc>
        <w:tc>
          <w:tcPr>
            <w:tcW w:w="864" w:type="dxa"/>
          </w:tcPr>
          <w:p w14:paraId="3B8AE2F2" w14:textId="17F79EB1" w:rsidR="00204E86" w:rsidRPr="006C3DFF" w:rsidRDefault="00204E86" w:rsidP="00F8149F">
            <w:pPr>
              <w:pStyle w:val="VCAAtablecondensed"/>
              <w:rPr>
                <w:lang w:val="en-AU"/>
              </w:rPr>
            </w:pPr>
            <w:r w:rsidRPr="006C3DFF">
              <w:rPr>
                <w:lang w:val="en-AU"/>
              </w:rPr>
              <w:t>1.2</w:t>
            </w:r>
          </w:p>
        </w:tc>
      </w:tr>
    </w:tbl>
    <w:p w14:paraId="6DEF0CFC" w14:textId="5D1AAA65" w:rsidR="00CB781D" w:rsidRPr="006C3DFF" w:rsidRDefault="00CE3B00" w:rsidP="004B3CDC">
      <w:pPr>
        <w:pStyle w:val="VCAAbody"/>
        <w:rPr>
          <w:lang w:val="en-AU"/>
        </w:rPr>
      </w:pPr>
      <w:r w:rsidRPr="006C3DFF">
        <w:rPr>
          <w:lang w:val="en-AU"/>
        </w:rPr>
        <w:t xml:space="preserve">Strong responses to this question included an appropriate example and were specific about what the </w:t>
      </w:r>
      <w:r w:rsidR="00D54642" w:rsidRPr="006C3DFF">
        <w:rPr>
          <w:lang w:val="en-AU"/>
        </w:rPr>
        <w:t xml:space="preserve">Australian </w:t>
      </w:r>
      <w:r w:rsidR="003F7A7A" w:rsidRPr="006C3DFF">
        <w:rPr>
          <w:lang w:val="en-AU"/>
        </w:rPr>
        <w:t>P</w:t>
      </w:r>
      <w:r w:rsidRPr="006C3DFF">
        <w:rPr>
          <w:lang w:val="en-AU"/>
        </w:rPr>
        <w:t xml:space="preserve">ublic </w:t>
      </w:r>
      <w:r w:rsidR="003F7A7A" w:rsidRPr="006C3DFF">
        <w:rPr>
          <w:lang w:val="en-AU"/>
        </w:rPr>
        <w:t>S</w:t>
      </w:r>
      <w:r w:rsidRPr="006C3DFF">
        <w:rPr>
          <w:lang w:val="en-AU"/>
        </w:rPr>
        <w:t xml:space="preserve">ervice </w:t>
      </w:r>
      <w:r w:rsidR="00D54642" w:rsidRPr="006C3DFF">
        <w:rPr>
          <w:lang w:val="en-AU"/>
        </w:rPr>
        <w:t xml:space="preserve">(APS) </w:t>
      </w:r>
      <w:r w:rsidRPr="006C3DFF">
        <w:rPr>
          <w:lang w:val="en-AU"/>
        </w:rPr>
        <w:t>does in the implementation of Australian domestic policy. Some students confused formulatio</w:t>
      </w:r>
      <w:r w:rsidR="005B77B3" w:rsidRPr="006C3DFF">
        <w:rPr>
          <w:lang w:val="en-AU"/>
        </w:rPr>
        <w:t xml:space="preserve">n of policy with implementation; the latter entails using policy instruments to achieve the desired outcome </w:t>
      </w:r>
      <w:r w:rsidR="00ED1D7A" w:rsidRPr="006C3DFF">
        <w:rPr>
          <w:lang w:val="en-AU"/>
        </w:rPr>
        <w:t xml:space="preserve">of </w:t>
      </w:r>
      <w:r w:rsidR="005B77B3" w:rsidRPr="006C3DFF">
        <w:rPr>
          <w:lang w:val="en-AU"/>
        </w:rPr>
        <w:t>a policy.</w:t>
      </w:r>
    </w:p>
    <w:p w14:paraId="153AE30F" w14:textId="7BDD754C" w:rsidR="00CB781D" w:rsidRPr="006C3DFF" w:rsidRDefault="00CE3B00" w:rsidP="004B3CDC">
      <w:pPr>
        <w:pStyle w:val="VCAAbody"/>
        <w:rPr>
          <w:lang w:val="en-AU"/>
        </w:rPr>
      </w:pPr>
      <w:r w:rsidRPr="006C3DFF">
        <w:rPr>
          <w:lang w:val="en-AU"/>
        </w:rPr>
        <w:t>Roles of the APS in domestic policy implementation include:</w:t>
      </w:r>
    </w:p>
    <w:p w14:paraId="79E9D7C5" w14:textId="73ADC696" w:rsidR="00CE3B00" w:rsidRPr="006C3DFF" w:rsidRDefault="00F025BB" w:rsidP="000202B8">
      <w:pPr>
        <w:pStyle w:val="VCAAbullet"/>
        <w:rPr>
          <w:lang w:val="en-AU"/>
        </w:rPr>
      </w:pPr>
      <w:r w:rsidRPr="006C3DFF">
        <w:rPr>
          <w:lang w:val="en-AU"/>
        </w:rPr>
        <w:lastRenderedPageBreak/>
        <w:t xml:space="preserve">delivering services and </w:t>
      </w:r>
      <w:r w:rsidR="00F437C1" w:rsidRPr="006C3DFF">
        <w:rPr>
          <w:lang w:val="en-AU"/>
        </w:rPr>
        <w:t>administering government programs</w:t>
      </w:r>
      <w:r w:rsidR="00D450E1" w:rsidRPr="006C3DFF">
        <w:rPr>
          <w:lang w:val="en-AU"/>
        </w:rPr>
        <w:t xml:space="preserve"> (for example,</w:t>
      </w:r>
      <w:r w:rsidR="00F437C1" w:rsidRPr="006C3DFF">
        <w:rPr>
          <w:lang w:val="en-AU"/>
        </w:rPr>
        <w:t xml:space="preserve"> assessing eligibility for </w:t>
      </w:r>
      <w:proofErr w:type="spellStart"/>
      <w:r w:rsidR="00F437C1" w:rsidRPr="006C3DFF">
        <w:rPr>
          <w:lang w:val="en-AU"/>
        </w:rPr>
        <w:t>JobKeeper</w:t>
      </w:r>
      <w:proofErr w:type="spellEnd"/>
      <w:r w:rsidR="00F437C1" w:rsidRPr="006C3DFF">
        <w:rPr>
          <w:lang w:val="en-AU"/>
        </w:rPr>
        <w:t xml:space="preserve"> and </w:t>
      </w:r>
      <w:proofErr w:type="spellStart"/>
      <w:r w:rsidR="00F437C1" w:rsidRPr="006C3DFF">
        <w:rPr>
          <w:lang w:val="en-AU"/>
        </w:rPr>
        <w:t>JobSeeker</w:t>
      </w:r>
      <w:proofErr w:type="spellEnd"/>
      <w:r w:rsidR="00F437C1" w:rsidRPr="006C3DFF">
        <w:rPr>
          <w:lang w:val="en-AU"/>
        </w:rPr>
        <w:t>; making sports grants according to ministerial direction</w:t>
      </w:r>
      <w:r w:rsidR="00D450E1" w:rsidRPr="006C3DFF">
        <w:rPr>
          <w:lang w:val="en-AU"/>
        </w:rPr>
        <w:t>)</w:t>
      </w:r>
    </w:p>
    <w:p w14:paraId="424314BE" w14:textId="0FE5931B" w:rsidR="00F437C1" w:rsidRPr="006C3DFF" w:rsidRDefault="00F437C1" w:rsidP="000202B8">
      <w:pPr>
        <w:pStyle w:val="VCAAbullet"/>
        <w:rPr>
          <w:lang w:val="en-AU"/>
        </w:rPr>
      </w:pPr>
      <w:r w:rsidRPr="006C3DFF">
        <w:rPr>
          <w:lang w:val="en-AU"/>
        </w:rPr>
        <w:t xml:space="preserve">fulfilling </w:t>
      </w:r>
      <w:r w:rsidR="005B77B3" w:rsidRPr="006C3DFF">
        <w:rPr>
          <w:lang w:val="en-AU"/>
        </w:rPr>
        <w:t>legislative and regulatory roles within departments and statutory agencies</w:t>
      </w:r>
      <w:r w:rsidR="00D450E1" w:rsidRPr="006C3DFF">
        <w:rPr>
          <w:lang w:val="en-AU"/>
        </w:rPr>
        <w:t xml:space="preserve"> (for example, </w:t>
      </w:r>
      <w:r w:rsidR="005B77B3" w:rsidRPr="006C3DFF">
        <w:rPr>
          <w:lang w:val="en-AU"/>
        </w:rPr>
        <w:t xml:space="preserve">chief medical officers, </w:t>
      </w:r>
      <w:r w:rsidR="00F025BB" w:rsidRPr="006C3DFF">
        <w:rPr>
          <w:lang w:val="en-AU"/>
        </w:rPr>
        <w:t>Border Force officials</w:t>
      </w:r>
      <w:r w:rsidR="003F7A7A" w:rsidRPr="006C3DFF">
        <w:rPr>
          <w:lang w:val="en-AU"/>
        </w:rPr>
        <w:t>)</w:t>
      </w:r>
    </w:p>
    <w:p w14:paraId="12698FB7" w14:textId="2A171359" w:rsidR="00F025BB" w:rsidRPr="006C3DFF" w:rsidRDefault="00F025BB" w:rsidP="000202B8">
      <w:pPr>
        <w:pStyle w:val="VCAAbullet"/>
        <w:rPr>
          <w:lang w:val="en-AU"/>
        </w:rPr>
      </w:pPr>
      <w:r w:rsidRPr="006C3DFF">
        <w:rPr>
          <w:lang w:val="en-AU"/>
        </w:rPr>
        <w:t>tax collection</w:t>
      </w:r>
    </w:p>
    <w:p w14:paraId="3DE8F03F" w14:textId="443B9CFE" w:rsidR="00F025BB" w:rsidRPr="006C3DFF" w:rsidRDefault="00F025BB" w:rsidP="000202B8">
      <w:pPr>
        <w:pStyle w:val="VCAAbullet"/>
        <w:rPr>
          <w:lang w:val="en-AU"/>
        </w:rPr>
      </w:pPr>
      <w:r w:rsidRPr="006C3DFF">
        <w:rPr>
          <w:lang w:val="en-AU"/>
        </w:rPr>
        <w:t>monitoring and enforcing Commonwealth laws and regulations.</w:t>
      </w:r>
    </w:p>
    <w:p w14:paraId="6D42E8EF" w14:textId="54E419E0" w:rsidR="00F025BB" w:rsidRPr="006C3DFF" w:rsidRDefault="00F025BB">
      <w:pPr>
        <w:pStyle w:val="VCAAHeading3"/>
        <w:rPr>
          <w:lang w:val="en-AU"/>
        </w:rPr>
      </w:pPr>
      <w:r w:rsidRPr="006C3DFF">
        <w:rPr>
          <w:lang w:val="en-AU"/>
        </w:rPr>
        <w:t>Question 8</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576"/>
        <w:gridCol w:w="576"/>
        <w:gridCol w:w="576"/>
        <w:gridCol w:w="864"/>
      </w:tblGrid>
      <w:tr w:rsidR="00204E86" w:rsidRPr="006C3DFF" w14:paraId="3FF7F770" w14:textId="77777777" w:rsidTr="00015A66">
        <w:trPr>
          <w:cnfStyle w:val="100000000000" w:firstRow="1" w:lastRow="0" w:firstColumn="0" w:lastColumn="0" w:oddVBand="0" w:evenVBand="0" w:oddHBand="0" w:evenHBand="0" w:firstRowFirstColumn="0" w:firstRowLastColumn="0" w:lastRowFirstColumn="0" w:lastRowLastColumn="0"/>
        </w:trPr>
        <w:tc>
          <w:tcPr>
            <w:tcW w:w="599" w:type="dxa"/>
          </w:tcPr>
          <w:p w14:paraId="2FD3DA2D" w14:textId="77777777" w:rsidR="00204E86" w:rsidRPr="006C3DFF" w:rsidRDefault="00204E86" w:rsidP="00D81C70">
            <w:pPr>
              <w:pStyle w:val="VCAAtablecondensedheading"/>
              <w:rPr>
                <w:lang w:val="en-AU"/>
              </w:rPr>
            </w:pPr>
            <w:r w:rsidRPr="006C3DFF">
              <w:rPr>
                <w:lang w:val="en-AU"/>
              </w:rPr>
              <w:t>Mark</w:t>
            </w:r>
          </w:p>
        </w:tc>
        <w:tc>
          <w:tcPr>
            <w:tcW w:w="576" w:type="dxa"/>
          </w:tcPr>
          <w:p w14:paraId="6D65AF6F" w14:textId="77777777" w:rsidR="00204E86" w:rsidRPr="006C3DFF" w:rsidRDefault="00204E86" w:rsidP="00D81C70">
            <w:pPr>
              <w:pStyle w:val="VCAAtablecondensedheading"/>
              <w:rPr>
                <w:lang w:val="en-AU"/>
              </w:rPr>
            </w:pPr>
            <w:r w:rsidRPr="006C3DFF">
              <w:rPr>
                <w:lang w:val="en-AU"/>
              </w:rPr>
              <w:t>0</w:t>
            </w:r>
          </w:p>
        </w:tc>
        <w:tc>
          <w:tcPr>
            <w:tcW w:w="576" w:type="dxa"/>
          </w:tcPr>
          <w:p w14:paraId="71083347" w14:textId="77777777" w:rsidR="00204E86" w:rsidRPr="006C3DFF" w:rsidRDefault="00204E86" w:rsidP="00D81C70">
            <w:pPr>
              <w:pStyle w:val="VCAAtablecondensedheading"/>
              <w:rPr>
                <w:lang w:val="en-AU"/>
              </w:rPr>
            </w:pPr>
            <w:r w:rsidRPr="006C3DFF">
              <w:rPr>
                <w:lang w:val="en-AU"/>
              </w:rPr>
              <w:t>1</w:t>
            </w:r>
          </w:p>
        </w:tc>
        <w:tc>
          <w:tcPr>
            <w:tcW w:w="576" w:type="dxa"/>
          </w:tcPr>
          <w:p w14:paraId="62A411AB" w14:textId="77777777" w:rsidR="00204E86" w:rsidRPr="006C3DFF" w:rsidRDefault="00204E86" w:rsidP="00D81C70">
            <w:pPr>
              <w:pStyle w:val="VCAAtablecondensedheading"/>
              <w:rPr>
                <w:lang w:val="en-AU"/>
              </w:rPr>
            </w:pPr>
            <w:r w:rsidRPr="006C3DFF">
              <w:rPr>
                <w:lang w:val="en-AU"/>
              </w:rPr>
              <w:t>2</w:t>
            </w:r>
          </w:p>
        </w:tc>
        <w:tc>
          <w:tcPr>
            <w:tcW w:w="576" w:type="dxa"/>
          </w:tcPr>
          <w:p w14:paraId="4B46B618" w14:textId="77777777" w:rsidR="00204E86" w:rsidRPr="006C3DFF" w:rsidRDefault="00204E86" w:rsidP="00D81C70">
            <w:pPr>
              <w:pStyle w:val="VCAAtablecondensedheading"/>
              <w:rPr>
                <w:lang w:val="en-AU"/>
              </w:rPr>
            </w:pPr>
            <w:r w:rsidRPr="006C3DFF">
              <w:rPr>
                <w:lang w:val="en-AU"/>
              </w:rPr>
              <w:t>3</w:t>
            </w:r>
          </w:p>
        </w:tc>
        <w:tc>
          <w:tcPr>
            <w:tcW w:w="576" w:type="dxa"/>
          </w:tcPr>
          <w:p w14:paraId="72C4A2EA" w14:textId="77777777" w:rsidR="00204E86" w:rsidRPr="006C3DFF" w:rsidRDefault="00204E86" w:rsidP="00D81C70">
            <w:pPr>
              <w:pStyle w:val="VCAAtablecondensedheading"/>
              <w:rPr>
                <w:lang w:val="en-AU"/>
              </w:rPr>
            </w:pPr>
            <w:r w:rsidRPr="006C3DFF">
              <w:rPr>
                <w:lang w:val="en-AU"/>
              </w:rPr>
              <w:t>4</w:t>
            </w:r>
          </w:p>
        </w:tc>
        <w:tc>
          <w:tcPr>
            <w:tcW w:w="576" w:type="dxa"/>
          </w:tcPr>
          <w:p w14:paraId="6EABD730" w14:textId="0E36D08A" w:rsidR="00204E86" w:rsidRPr="006C3DFF" w:rsidRDefault="00204E86" w:rsidP="00D81C70">
            <w:pPr>
              <w:pStyle w:val="VCAAtablecondensedheading"/>
              <w:rPr>
                <w:lang w:val="en-AU"/>
              </w:rPr>
            </w:pPr>
            <w:r w:rsidRPr="006C3DFF">
              <w:rPr>
                <w:lang w:val="en-AU"/>
              </w:rPr>
              <w:t>5</w:t>
            </w:r>
          </w:p>
        </w:tc>
        <w:tc>
          <w:tcPr>
            <w:tcW w:w="576" w:type="dxa"/>
          </w:tcPr>
          <w:p w14:paraId="14569768" w14:textId="50E25BF1" w:rsidR="00204E86" w:rsidRPr="006C3DFF" w:rsidRDefault="00204E86" w:rsidP="00D81C70">
            <w:pPr>
              <w:pStyle w:val="VCAAtablecondensedheading"/>
              <w:rPr>
                <w:lang w:val="en-AU"/>
              </w:rPr>
            </w:pPr>
            <w:r w:rsidRPr="006C3DFF">
              <w:rPr>
                <w:lang w:val="en-AU"/>
              </w:rPr>
              <w:t>6</w:t>
            </w:r>
          </w:p>
        </w:tc>
        <w:tc>
          <w:tcPr>
            <w:tcW w:w="864" w:type="dxa"/>
          </w:tcPr>
          <w:p w14:paraId="7CAACFEF" w14:textId="21DCDE18" w:rsidR="00204E86" w:rsidRPr="006C3DFF" w:rsidRDefault="00204E86" w:rsidP="00D81C70">
            <w:pPr>
              <w:pStyle w:val="VCAAtablecondensedheading"/>
              <w:rPr>
                <w:lang w:val="en-AU"/>
              </w:rPr>
            </w:pPr>
            <w:r w:rsidRPr="006C3DFF">
              <w:rPr>
                <w:lang w:val="en-AU"/>
              </w:rPr>
              <w:t>Average</w:t>
            </w:r>
          </w:p>
        </w:tc>
      </w:tr>
      <w:tr w:rsidR="00204E86" w:rsidRPr="006C3DFF" w14:paraId="0093EB16" w14:textId="77777777" w:rsidTr="00015A66">
        <w:tc>
          <w:tcPr>
            <w:tcW w:w="599" w:type="dxa"/>
          </w:tcPr>
          <w:p w14:paraId="26DC6805"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708F439B" w14:textId="483E1AF9" w:rsidR="00204E86" w:rsidRPr="006C3DFF" w:rsidRDefault="00204E86" w:rsidP="00F8149F">
            <w:pPr>
              <w:pStyle w:val="VCAAtablecondensed"/>
              <w:rPr>
                <w:lang w:val="en-AU"/>
              </w:rPr>
            </w:pPr>
            <w:r w:rsidRPr="006C3DFF">
              <w:rPr>
                <w:lang w:val="en-AU"/>
              </w:rPr>
              <w:t>1</w:t>
            </w:r>
          </w:p>
        </w:tc>
        <w:tc>
          <w:tcPr>
            <w:tcW w:w="576" w:type="dxa"/>
            <w:vAlign w:val="center"/>
          </w:tcPr>
          <w:p w14:paraId="43218F90" w14:textId="119D8D77" w:rsidR="00204E86" w:rsidRPr="006C3DFF" w:rsidRDefault="00204E86" w:rsidP="00F8149F">
            <w:pPr>
              <w:pStyle w:val="VCAAtablecondensed"/>
              <w:rPr>
                <w:lang w:val="en-AU"/>
              </w:rPr>
            </w:pPr>
            <w:r w:rsidRPr="006C3DFF">
              <w:rPr>
                <w:lang w:val="en-AU"/>
              </w:rPr>
              <w:t>5</w:t>
            </w:r>
          </w:p>
        </w:tc>
        <w:tc>
          <w:tcPr>
            <w:tcW w:w="576" w:type="dxa"/>
            <w:vAlign w:val="center"/>
          </w:tcPr>
          <w:p w14:paraId="798D63B2" w14:textId="6448BAE3" w:rsidR="00204E86" w:rsidRPr="006C3DFF" w:rsidRDefault="00204E86" w:rsidP="00F8149F">
            <w:pPr>
              <w:pStyle w:val="VCAAtablecondensed"/>
              <w:rPr>
                <w:lang w:val="en-AU"/>
              </w:rPr>
            </w:pPr>
            <w:r w:rsidRPr="006C3DFF">
              <w:rPr>
                <w:lang w:val="en-AU"/>
              </w:rPr>
              <w:t>15</w:t>
            </w:r>
          </w:p>
        </w:tc>
        <w:tc>
          <w:tcPr>
            <w:tcW w:w="576" w:type="dxa"/>
            <w:vAlign w:val="center"/>
          </w:tcPr>
          <w:p w14:paraId="4036A271" w14:textId="55367A32" w:rsidR="00204E86" w:rsidRPr="006C3DFF" w:rsidRDefault="00204E86" w:rsidP="00F8149F">
            <w:pPr>
              <w:pStyle w:val="VCAAtablecondensed"/>
              <w:rPr>
                <w:lang w:val="en-AU"/>
              </w:rPr>
            </w:pPr>
            <w:r w:rsidRPr="006C3DFF">
              <w:rPr>
                <w:lang w:val="en-AU"/>
              </w:rPr>
              <w:t>22</w:t>
            </w:r>
          </w:p>
        </w:tc>
        <w:tc>
          <w:tcPr>
            <w:tcW w:w="576" w:type="dxa"/>
            <w:vAlign w:val="center"/>
          </w:tcPr>
          <w:p w14:paraId="0B02AFC8" w14:textId="25FAA0F0" w:rsidR="00204E86" w:rsidRPr="006C3DFF" w:rsidRDefault="00204E86" w:rsidP="00F8149F">
            <w:pPr>
              <w:pStyle w:val="VCAAtablecondensed"/>
              <w:rPr>
                <w:lang w:val="en-AU"/>
              </w:rPr>
            </w:pPr>
            <w:r w:rsidRPr="006C3DFF">
              <w:rPr>
                <w:lang w:val="en-AU"/>
              </w:rPr>
              <w:t>29</w:t>
            </w:r>
          </w:p>
        </w:tc>
        <w:tc>
          <w:tcPr>
            <w:tcW w:w="576" w:type="dxa"/>
            <w:vAlign w:val="center"/>
          </w:tcPr>
          <w:p w14:paraId="18C78B06" w14:textId="1AFCE9B0" w:rsidR="00204E86" w:rsidRPr="006C3DFF" w:rsidRDefault="00204E86" w:rsidP="00F8149F">
            <w:pPr>
              <w:pStyle w:val="VCAAtablecondensed"/>
              <w:rPr>
                <w:lang w:val="en-AU"/>
              </w:rPr>
            </w:pPr>
            <w:r w:rsidRPr="006C3DFF">
              <w:rPr>
                <w:lang w:val="en-AU"/>
              </w:rPr>
              <w:t>22</w:t>
            </w:r>
          </w:p>
        </w:tc>
        <w:tc>
          <w:tcPr>
            <w:tcW w:w="576" w:type="dxa"/>
            <w:vAlign w:val="center"/>
          </w:tcPr>
          <w:p w14:paraId="393720C8" w14:textId="739DB7E3" w:rsidR="00204E86" w:rsidRPr="006C3DFF" w:rsidRDefault="00204E86" w:rsidP="00F8149F">
            <w:pPr>
              <w:pStyle w:val="VCAAtablecondensed"/>
              <w:rPr>
                <w:lang w:val="en-AU"/>
              </w:rPr>
            </w:pPr>
            <w:r w:rsidRPr="006C3DFF">
              <w:rPr>
                <w:lang w:val="en-AU"/>
              </w:rPr>
              <w:t>6</w:t>
            </w:r>
          </w:p>
        </w:tc>
        <w:tc>
          <w:tcPr>
            <w:tcW w:w="864" w:type="dxa"/>
          </w:tcPr>
          <w:p w14:paraId="011E4043" w14:textId="2F5A12DC" w:rsidR="00204E86" w:rsidRPr="006C3DFF" w:rsidRDefault="00204E86" w:rsidP="00F8149F">
            <w:pPr>
              <w:pStyle w:val="VCAAtablecondensed"/>
              <w:rPr>
                <w:lang w:val="en-AU"/>
              </w:rPr>
            </w:pPr>
            <w:r w:rsidRPr="006C3DFF">
              <w:rPr>
                <w:lang w:val="en-AU"/>
              </w:rPr>
              <w:t>3.6</w:t>
            </w:r>
          </w:p>
        </w:tc>
      </w:tr>
    </w:tbl>
    <w:p w14:paraId="004E34C2" w14:textId="6214187A" w:rsidR="00F025BB" w:rsidRPr="006C3DFF" w:rsidRDefault="00B51618" w:rsidP="00F025BB">
      <w:pPr>
        <w:pStyle w:val="VCAAbody"/>
        <w:rPr>
          <w:lang w:val="en-AU"/>
        </w:rPr>
      </w:pPr>
      <w:r w:rsidRPr="006C3DFF">
        <w:rPr>
          <w:lang w:val="en-AU"/>
        </w:rPr>
        <w:t>This question required students to discuss how the media may influence Australian domestic policy. The task word ‘discuss’ requires more than a description or explanation; it might involve looking at both sides of an argument</w:t>
      </w:r>
      <w:r w:rsidR="007E13BB" w:rsidRPr="006C3DFF">
        <w:rPr>
          <w:lang w:val="en-AU"/>
        </w:rPr>
        <w:t>, and presenting the strengths and weaknesses of each</w:t>
      </w:r>
      <w:r w:rsidRPr="006C3DFF">
        <w:rPr>
          <w:lang w:val="en-AU"/>
        </w:rPr>
        <w:t xml:space="preserve">. In this case, students </w:t>
      </w:r>
      <w:r w:rsidR="002843A0" w:rsidRPr="006C3DFF">
        <w:rPr>
          <w:lang w:val="en-AU"/>
        </w:rPr>
        <w:t>needed to identify at least one way the media may exert influence over domestic policy formulation and/or implementation. The</w:t>
      </w:r>
      <w:r w:rsidR="00ED1D7A" w:rsidRPr="006C3DFF">
        <w:rPr>
          <w:lang w:val="en-AU"/>
        </w:rPr>
        <w:t>ir</w:t>
      </w:r>
      <w:r w:rsidR="002843A0" w:rsidRPr="006C3DFF">
        <w:rPr>
          <w:lang w:val="en-AU"/>
        </w:rPr>
        <w:t xml:space="preserve"> ensuing discussion might have examined the nature, extent and limitations of that influence, best achieved using examples. While there were some strong responses, </w:t>
      </w:r>
      <w:r w:rsidR="00C56C18" w:rsidRPr="006C3DFF">
        <w:rPr>
          <w:lang w:val="en-AU"/>
        </w:rPr>
        <w:t>many students</w:t>
      </w:r>
      <w:r w:rsidR="00ED1D7A" w:rsidRPr="006C3DFF">
        <w:rPr>
          <w:lang w:val="en-AU"/>
        </w:rPr>
        <w:t xml:space="preserve"> simply</w:t>
      </w:r>
      <w:r w:rsidR="00C56C18" w:rsidRPr="006C3DFF">
        <w:rPr>
          <w:lang w:val="en-AU"/>
        </w:rPr>
        <w:t xml:space="preserve"> described types of media without addressing the idea of influence.</w:t>
      </w:r>
    </w:p>
    <w:p w14:paraId="2B84CD3B" w14:textId="0534CD56" w:rsidR="002843A0" w:rsidRPr="006C3DFF" w:rsidRDefault="002843A0" w:rsidP="00F025BB">
      <w:pPr>
        <w:pStyle w:val="VCAAbody"/>
        <w:rPr>
          <w:lang w:val="en-AU"/>
        </w:rPr>
      </w:pPr>
      <w:r w:rsidRPr="006C3DFF">
        <w:rPr>
          <w:lang w:val="en-AU"/>
        </w:rPr>
        <w:t>Examples of ways the media may</w:t>
      </w:r>
      <w:r w:rsidR="00C56C18" w:rsidRPr="006C3DFF">
        <w:rPr>
          <w:lang w:val="en-AU"/>
        </w:rPr>
        <w:t xml:space="preserve"> influence domestic policy include</w:t>
      </w:r>
      <w:r w:rsidR="001E7E66" w:rsidRPr="006C3DFF">
        <w:rPr>
          <w:lang w:val="en-AU"/>
        </w:rPr>
        <w:t xml:space="preserve"> through</w:t>
      </w:r>
      <w:r w:rsidR="00C56C18" w:rsidRPr="006C3DFF">
        <w:rPr>
          <w:lang w:val="en-AU"/>
        </w:rPr>
        <w:t>:</w:t>
      </w:r>
    </w:p>
    <w:p w14:paraId="019EE8F6" w14:textId="7549362B" w:rsidR="00C56C18" w:rsidRPr="006C3DFF" w:rsidRDefault="00C56C18" w:rsidP="000202B8">
      <w:pPr>
        <w:pStyle w:val="VCAAbullet"/>
        <w:rPr>
          <w:lang w:val="en-AU"/>
        </w:rPr>
      </w:pPr>
      <w:r w:rsidRPr="006C3DFF">
        <w:rPr>
          <w:lang w:val="en-AU"/>
        </w:rPr>
        <w:t>the selection of stories and degree of coverage of policy issues</w:t>
      </w:r>
    </w:p>
    <w:p w14:paraId="0F21F1AC" w14:textId="14AFF4C7" w:rsidR="00C56C18" w:rsidRPr="006C3DFF" w:rsidRDefault="00C56C18" w:rsidP="000202B8">
      <w:pPr>
        <w:pStyle w:val="VCAAbullet"/>
        <w:rPr>
          <w:lang w:val="en-AU"/>
        </w:rPr>
      </w:pPr>
      <w:r w:rsidRPr="006C3DFF">
        <w:rPr>
          <w:lang w:val="en-AU"/>
        </w:rPr>
        <w:t>investigative journalism</w:t>
      </w:r>
    </w:p>
    <w:p w14:paraId="1CD9D808" w14:textId="3D4E3229" w:rsidR="00C56C18" w:rsidRPr="006C3DFF" w:rsidRDefault="00C56C18" w:rsidP="000202B8">
      <w:pPr>
        <w:pStyle w:val="VCAAbullet"/>
        <w:rPr>
          <w:lang w:val="en-AU"/>
        </w:rPr>
      </w:pPr>
      <w:r w:rsidRPr="006C3DFF">
        <w:rPr>
          <w:lang w:val="en-AU"/>
        </w:rPr>
        <w:t>actively campaign</w:t>
      </w:r>
      <w:r w:rsidR="001E7E66" w:rsidRPr="006C3DFF">
        <w:rPr>
          <w:lang w:val="en-AU"/>
        </w:rPr>
        <w:t>ing</w:t>
      </w:r>
      <w:r w:rsidRPr="006C3DFF">
        <w:rPr>
          <w:lang w:val="en-AU"/>
        </w:rPr>
        <w:t xml:space="preserve"> to prevent or, conversely, to promote and advocate for policy action</w:t>
      </w:r>
    </w:p>
    <w:p w14:paraId="05EAF540" w14:textId="7BE72DC0" w:rsidR="00C56C18" w:rsidRPr="006C3DFF" w:rsidRDefault="00C56C18" w:rsidP="000202B8">
      <w:pPr>
        <w:pStyle w:val="VCAAbullet"/>
        <w:rPr>
          <w:lang w:val="en-AU"/>
        </w:rPr>
      </w:pPr>
      <w:r w:rsidRPr="006C3DFF">
        <w:rPr>
          <w:lang w:val="en-AU"/>
        </w:rPr>
        <w:t>manipulation of public opinion</w:t>
      </w:r>
    </w:p>
    <w:p w14:paraId="440F7EAC" w14:textId="6ED31D4D" w:rsidR="00C56C18" w:rsidRPr="006C3DFF" w:rsidRDefault="00C56C18" w:rsidP="000202B8">
      <w:pPr>
        <w:pStyle w:val="VCAAbullet"/>
        <w:rPr>
          <w:lang w:val="en-AU"/>
        </w:rPr>
      </w:pPr>
      <w:r w:rsidRPr="006C3DFF">
        <w:rPr>
          <w:lang w:val="en-AU"/>
        </w:rPr>
        <w:t>cultivating a strong following, especially using social media.</w:t>
      </w:r>
    </w:p>
    <w:p w14:paraId="0D90F326" w14:textId="3B456AFE" w:rsidR="003E0D9F" w:rsidRPr="006C3DFF" w:rsidRDefault="003E0D9F" w:rsidP="003E0D9F">
      <w:pPr>
        <w:pStyle w:val="VCAAbody"/>
        <w:rPr>
          <w:lang w:val="en-AU"/>
        </w:rPr>
      </w:pPr>
      <w:r w:rsidRPr="006C3DFF">
        <w:rPr>
          <w:lang w:val="en-AU"/>
        </w:rPr>
        <w:t>The following is an example of a high-scoring response.</w:t>
      </w:r>
    </w:p>
    <w:p w14:paraId="313A2E5A" w14:textId="37FBEDDE" w:rsidR="003E0D9F" w:rsidRPr="006C3DFF" w:rsidRDefault="003E0D9F" w:rsidP="000202B8">
      <w:pPr>
        <w:pStyle w:val="VCAAbody"/>
        <w:ind w:left="284"/>
        <w:rPr>
          <w:i/>
          <w:lang w:val="en-AU"/>
        </w:rPr>
      </w:pPr>
      <w:r w:rsidRPr="006C3DFF">
        <w:rPr>
          <w:i/>
          <w:lang w:val="en-AU"/>
        </w:rPr>
        <w:t>The media may influence Australian domestic policy with the issues it chooses to focus on, which can affect public opinion. The gov’t, desiring to act with the will of the majority to gain public support, can then focus on these issues. For example in 2018 Scott Morrison announced a royal commission into the aged care sector, likely driven by the impending release of the ABC’s four corners episode just days later focussing on issues in the sector. Morrison</w:t>
      </w:r>
      <w:r w:rsidR="00BD3CF3" w:rsidRPr="006C3DFF">
        <w:rPr>
          <w:i/>
          <w:lang w:val="en-AU"/>
        </w:rPr>
        <w:t xml:space="preserve"> may have decided to conduct the royal commission wanting to appear to be </w:t>
      </w:r>
      <w:proofErr w:type="gramStart"/>
      <w:r w:rsidR="00BD3CF3" w:rsidRPr="006C3DFF">
        <w:rPr>
          <w:i/>
          <w:lang w:val="en-AU"/>
        </w:rPr>
        <w:t>taking action</w:t>
      </w:r>
      <w:proofErr w:type="gramEnd"/>
      <w:r w:rsidR="00BD3CF3" w:rsidRPr="006C3DFF">
        <w:rPr>
          <w:i/>
          <w:lang w:val="en-AU"/>
        </w:rPr>
        <w:t xml:space="preserve"> on the issue of aged care, anticipating the ABC’s report would focus attention on it. Another way in which the media can influence public policy is that it can aid with implementation by clarifying policy details to the Australian people. This was seen in the Covid-19 pandemic when many media outlets such as the ABC and the Guardian released explainers on topics such as lockdown rules and </w:t>
      </w:r>
      <w:proofErr w:type="spellStart"/>
      <w:r w:rsidR="00BD3CF3" w:rsidRPr="006C3DFF">
        <w:rPr>
          <w:i/>
          <w:lang w:val="en-AU"/>
        </w:rPr>
        <w:t>jobkeeper</w:t>
      </w:r>
      <w:proofErr w:type="spellEnd"/>
      <w:r w:rsidR="00BD3CF3" w:rsidRPr="006C3DFF">
        <w:rPr>
          <w:i/>
          <w:lang w:val="en-AU"/>
        </w:rPr>
        <w:t xml:space="preserve"> eligibility, policies which required public understanding to be successful. Hence, the media can influence policy by assisting with implementation.</w:t>
      </w:r>
    </w:p>
    <w:p w14:paraId="2D87567E" w14:textId="3B2E99D1" w:rsidR="00C56C18" w:rsidRPr="006C3DFF" w:rsidRDefault="00C56C18">
      <w:pPr>
        <w:pStyle w:val="VCAAHeading3"/>
        <w:rPr>
          <w:lang w:val="en-AU"/>
        </w:rPr>
      </w:pPr>
      <w:r w:rsidRPr="006C3DFF">
        <w:rPr>
          <w:lang w:val="en-AU"/>
        </w:rPr>
        <w:t>Question 9</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576"/>
        <w:gridCol w:w="864"/>
        <w:gridCol w:w="864"/>
        <w:gridCol w:w="864"/>
        <w:gridCol w:w="864"/>
      </w:tblGrid>
      <w:tr w:rsidR="00204E86" w:rsidRPr="006C3DFF" w14:paraId="585CD7CB" w14:textId="77777777" w:rsidTr="00D81C70">
        <w:trPr>
          <w:cnfStyle w:val="100000000000" w:firstRow="1" w:lastRow="0" w:firstColumn="0" w:lastColumn="0" w:oddVBand="0" w:evenVBand="0" w:oddHBand="0" w:evenHBand="0" w:firstRowFirstColumn="0" w:firstRowLastColumn="0" w:lastRowFirstColumn="0" w:lastRowLastColumn="0"/>
        </w:trPr>
        <w:tc>
          <w:tcPr>
            <w:tcW w:w="599" w:type="dxa"/>
          </w:tcPr>
          <w:p w14:paraId="1F833C83" w14:textId="77777777" w:rsidR="00204E86" w:rsidRPr="006C3DFF" w:rsidRDefault="00204E86" w:rsidP="00D81C70">
            <w:pPr>
              <w:pStyle w:val="VCAAtablecondensedheading"/>
              <w:rPr>
                <w:lang w:val="en-AU"/>
              </w:rPr>
            </w:pPr>
            <w:r w:rsidRPr="006C3DFF">
              <w:rPr>
                <w:lang w:val="en-AU"/>
              </w:rPr>
              <w:t>Mark</w:t>
            </w:r>
          </w:p>
        </w:tc>
        <w:tc>
          <w:tcPr>
            <w:tcW w:w="576" w:type="dxa"/>
          </w:tcPr>
          <w:p w14:paraId="08B5427D" w14:textId="77777777" w:rsidR="00204E86" w:rsidRPr="006C3DFF" w:rsidRDefault="00204E86" w:rsidP="00D81C70">
            <w:pPr>
              <w:pStyle w:val="VCAAtablecondensedheading"/>
              <w:rPr>
                <w:lang w:val="en-AU"/>
              </w:rPr>
            </w:pPr>
            <w:r w:rsidRPr="006C3DFF">
              <w:rPr>
                <w:lang w:val="en-AU"/>
              </w:rPr>
              <w:t>0</w:t>
            </w:r>
          </w:p>
        </w:tc>
        <w:tc>
          <w:tcPr>
            <w:tcW w:w="576" w:type="dxa"/>
          </w:tcPr>
          <w:p w14:paraId="2CC4612B" w14:textId="77777777" w:rsidR="00204E86" w:rsidRPr="006C3DFF" w:rsidRDefault="00204E86" w:rsidP="00D81C70">
            <w:pPr>
              <w:pStyle w:val="VCAAtablecondensedheading"/>
              <w:rPr>
                <w:lang w:val="en-AU"/>
              </w:rPr>
            </w:pPr>
            <w:r w:rsidRPr="006C3DFF">
              <w:rPr>
                <w:lang w:val="en-AU"/>
              </w:rPr>
              <w:t>1</w:t>
            </w:r>
          </w:p>
        </w:tc>
        <w:tc>
          <w:tcPr>
            <w:tcW w:w="576" w:type="dxa"/>
          </w:tcPr>
          <w:p w14:paraId="04D08B76" w14:textId="77777777" w:rsidR="00204E86" w:rsidRPr="006C3DFF" w:rsidRDefault="00204E86" w:rsidP="00D81C70">
            <w:pPr>
              <w:pStyle w:val="VCAAtablecondensedheading"/>
              <w:rPr>
                <w:lang w:val="en-AU"/>
              </w:rPr>
            </w:pPr>
            <w:r w:rsidRPr="006C3DFF">
              <w:rPr>
                <w:lang w:val="en-AU"/>
              </w:rPr>
              <w:t>2</w:t>
            </w:r>
          </w:p>
        </w:tc>
        <w:tc>
          <w:tcPr>
            <w:tcW w:w="576" w:type="dxa"/>
          </w:tcPr>
          <w:p w14:paraId="4F82E35E" w14:textId="77777777" w:rsidR="00204E86" w:rsidRPr="006C3DFF" w:rsidRDefault="00204E86" w:rsidP="00D81C70">
            <w:pPr>
              <w:pStyle w:val="VCAAtablecondensedheading"/>
              <w:rPr>
                <w:lang w:val="en-AU"/>
              </w:rPr>
            </w:pPr>
            <w:r w:rsidRPr="006C3DFF">
              <w:rPr>
                <w:lang w:val="en-AU"/>
              </w:rPr>
              <w:t>3</w:t>
            </w:r>
          </w:p>
        </w:tc>
        <w:tc>
          <w:tcPr>
            <w:tcW w:w="576" w:type="dxa"/>
          </w:tcPr>
          <w:p w14:paraId="6B595B25" w14:textId="77777777" w:rsidR="00204E86" w:rsidRPr="006C3DFF" w:rsidRDefault="00204E86" w:rsidP="00D81C70">
            <w:pPr>
              <w:pStyle w:val="VCAAtablecondensedheading"/>
              <w:rPr>
                <w:lang w:val="en-AU"/>
              </w:rPr>
            </w:pPr>
            <w:r w:rsidRPr="006C3DFF">
              <w:rPr>
                <w:lang w:val="en-AU"/>
              </w:rPr>
              <w:t>4</w:t>
            </w:r>
          </w:p>
        </w:tc>
        <w:tc>
          <w:tcPr>
            <w:tcW w:w="864" w:type="dxa"/>
          </w:tcPr>
          <w:p w14:paraId="2E1A89BC" w14:textId="483C6075" w:rsidR="00204E86" w:rsidRPr="006C3DFF" w:rsidRDefault="00204E86" w:rsidP="00D81C70">
            <w:pPr>
              <w:pStyle w:val="VCAAtablecondensedheading"/>
              <w:rPr>
                <w:lang w:val="en-AU"/>
              </w:rPr>
            </w:pPr>
            <w:r w:rsidRPr="006C3DFF">
              <w:rPr>
                <w:lang w:val="en-AU"/>
              </w:rPr>
              <w:t>5</w:t>
            </w:r>
          </w:p>
        </w:tc>
        <w:tc>
          <w:tcPr>
            <w:tcW w:w="864" w:type="dxa"/>
          </w:tcPr>
          <w:p w14:paraId="027C8059" w14:textId="4D3B56B9" w:rsidR="00204E86" w:rsidRPr="006C3DFF" w:rsidRDefault="00204E86" w:rsidP="00D81C70">
            <w:pPr>
              <w:pStyle w:val="VCAAtablecondensedheading"/>
              <w:rPr>
                <w:lang w:val="en-AU"/>
              </w:rPr>
            </w:pPr>
            <w:r w:rsidRPr="006C3DFF">
              <w:rPr>
                <w:lang w:val="en-AU"/>
              </w:rPr>
              <w:t>6</w:t>
            </w:r>
          </w:p>
        </w:tc>
        <w:tc>
          <w:tcPr>
            <w:tcW w:w="864" w:type="dxa"/>
          </w:tcPr>
          <w:p w14:paraId="331738B0" w14:textId="7D181449" w:rsidR="00204E86" w:rsidRPr="006C3DFF" w:rsidRDefault="00204E86" w:rsidP="00D81C70">
            <w:pPr>
              <w:pStyle w:val="VCAAtablecondensedheading"/>
              <w:rPr>
                <w:lang w:val="en-AU"/>
              </w:rPr>
            </w:pPr>
            <w:r w:rsidRPr="006C3DFF">
              <w:rPr>
                <w:lang w:val="en-AU"/>
              </w:rPr>
              <w:t>7</w:t>
            </w:r>
          </w:p>
        </w:tc>
        <w:tc>
          <w:tcPr>
            <w:tcW w:w="864" w:type="dxa"/>
          </w:tcPr>
          <w:p w14:paraId="5E0A9E04" w14:textId="01436232" w:rsidR="00204E86" w:rsidRPr="006C3DFF" w:rsidRDefault="00204E86" w:rsidP="00D81C70">
            <w:pPr>
              <w:pStyle w:val="VCAAtablecondensedheading"/>
              <w:rPr>
                <w:lang w:val="en-AU"/>
              </w:rPr>
            </w:pPr>
            <w:r w:rsidRPr="006C3DFF">
              <w:rPr>
                <w:lang w:val="en-AU"/>
              </w:rPr>
              <w:t>Average</w:t>
            </w:r>
          </w:p>
        </w:tc>
      </w:tr>
      <w:tr w:rsidR="00204E86" w:rsidRPr="006C3DFF" w14:paraId="47446D6F" w14:textId="77777777" w:rsidTr="00D81C70">
        <w:tc>
          <w:tcPr>
            <w:tcW w:w="599" w:type="dxa"/>
          </w:tcPr>
          <w:p w14:paraId="7CCF6680"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3B9C41F3" w14:textId="6B6B098B" w:rsidR="00204E86" w:rsidRPr="006C3DFF" w:rsidRDefault="00204E86" w:rsidP="00F8149F">
            <w:pPr>
              <w:pStyle w:val="VCAAtablecondensed"/>
              <w:rPr>
                <w:lang w:val="en-AU"/>
              </w:rPr>
            </w:pPr>
            <w:r w:rsidRPr="006C3DFF">
              <w:rPr>
                <w:lang w:val="en-AU"/>
              </w:rPr>
              <w:t>7</w:t>
            </w:r>
          </w:p>
        </w:tc>
        <w:tc>
          <w:tcPr>
            <w:tcW w:w="576" w:type="dxa"/>
            <w:vAlign w:val="center"/>
          </w:tcPr>
          <w:p w14:paraId="749ACE15" w14:textId="045A0300" w:rsidR="00204E86" w:rsidRPr="006C3DFF" w:rsidRDefault="00204E86" w:rsidP="00F8149F">
            <w:pPr>
              <w:pStyle w:val="VCAAtablecondensed"/>
              <w:rPr>
                <w:lang w:val="en-AU"/>
              </w:rPr>
            </w:pPr>
            <w:r w:rsidRPr="006C3DFF">
              <w:rPr>
                <w:lang w:val="en-AU"/>
              </w:rPr>
              <w:t>4</w:t>
            </w:r>
          </w:p>
        </w:tc>
        <w:tc>
          <w:tcPr>
            <w:tcW w:w="576" w:type="dxa"/>
            <w:vAlign w:val="center"/>
          </w:tcPr>
          <w:p w14:paraId="71E0EE6B" w14:textId="0C31C0E3" w:rsidR="00204E86" w:rsidRPr="006C3DFF" w:rsidRDefault="00204E86" w:rsidP="00F8149F">
            <w:pPr>
              <w:pStyle w:val="VCAAtablecondensed"/>
              <w:rPr>
                <w:lang w:val="en-AU"/>
              </w:rPr>
            </w:pPr>
            <w:r w:rsidRPr="006C3DFF">
              <w:rPr>
                <w:lang w:val="en-AU"/>
              </w:rPr>
              <w:t>10</w:t>
            </w:r>
          </w:p>
        </w:tc>
        <w:tc>
          <w:tcPr>
            <w:tcW w:w="576" w:type="dxa"/>
            <w:vAlign w:val="center"/>
          </w:tcPr>
          <w:p w14:paraId="5D276333" w14:textId="6BC18C8B" w:rsidR="00204E86" w:rsidRPr="006C3DFF" w:rsidRDefault="00204E86" w:rsidP="00F8149F">
            <w:pPr>
              <w:pStyle w:val="VCAAtablecondensed"/>
              <w:rPr>
                <w:lang w:val="en-AU"/>
              </w:rPr>
            </w:pPr>
            <w:r w:rsidRPr="006C3DFF">
              <w:rPr>
                <w:lang w:val="en-AU"/>
              </w:rPr>
              <w:t>12</w:t>
            </w:r>
          </w:p>
        </w:tc>
        <w:tc>
          <w:tcPr>
            <w:tcW w:w="576" w:type="dxa"/>
            <w:vAlign w:val="center"/>
          </w:tcPr>
          <w:p w14:paraId="4B157DC2" w14:textId="7B39A6A8" w:rsidR="00204E86" w:rsidRPr="006C3DFF" w:rsidRDefault="00204E86" w:rsidP="00F8149F">
            <w:pPr>
              <w:pStyle w:val="VCAAtablecondensed"/>
              <w:rPr>
                <w:lang w:val="en-AU"/>
              </w:rPr>
            </w:pPr>
            <w:r w:rsidRPr="006C3DFF">
              <w:rPr>
                <w:lang w:val="en-AU"/>
              </w:rPr>
              <w:t>22</w:t>
            </w:r>
          </w:p>
        </w:tc>
        <w:tc>
          <w:tcPr>
            <w:tcW w:w="864" w:type="dxa"/>
            <w:vAlign w:val="center"/>
          </w:tcPr>
          <w:p w14:paraId="0F81BEC8" w14:textId="6DBB661A" w:rsidR="00204E86" w:rsidRPr="006C3DFF" w:rsidRDefault="00204E86" w:rsidP="00F8149F">
            <w:pPr>
              <w:pStyle w:val="VCAAtablecondensed"/>
              <w:rPr>
                <w:lang w:val="en-AU"/>
              </w:rPr>
            </w:pPr>
            <w:r w:rsidRPr="006C3DFF">
              <w:rPr>
                <w:lang w:val="en-AU"/>
              </w:rPr>
              <w:t>19</w:t>
            </w:r>
          </w:p>
        </w:tc>
        <w:tc>
          <w:tcPr>
            <w:tcW w:w="864" w:type="dxa"/>
            <w:vAlign w:val="center"/>
          </w:tcPr>
          <w:p w14:paraId="2F00FE55" w14:textId="4948E303" w:rsidR="00204E86" w:rsidRPr="006C3DFF" w:rsidRDefault="00204E86" w:rsidP="00F8149F">
            <w:pPr>
              <w:pStyle w:val="VCAAtablecondensed"/>
              <w:rPr>
                <w:lang w:val="en-AU"/>
              </w:rPr>
            </w:pPr>
            <w:r w:rsidRPr="006C3DFF">
              <w:rPr>
                <w:lang w:val="en-AU"/>
              </w:rPr>
              <w:t>16</w:t>
            </w:r>
          </w:p>
        </w:tc>
        <w:tc>
          <w:tcPr>
            <w:tcW w:w="864" w:type="dxa"/>
            <w:vAlign w:val="center"/>
          </w:tcPr>
          <w:p w14:paraId="529BE62C" w14:textId="0C39D5C4" w:rsidR="00204E86" w:rsidRPr="006C3DFF" w:rsidRDefault="00204E86" w:rsidP="00F8149F">
            <w:pPr>
              <w:pStyle w:val="VCAAtablecondensed"/>
              <w:rPr>
                <w:lang w:val="en-AU"/>
              </w:rPr>
            </w:pPr>
            <w:r w:rsidRPr="006C3DFF">
              <w:rPr>
                <w:lang w:val="en-AU"/>
              </w:rPr>
              <w:t>10</w:t>
            </w:r>
          </w:p>
        </w:tc>
        <w:tc>
          <w:tcPr>
            <w:tcW w:w="864" w:type="dxa"/>
          </w:tcPr>
          <w:p w14:paraId="12865A57" w14:textId="797FE9BD" w:rsidR="00204E86" w:rsidRPr="006C3DFF" w:rsidRDefault="00204E86" w:rsidP="00F8149F">
            <w:pPr>
              <w:pStyle w:val="VCAAtablecondensed"/>
              <w:rPr>
                <w:lang w:val="en-AU"/>
              </w:rPr>
            </w:pPr>
            <w:r w:rsidRPr="006C3DFF">
              <w:rPr>
                <w:lang w:val="en-AU"/>
              </w:rPr>
              <w:t>4.1</w:t>
            </w:r>
          </w:p>
        </w:tc>
      </w:tr>
    </w:tbl>
    <w:p w14:paraId="785471CF" w14:textId="56E1268D" w:rsidR="00C56C18" w:rsidRPr="006C3DFF" w:rsidRDefault="00C43434" w:rsidP="00D76216">
      <w:pPr>
        <w:pStyle w:val="VCAAbody"/>
        <w:rPr>
          <w:lang w:val="en-AU"/>
        </w:rPr>
      </w:pPr>
      <w:r w:rsidRPr="006C3DFF">
        <w:rPr>
          <w:lang w:val="en-AU"/>
        </w:rPr>
        <w:t xml:space="preserve">This ‘evaluate’ question required students to analyse ways in which independents may influence </w:t>
      </w:r>
      <w:r w:rsidRPr="006C3DFF">
        <w:rPr>
          <w:i/>
          <w:lang w:val="en-AU"/>
        </w:rPr>
        <w:t>both</w:t>
      </w:r>
      <w:r w:rsidRPr="006C3DFF">
        <w:rPr>
          <w:lang w:val="en-AU"/>
        </w:rPr>
        <w:t xml:space="preserve"> domestic policy formulation </w:t>
      </w:r>
      <w:r w:rsidRPr="006C3DFF">
        <w:rPr>
          <w:i/>
          <w:lang w:val="en-AU"/>
        </w:rPr>
        <w:t>and</w:t>
      </w:r>
      <w:r w:rsidRPr="006C3DFF">
        <w:rPr>
          <w:lang w:val="en-AU"/>
        </w:rPr>
        <w:t xml:space="preserve"> implementation, and to reach a judgment or conclusion about the extent of influence that independents can achieve. Many students demonstrated a good understanding of a range of ways and the circumstances in which independents can most strongly, or readily, affect the domestic policy process. </w:t>
      </w:r>
      <w:r w:rsidR="00353BB7" w:rsidRPr="006C3DFF">
        <w:rPr>
          <w:lang w:val="en-AU"/>
        </w:rPr>
        <w:t>Strong responses considered the effect</w:t>
      </w:r>
      <w:r w:rsidR="00ED1D7A" w:rsidRPr="006C3DFF">
        <w:rPr>
          <w:lang w:val="en-AU"/>
        </w:rPr>
        <w:t>s</w:t>
      </w:r>
      <w:r w:rsidR="00353BB7" w:rsidRPr="006C3DFF">
        <w:rPr>
          <w:lang w:val="en-AU"/>
        </w:rPr>
        <w:t xml:space="preserve"> of the composition of the House of Representatives and </w:t>
      </w:r>
      <w:r w:rsidR="00353BB7" w:rsidRPr="006C3DFF">
        <w:rPr>
          <w:lang w:val="en-AU"/>
        </w:rPr>
        <w:lastRenderedPageBreak/>
        <w:t>the Senate, and supported their arguments with contemporary evidence. Common errors were a failure to address both formulation and implementation, confusion of independents with minor party representatives, and use of examples from the early stages of the Gillard minority government (which fall outside the scope of the study design).</w:t>
      </w:r>
    </w:p>
    <w:p w14:paraId="48072394" w14:textId="3307CFCF" w:rsidR="00F025BB" w:rsidRPr="006C3DFF" w:rsidRDefault="00353BB7" w:rsidP="00D76216">
      <w:pPr>
        <w:pStyle w:val="VCAAbody"/>
        <w:rPr>
          <w:lang w:val="en-AU"/>
        </w:rPr>
      </w:pPr>
      <w:r w:rsidRPr="006C3DFF">
        <w:rPr>
          <w:lang w:val="en-AU"/>
        </w:rPr>
        <w:t>Ways in which independents may influence domestic policy formulation and implementation include:</w:t>
      </w:r>
    </w:p>
    <w:p w14:paraId="4DBC01EE" w14:textId="0951DBAB" w:rsidR="00353BB7" w:rsidRPr="006C3DFF" w:rsidRDefault="00353BB7" w:rsidP="000202B8">
      <w:pPr>
        <w:pStyle w:val="VCAAbullet"/>
        <w:rPr>
          <w:lang w:val="en-AU"/>
        </w:rPr>
      </w:pPr>
      <w:r w:rsidRPr="006C3DFF">
        <w:rPr>
          <w:lang w:val="en-AU"/>
        </w:rPr>
        <w:t>through negotiation or ‘horse trading’ their support for government policy in exchange for a policy goal of their own</w:t>
      </w:r>
      <w:r w:rsidR="00703AA1" w:rsidRPr="006C3DFF">
        <w:rPr>
          <w:lang w:val="en-AU"/>
        </w:rPr>
        <w:t xml:space="preserve"> (for example, </w:t>
      </w:r>
      <w:r w:rsidR="000E0D77" w:rsidRPr="006C3DFF">
        <w:rPr>
          <w:lang w:val="en-AU"/>
        </w:rPr>
        <w:t xml:space="preserve">Senator David Pocock’s push for the ACT’s public housing debt to be wiped in exchange for him supporting the Albanese government’s </w:t>
      </w:r>
      <w:r w:rsidR="003F7A7A" w:rsidRPr="006C3DFF">
        <w:rPr>
          <w:lang w:val="en-AU"/>
        </w:rPr>
        <w:t xml:space="preserve">industrial relations </w:t>
      </w:r>
      <w:r w:rsidR="000E0D77" w:rsidRPr="006C3DFF">
        <w:rPr>
          <w:lang w:val="en-AU"/>
        </w:rPr>
        <w:t>reforms</w:t>
      </w:r>
      <w:r w:rsidR="00703AA1" w:rsidRPr="006C3DFF">
        <w:rPr>
          <w:lang w:val="en-AU"/>
        </w:rPr>
        <w:t>)</w:t>
      </w:r>
    </w:p>
    <w:p w14:paraId="650D082A" w14:textId="50863486" w:rsidR="00353BB7" w:rsidRPr="006C3DFF" w:rsidRDefault="000E0D77" w:rsidP="000202B8">
      <w:pPr>
        <w:pStyle w:val="VCAAbullet"/>
        <w:rPr>
          <w:lang w:val="en-AU"/>
        </w:rPr>
      </w:pPr>
      <w:r w:rsidRPr="006C3DFF">
        <w:rPr>
          <w:lang w:val="en-AU"/>
        </w:rPr>
        <w:t>collaborating</w:t>
      </w:r>
      <w:r w:rsidR="00353BB7" w:rsidRPr="006C3DFF">
        <w:rPr>
          <w:lang w:val="en-AU"/>
        </w:rPr>
        <w:t xml:space="preserve"> with other like-minded politicians</w:t>
      </w:r>
      <w:r w:rsidR="00703AA1" w:rsidRPr="006C3DFF">
        <w:rPr>
          <w:lang w:val="en-AU"/>
        </w:rPr>
        <w:t xml:space="preserve"> (for example, </w:t>
      </w:r>
      <w:r w:rsidR="00594ACE" w:rsidRPr="006C3DFF">
        <w:rPr>
          <w:lang w:val="en-AU"/>
        </w:rPr>
        <w:t xml:space="preserve">Helen Haines and Zali </w:t>
      </w:r>
      <w:proofErr w:type="spellStart"/>
      <w:r w:rsidR="00594ACE" w:rsidRPr="006C3DFF">
        <w:rPr>
          <w:lang w:val="en-AU"/>
        </w:rPr>
        <w:t>Steggall</w:t>
      </w:r>
      <w:proofErr w:type="spellEnd"/>
      <w:r w:rsidR="00594ACE" w:rsidRPr="006C3DFF">
        <w:rPr>
          <w:lang w:val="en-AU"/>
        </w:rPr>
        <w:t xml:space="preserve"> on the need for climate action</w:t>
      </w:r>
      <w:r w:rsidR="00703AA1" w:rsidRPr="006C3DFF">
        <w:rPr>
          <w:lang w:val="en-AU"/>
        </w:rPr>
        <w:t>)</w:t>
      </w:r>
    </w:p>
    <w:p w14:paraId="1AE287D6" w14:textId="75F12A2C" w:rsidR="00594ACE" w:rsidRPr="006C3DFF" w:rsidRDefault="00594ACE" w:rsidP="000202B8">
      <w:pPr>
        <w:pStyle w:val="VCAAbullet"/>
        <w:rPr>
          <w:lang w:val="en-AU"/>
        </w:rPr>
      </w:pPr>
      <w:r w:rsidRPr="006C3DFF">
        <w:rPr>
          <w:lang w:val="en-AU"/>
        </w:rPr>
        <w:t>negotiating amendments to bills</w:t>
      </w:r>
      <w:r w:rsidR="00D450E1" w:rsidRPr="006C3DFF">
        <w:rPr>
          <w:lang w:val="en-AU"/>
        </w:rPr>
        <w:t xml:space="preserve"> (for example, </w:t>
      </w:r>
      <w:r w:rsidR="005B7625" w:rsidRPr="006C3DFF">
        <w:rPr>
          <w:lang w:val="en-AU"/>
        </w:rPr>
        <w:t>independents negotiated that the Albanese government’s legislated 43% emissions reduction target be ‘a floor, not a ceiling’</w:t>
      </w:r>
      <w:r w:rsidR="003F7A7A" w:rsidRPr="006C3DFF">
        <w:rPr>
          <w:lang w:val="en-AU"/>
        </w:rPr>
        <w:t>)</w:t>
      </w:r>
    </w:p>
    <w:p w14:paraId="652A899C" w14:textId="5DECB33C" w:rsidR="00594ACE" w:rsidRPr="006C3DFF" w:rsidRDefault="000E0D77" w:rsidP="000202B8">
      <w:pPr>
        <w:pStyle w:val="VCAAbullet"/>
        <w:rPr>
          <w:lang w:val="en-AU"/>
        </w:rPr>
      </w:pPr>
      <w:r w:rsidRPr="006C3DFF">
        <w:rPr>
          <w:lang w:val="en-AU"/>
        </w:rPr>
        <w:t>tabling petitions in Parliament</w:t>
      </w:r>
    </w:p>
    <w:p w14:paraId="19C30A68" w14:textId="539A5227" w:rsidR="000E0D77" w:rsidRPr="006C3DFF" w:rsidRDefault="000E0D77" w:rsidP="000202B8">
      <w:pPr>
        <w:pStyle w:val="VCAAbullet"/>
        <w:rPr>
          <w:lang w:val="en-AU"/>
        </w:rPr>
      </w:pPr>
      <w:r w:rsidRPr="006C3DFF">
        <w:rPr>
          <w:lang w:val="en-AU"/>
        </w:rPr>
        <w:t>speaking in favour of or against policies in Parliament and/or in the media</w:t>
      </w:r>
      <w:r w:rsidR="00D450E1" w:rsidRPr="006C3DFF">
        <w:rPr>
          <w:lang w:val="en-AU"/>
        </w:rPr>
        <w:t xml:space="preserve"> (for example, </w:t>
      </w:r>
      <w:r w:rsidRPr="006C3DFF">
        <w:rPr>
          <w:lang w:val="en-AU"/>
        </w:rPr>
        <w:t xml:space="preserve">Andrew </w:t>
      </w:r>
      <w:proofErr w:type="spellStart"/>
      <w:r w:rsidRPr="006C3DFF">
        <w:rPr>
          <w:lang w:val="en-AU"/>
        </w:rPr>
        <w:t>Wilkie</w:t>
      </w:r>
      <w:proofErr w:type="spellEnd"/>
      <w:r w:rsidRPr="006C3DFF">
        <w:rPr>
          <w:lang w:val="en-AU"/>
        </w:rPr>
        <w:t xml:space="preserve"> spoke out against </w:t>
      </w:r>
      <w:proofErr w:type="spellStart"/>
      <w:r w:rsidRPr="006C3DFF">
        <w:rPr>
          <w:lang w:val="en-AU"/>
        </w:rPr>
        <w:t>Robodebt</w:t>
      </w:r>
      <w:proofErr w:type="spellEnd"/>
      <w:r w:rsidR="00D450E1" w:rsidRPr="006C3DFF">
        <w:rPr>
          <w:lang w:val="en-AU"/>
        </w:rPr>
        <w:t>)</w:t>
      </w:r>
    </w:p>
    <w:p w14:paraId="685EE8B2" w14:textId="624E84EC" w:rsidR="000E0D77" w:rsidRPr="006C3DFF" w:rsidRDefault="000E0D77" w:rsidP="000202B8">
      <w:pPr>
        <w:pStyle w:val="VCAAbullet"/>
        <w:rPr>
          <w:lang w:val="en-AU"/>
        </w:rPr>
      </w:pPr>
      <w:r w:rsidRPr="006C3DFF">
        <w:rPr>
          <w:lang w:val="en-AU"/>
        </w:rPr>
        <w:t>running campaigns against sitting members</w:t>
      </w:r>
      <w:r w:rsidR="00D450E1" w:rsidRPr="006C3DFF">
        <w:rPr>
          <w:lang w:val="en-AU"/>
        </w:rPr>
        <w:t xml:space="preserve"> (for example, </w:t>
      </w:r>
      <w:r w:rsidRPr="006C3DFF">
        <w:rPr>
          <w:lang w:val="en-AU"/>
        </w:rPr>
        <w:t>numerous ‘teal’ independents who were elected in May 2022 on platforms of climate action and integrity have since supported legislation in Parliament consistent with those platforms</w:t>
      </w:r>
      <w:r w:rsidR="00D450E1" w:rsidRPr="006C3DFF">
        <w:rPr>
          <w:lang w:val="en-AU"/>
        </w:rPr>
        <w:t>)</w:t>
      </w:r>
      <w:r w:rsidRPr="006C3DFF">
        <w:rPr>
          <w:lang w:val="en-AU"/>
        </w:rPr>
        <w:t>.</w:t>
      </w:r>
    </w:p>
    <w:p w14:paraId="40F7CE92" w14:textId="4C02FC3A" w:rsidR="000E0D77" w:rsidRPr="006C3DFF" w:rsidRDefault="000E0D77" w:rsidP="000E0D77">
      <w:pPr>
        <w:pStyle w:val="VCAAbody"/>
        <w:rPr>
          <w:lang w:val="en-AU"/>
        </w:rPr>
      </w:pPr>
      <w:r w:rsidRPr="006C3DFF">
        <w:rPr>
          <w:lang w:val="en-AU"/>
        </w:rPr>
        <w:t>Limitations</w:t>
      </w:r>
      <w:r w:rsidR="005B7625" w:rsidRPr="006C3DFF">
        <w:rPr>
          <w:lang w:val="en-AU"/>
        </w:rPr>
        <w:t xml:space="preserve"> on independents’ influence over domestic policy include:</w:t>
      </w:r>
    </w:p>
    <w:p w14:paraId="7221A3C5" w14:textId="493A9D6F" w:rsidR="005B7625" w:rsidRPr="006C3DFF" w:rsidRDefault="005B7625" w:rsidP="000202B8">
      <w:pPr>
        <w:pStyle w:val="VCAAbullet"/>
        <w:rPr>
          <w:lang w:val="en-AU"/>
        </w:rPr>
      </w:pPr>
      <w:r w:rsidRPr="006C3DFF">
        <w:rPr>
          <w:lang w:val="en-AU"/>
        </w:rPr>
        <w:t>a lack of power when bipartisanship exists between the major political parties</w:t>
      </w:r>
      <w:r w:rsidR="00D450E1" w:rsidRPr="006C3DFF">
        <w:rPr>
          <w:lang w:val="en-AU"/>
        </w:rPr>
        <w:t xml:space="preserve"> (for example, </w:t>
      </w:r>
      <w:proofErr w:type="spellStart"/>
      <w:r w:rsidRPr="006C3DFF">
        <w:rPr>
          <w:lang w:val="en-AU"/>
        </w:rPr>
        <w:t>JobKeeper</w:t>
      </w:r>
      <w:proofErr w:type="spellEnd"/>
      <w:r w:rsidR="00D450E1" w:rsidRPr="006C3DFF">
        <w:rPr>
          <w:lang w:val="en-AU"/>
        </w:rPr>
        <w:t>)</w:t>
      </w:r>
    </w:p>
    <w:p w14:paraId="65ECBA36" w14:textId="51378DD3" w:rsidR="005B7625" w:rsidRPr="006C3DFF" w:rsidRDefault="005B7625" w:rsidP="000202B8">
      <w:pPr>
        <w:pStyle w:val="VCAAbullet"/>
        <w:rPr>
          <w:lang w:val="en-AU"/>
        </w:rPr>
      </w:pPr>
      <w:r w:rsidRPr="006C3DFF">
        <w:rPr>
          <w:lang w:val="en-AU"/>
        </w:rPr>
        <w:t>fewer staff than political parties and less access to resources including the public service.</w:t>
      </w:r>
    </w:p>
    <w:p w14:paraId="3E8BC4A2" w14:textId="48F1D91C" w:rsidR="005B7625" w:rsidRPr="006C3DFF" w:rsidRDefault="009B1CF9">
      <w:pPr>
        <w:pStyle w:val="VCAAHeading3"/>
        <w:rPr>
          <w:lang w:val="en-AU"/>
        </w:rPr>
      </w:pPr>
      <w:r w:rsidRPr="006C3DFF">
        <w:rPr>
          <w:lang w:val="en-AU"/>
        </w:rPr>
        <w:t>Question 10</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864"/>
      </w:tblGrid>
      <w:tr w:rsidR="00204E86" w:rsidRPr="006C3DFF" w14:paraId="52AE99C1" w14:textId="77777777" w:rsidTr="00D81C70">
        <w:trPr>
          <w:cnfStyle w:val="100000000000" w:firstRow="1" w:lastRow="0" w:firstColumn="0" w:lastColumn="0" w:oddVBand="0" w:evenVBand="0" w:oddHBand="0" w:evenHBand="0" w:firstRowFirstColumn="0" w:firstRowLastColumn="0" w:lastRowFirstColumn="0" w:lastRowLastColumn="0"/>
        </w:trPr>
        <w:tc>
          <w:tcPr>
            <w:tcW w:w="599" w:type="dxa"/>
          </w:tcPr>
          <w:p w14:paraId="2027E4BF" w14:textId="77777777" w:rsidR="00204E86" w:rsidRPr="006C3DFF" w:rsidRDefault="00204E86" w:rsidP="00D81C70">
            <w:pPr>
              <w:pStyle w:val="VCAAtablecondensedheading"/>
              <w:rPr>
                <w:lang w:val="en-AU"/>
              </w:rPr>
            </w:pPr>
            <w:r w:rsidRPr="006C3DFF">
              <w:rPr>
                <w:lang w:val="en-AU"/>
              </w:rPr>
              <w:t>Mark</w:t>
            </w:r>
          </w:p>
        </w:tc>
        <w:tc>
          <w:tcPr>
            <w:tcW w:w="576" w:type="dxa"/>
          </w:tcPr>
          <w:p w14:paraId="357F316E" w14:textId="77777777" w:rsidR="00204E86" w:rsidRPr="006C3DFF" w:rsidRDefault="00204E86" w:rsidP="00D81C70">
            <w:pPr>
              <w:pStyle w:val="VCAAtablecondensedheading"/>
              <w:rPr>
                <w:lang w:val="en-AU"/>
              </w:rPr>
            </w:pPr>
            <w:r w:rsidRPr="006C3DFF">
              <w:rPr>
                <w:lang w:val="en-AU"/>
              </w:rPr>
              <w:t>0</w:t>
            </w:r>
          </w:p>
        </w:tc>
        <w:tc>
          <w:tcPr>
            <w:tcW w:w="576" w:type="dxa"/>
          </w:tcPr>
          <w:p w14:paraId="6B980BB8" w14:textId="77777777" w:rsidR="00204E86" w:rsidRPr="006C3DFF" w:rsidRDefault="00204E86" w:rsidP="00D81C70">
            <w:pPr>
              <w:pStyle w:val="VCAAtablecondensedheading"/>
              <w:rPr>
                <w:lang w:val="en-AU"/>
              </w:rPr>
            </w:pPr>
            <w:r w:rsidRPr="006C3DFF">
              <w:rPr>
                <w:lang w:val="en-AU"/>
              </w:rPr>
              <w:t>1</w:t>
            </w:r>
          </w:p>
        </w:tc>
        <w:tc>
          <w:tcPr>
            <w:tcW w:w="576" w:type="dxa"/>
          </w:tcPr>
          <w:p w14:paraId="43068BFA" w14:textId="77777777" w:rsidR="00204E86" w:rsidRPr="006C3DFF" w:rsidRDefault="00204E86" w:rsidP="00D81C70">
            <w:pPr>
              <w:pStyle w:val="VCAAtablecondensedheading"/>
              <w:rPr>
                <w:lang w:val="en-AU"/>
              </w:rPr>
            </w:pPr>
            <w:r w:rsidRPr="006C3DFF">
              <w:rPr>
                <w:lang w:val="en-AU"/>
              </w:rPr>
              <w:t>2</w:t>
            </w:r>
          </w:p>
        </w:tc>
        <w:tc>
          <w:tcPr>
            <w:tcW w:w="576" w:type="dxa"/>
          </w:tcPr>
          <w:p w14:paraId="6D34D2A7" w14:textId="77777777" w:rsidR="00204E86" w:rsidRPr="006C3DFF" w:rsidRDefault="00204E86" w:rsidP="00D81C70">
            <w:pPr>
              <w:pStyle w:val="VCAAtablecondensedheading"/>
              <w:rPr>
                <w:lang w:val="en-AU"/>
              </w:rPr>
            </w:pPr>
            <w:r w:rsidRPr="006C3DFF">
              <w:rPr>
                <w:lang w:val="en-AU"/>
              </w:rPr>
              <w:t>3</w:t>
            </w:r>
          </w:p>
        </w:tc>
        <w:tc>
          <w:tcPr>
            <w:tcW w:w="864" w:type="dxa"/>
          </w:tcPr>
          <w:p w14:paraId="08B2E958" w14:textId="77777777" w:rsidR="00204E86" w:rsidRPr="006C3DFF" w:rsidRDefault="00204E86" w:rsidP="00D81C70">
            <w:pPr>
              <w:pStyle w:val="VCAAtablecondensedheading"/>
              <w:rPr>
                <w:lang w:val="en-AU"/>
              </w:rPr>
            </w:pPr>
            <w:r w:rsidRPr="006C3DFF">
              <w:rPr>
                <w:lang w:val="en-AU"/>
              </w:rPr>
              <w:t>Average</w:t>
            </w:r>
          </w:p>
        </w:tc>
      </w:tr>
      <w:tr w:rsidR="00204E86" w:rsidRPr="006C3DFF" w14:paraId="6A641F6A" w14:textId="77777777" w:rsidTr="00D81C70">
        <w:tc>
          <w:tcPr>
            <w:tcW w:w="599" w:type="dxa"/>
          </w:tcPr>
          <w:p w14:paraId="0F4D5137"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24316520" w14:textId="479A3FF9" w:rsidR="00204E86" w:rsidRPr="006C3DFF" w:rsidRDefault="00204E86" w:rsidP="00F8149F">
            <w:pPr>
              <w:pStyle w:val="VCAAtablecondensed"/>
              <w:rPr>
                <w:lang w:val="en-AU"/>
              </w:rPr>
            </w:pPr>
            <w:r w:rsidRPr="006C3DFF">
              <w:rPr>
                <w:lang w:val="en-AU"/>
              </w:rPr>
              <w:t>35</w:t>
            </w:r>
          </w:p>
        </w:tc>
        <w:tc>
          <w:tcPr>
            <w:tcW w:w="576" w:type="dxa"/>
            <w:vAlign w:val="center"/>
          </w:tcPr>
          <w:p w14:paraId="160154AB" w14:textId="039513D2" w:rsidR="00204E86" w:rsidRPr="006C3DFF" w:rsidRDefault="00204E86" w:rsidP="00F8149F">
            <w:pPr>
              <w:pStyle w:val="VCAAtablecondensed"/>
              <w:rPr>
                <w:lang w:val="en-AU"/>
              </w:rPr>
            </w:pPr>
            <w:r w:rsidRPr="006C3DFF">
              <w:rPr>
                <w:lang w:val="en-AU"/>
              </w:rPr>
              <w:t>13</w:t>
            </w:r>
          </w:p>
        </w:tc>
        <w:tc>
          <w:tcPr>
            <w:tcW w:w="576" w:type="dxa"/>
            <w:vAlign w:val="center"/>
          </w:tcPr>
          <w:p w14:paraId="4C19E801" w14:textId="09260309" w:rsidR="00204E86" w:rsidRPr="006C3DFF" w:rsidRDefault="00204E86" w:rsidP="00F8149F">
            <w:pPr>
              <w:pStyle w:val="VCAAtablecondensed"/>
              <w:rPr>
                <w:lang w:val="en-AU"/>
              </w:rPr>
            </w:pPr>
            <w:r w:rsidRPr="006C3DFF">
              <w:rPr>
                <w:lang w:val="en-AU"/>
              </w:rPr>
              <w:t>18</w:t>
            </w:r>
          </w:p>
        </w:tc>
        <w:tc>
          <w:tcPr>
            <w:tcW w:w="576" w:type="dxa"/>
            <w:vAlign w:val="center"/>
          </w:tcPr>
          <w:p w14:paraId="18E65DEF" w14:textId="124F1609" w:rsidR="00204E86" w:rsidRPr="006C3DFF" w:rsidRDefault="00204E86" w:rsidP="00F8149F">
            <w:pPr>
              <w:pStyle w:val="VCAAtablecondensed"/>
              <w:rPr>
                <w:lang w:val="en-AU"/>
              </w:rPr>
            </w:pPr>
            <w:r w:rsidRPr="006C3DFF">
              <w:rPr>
                <w:lang w:val="en-AU"/>
              </w:rPr>
              <w:t>34</w:t>
            </w:r>
          </w:p>
        </w:tc>
        <w:tc>
          <w:tcPr>
            <w:tcW w:w="864" w:type="dxa"/>
          </w:tcPr>
          <w:p w14:paraId="348195FF" w14:textId="411F02F7" w:rsidR="00204E86" w:rsidRPr="006C3DFF" w:rsidRDefault="00204E86" w:rsidP="00F8149F">
            <w:pPr>
              <w:pStyle w:val="VCAAtablecondensed"/>
              <w:rPr>
                <w:lang w:val="en-AU"/>
              </w:rPr>
            </w:pPr>
            <w:r w:rsidRPr="006C3DFF">
              <w:rPr>
                <w:lang w:val="en-AU"/>
              </w:rPr>
              <w:t>1.5</w:t>
            </w:r>
          </w:p>
        </w:tc>
      </w:tr>
    </w:tbl>
    <w:p w14:paraId="3C37F6EA" w14:textId="1690E550" w:rsidR="009B1CF9" w:rsidRPr="006C3DFF" w:rsidRDefault="006B6D14" w:rsidP="000202B8">
      <w:pPr>
        <w:pStyle w:val="VCAAbody"/>
        <w:rPr>
          <w:lang w:val="en-AU"/>
        </w:rPr>
      </w:pPr>
      <w:r w:rsidRPr="006C3DFF">
        <w:rPr>
          <w:lang w:val="en-AU"/>
        </w:rPr>
        <w:t>‘</w:t>
      </w:r>
      <w:r w:rsidR="009B1CF9" w:rsidRPr="006C3DFF">
        <w:rPr>
          <w:lang w:val="en-AU"/>
        </w:rPr>
        <w:t>Sovereignty</w:t>
      </w:r>
      <w:r w:rsidRPr="006C3DFF">
        <w:rPr>
          <w:lang w:val="en-AU"/>
        </w:rPr>
        <w:t>’</w:t>
      </w:r>
      <w:r w:rsidR="009B1CF9" w:rsidRPr="006C3DFF">
        <w:rPr>
          <w:lang w:val="en-AU"/>
        </w:rPr>
        <w:t xml:space="preserve"> is the legitimate or widely recognised ability to exercise effective control of a territory within a recognised border. This is the primary organising principle of </w:t>
      </w:r>
      <w:r w:rsidR="00A35212" w:rsidRPr="006C3DFF">
        <w:rPr>
          <w:lang w:val="en-AU"/>
        </w:rPr>
        <w:t>international relations</w:t>
      </w:r>
      <w:r w:rsidR="009B1CF9" w:rsidRPr="006C3DFF">
        <w:rPr>
          <w:lang w:val="en-AU"/>
        </w:rPr>
        <w:t xml:space="preserve">, providing states with the authority to represent their territorial entity within the international community. Many students were unable to define this key term and concept. Numerous students wrongly presented a definition </w:t>
      </w:r>
      <w:r w:rsidR="00ED1D7A" w:rsidRPr="006C3DFF">
        <w:rPr>
          <w:lang w:val="en-AU"/>
        </w:rPr>
        <w:t xml:space="preserve">of </w:t>
      </w:r>
      <w:r w:rsidR="009B1CF9" w:rsidRPr="006C3DFF">
        <w:rPr>
          <w:lang w:val="en-AU"/>
        </w:rPr>
        <w:t>‘popular sovereignty’ and numerous others ma</w:t>
      </w:r>
      <w:r w:rsidRPr="006C3DFF">
        <w:rPr>
          <w:lang w:val="en-AU"/>
        </w:rPr>
        <w:t>de no attempt at this question.</w:t>
      </w:r>
    </w:p>
    <w:p w14:paraId="0B57A51E" w14:textId="4FB9EBBA" w:rsidR="006B6D14" w:rsidRPr="006C3DFF" w:rsidRDefault="006B6D14" w:rsidP="000202B8">
      <w:pPr>
        <w:pStyle w:val="VCAAbody"/>
        <w:rPr>
          <w:lang w:val="en-AU"/>
        </w:rPr>
      </w:pPr>
      <w:r w:rsidRPr="006C3DFF">
        <w:rPr>
          <w:lang w:val="en-AU"/>
        </w:rPr>
        <w:t>The question required students to use a contemporary example from Australian foreign policy to show their understanding of ‘sovereignty’, which many struggled to do. Examples of other countr</w:t>
      </w:r>
      <w:r w:rsidR="00ED1D7A" w:rsidRPr="006C3DFF">
        <w:rPr>
          <w:lang w:val="en-AU"/>
        </w:rPr>
        <w:t>ie</w:t>
      </w:r>
      <w:r w:rsidRPr="006C3DFF">
        <w:rPr>
          <w:lang w:val="en-AU"/>
        </w:rPr>
        <w:t>s</w:t>
      </w:r>
      <w:r w:rsidR="00ED1D7A" w:rsidRPr="006C3DFF">
        <w:rPr>
          <w:lang w:val="en-AU"/>
        </w:rPr>
        <w:t>’</w:t>
      </w:r>
      <w:r w:rsidRPr="006C3DFF">
        <w:rPr>
          <w:lang w:val="en-AU"/>
        </w:rPr>
        <w:t xml:space="preserve"> sovereignty were only relevant where they linked clearly to contemporary Australian foreign policy</w:t>
      </w:r>
      <w:r w:rsidR="00D450E1" w:rsidRPr="006C3DFF">
        <w:rPr>
          <w:lang w:val="en-AU"/>
        </w:rPr>
        <w:t xml:space="preserve"> (for example, </w:t>
      </w:r>
      <w:r w:rsidRPr="006C3DFF">
        <w:rPr>
          <w:lang w:val="en-AU"/>
        </w:rPr>
        <w:t>Australia’s support of Ukrainian sovereignty since Russia’s invasion of Ukraine in February 2022</w:t>
      </w:r>
      <w:r w:rsidR="00D450E1" w:rsidRPr="006C3DFF">
        <w:rPr>
          <w:lang w:val="en-AU"/>
        </w:rPr>
        <w:t>)</w:t>
      </w:r>
      <w:r w:rsidRPr="006C3DFF">
        <w:rPr>
          <w:lang w:val="en-AU"/>
        </w:rPr>
        <w:t>. Other contemporary Australian examples of sovereignty include:</w:t>
      </w:r>
    </w:p>
    <w:p w14:paraId="43CCD190" w14:textId="3E3C9B38" w:rsidR="006B6D14" w:rsidRPr="006C3DFF" w:rsidRDefault="006B6D14" w:rsidP="000202B8">
      <w:pPr>
        <w:pStyle w:val="VCAAbullet"/>
        <w:rPr>
          <w:lang w:val="en-AU"/>
        </w:rPr>
      </w:pPr>
      <w:r w:rsidRPr="006C3DFF">
        <w:rPr>
          <w:lang w:val="en-AU"/>
        </w:rPr>
        <w:t>Operation Sovereign Borders</w:t>
      </w:r>
    </w:p>
    <w:p w14:paraId="361B7B20" w14:textId="59EE596B" w:rsidR="006B6D14" w:rsidRPr="006C3DFF" w:rsidRDefault="006B6D14" w:rsidP="000202B8">
      <w:pPr>
        <w:pStyle w:val="VCAAbullet"/>
        <w:rPr>
          <w:lang w:val="en-AU"/>
        </w:rPr>
      </w:pPr>
      <w:r w:rsidRPr="006C3DFF">
        <w:rPr>
          <w:lang w:val="en-AU"/>
        </w:rPr>
        <w:t>foreign interference legislation</w:t>
      </w:r>
      <w:r w:rsidR="00D450E1" w:rsidRPr="006C3DFF">
        <w:rPr>
          <w:lang w:val="en-AU"/>
        </w:rPr>
        <w:t xml:space="preserve"> (for example, </w:t>
      </w:r>
      <w:r w:rsidRPr="006C3DFF">
        <w:rPr>
          <w:i/>
          <w:lang w:val="en-AU"/>
        </w:rPr>
        <w:t>National Security Legislation Amendment (Espionage and Foreign Interference) Act 2018</w:t>
      </w:r>
      <w:r w:rsidR="003F7A7A" w:rsidRPr="006C3DFF">
        <w:rPr>
          <w:i/>
          <w:lang w:val="en-AU"/>
        </w:rPr>
        <w:t xml:space="preserve"> (</w:t>
      </w:r>
      <w:proofErr w:type="spellStart"/>
      <w:r w:rsidR="003F7A7A" w:rsidRPr="006C3DFF">
        <w:rPr>
          <w:i/>
          <w:lang w:val="en-AU"/>
        </w:rPr>
        <w:t>Cth</w:t>
      </w:r>
      <w:proofErr w:type="spellEnd"/>
      <w:r w:rsidR="003F7A7A" w:rsidRPr="006C3DFF">
        <w:rPr>
          <w:i/>
          <w:lang w:val="en-AU"/>
        </w:rPr>
        <w:t>)</w:t>
      </w:r>
      <w:r w:rsidR="003F7A7A" w:rsidRPr="006C3DFF">
        <w:rPr>
          <w:lang w:val="en-AU"/>
        </w:rPr>
        <w:t>)</w:t>
      </w:r>
    </w:p>
    <w:p w14:paraId="3EB94D30" w14:textId="27E943A0" w:rsidR="006B6D14" w:rsidRPr="006C3DFF" w:rsidRDefault="005F0A7E" w:rsidP="000202B8">
      <w:pPr>
        <w:pStyle w:val="VCAAbullet"/>
        <w:rPr>
          <w:lang w:val="en-AU"/>
        </w:rPr>
      </w:pPr>
      <w:r w:rsidRPr="006C3DFF">
        <w:rPr>
          <w:lang w:val="en-AU"/>
        </w:rPr>
        <w:t xml:space="preserve">Australia’s </w:t>
      </w:r>
      <w:r w:rsidRPr="006C3DFF">
        <w:rPr>
          <w:i/>
          <w:lang w:val="en-AU"/>
        </w:rPr>
        <w:t>Foreign Relations (State and Territory Arrangements) Act 2020</w:t>
      </w:r>
      <w:r w:rsidRPr="006C3DFF">
        <w:rPr>
          <w:lang w:val="en-AU"/>
        </w:rPr>
        <w:t>, which enabled the cancellation of Victoria’s Memorandum of Understanding with China re</w:t>
      </w:r>
      <w:r w:rsidR="00D450E1" w:rsidRPr="006C3DFF">
        <w:rPr>
          <w:lang w:val="en-AU"/>
        </w:rPr>
        <w:t xml:space="preserve">garding </w:t>
      </w:r>
      <w:r w:rsidRPr="006C3DFF">
        <w:rPr>
          <w:lang w:val="en-AU"/>
        </w:rPr>
        <w:t>the Belt and Road Initiative</w:t>
      </w:r>
    </w:p>
    <w:p w14:paraId="57E4104E" w14:textId="4D719DB4" w:rsidR="00473322" w:rsidRPr="006C3DFF" w:rsidRDefault="005F0A7E">
      <w:pPr>
        <w:pStyle w:val="VCAAbullet"/>
        <w:rPr>
          <w:lang w:val="en-AU"/>
        </w:rPr>
      </w:pPr>
      <w:r w:rsidRPr="006C3DFF">
        <w:rPr>
          <w:lang w:val="en-AU"/>
        </w:rPr>
        <w:t>the recent establishment of AUKUS and reinvigoration of the Quad.</w:t>
      </w:r>
    </w:p>
    <w:p w14:paraId="1ABBE034" w14:textId="77777777" w:rsidR="00473322" w:rsidRPr="006C3DFF" w:rsidRDefault="00473322">
      <w:pPr>
        <w:rPr>
          <w:rFonts w:ascii="Arial" w:eastAsia="Arial" w:hAnsi="Arial" w:cs="Arial"/>
          <w:iCs/>
          <w:kern w:val="22"/>
          <w:sz w:val="20"/>
          <w:lang w:val="en-AU" w:eastAsia="ja-JP"/>
        </w:rPr>
      </w:pPr>
      <w:r w:rsidRPr="006C3DFF">
        <w:rPr>
          <w:lang w:val="en-AU"/>
        </w:rPr>
        <w:br w:type="page"/>
      </w:r>
    </w:p>
    <w:p w14:paraId="1BA9A107" w14:textId="27B0013A" w:rsidR="005F0A7E" w:rsidRPr="006C3DFF" w:rsidRDefault="005F0A7E">
      <w:pPr>
        <w:pStyle w:val="VCAAHeading3"/>
        <w:rPr>
          <w:lang w:val="en-AU"/>
        </w:rPr>
      </w:pPr>
      <w:r w:rsidRPr="006C3DFF">
        <w:rPr>
          <w:lang w:val="en-AU"/>
        </w:rPr>
        <w:lastRenderedPageBreak/>
        <w:t>Question 11</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576"/>
        <w:gridCol w:w="864"/>
        <w:gridCol w:w="864"/>
      </w:tblGrid>
      <w:tr w:rsidR="00204E86" w:rsidRPr="006C3DFF" w14:paraId="5F2D9ADC" w14:textId="77777777" w:rsidTr="00D81C70">
        <w:trPr>
          <w:cnfStyle w:val="100000000000" w:firstRow="1" w:lastRow="0" w:firstColumn="0" w:lastColumn="0" w:oddVBand="0" w:evenVBand="0" w:oddHBand="0" w:evenHBand="0" w:firstRowFirstColumn="0" w:firstRowLastColumn="0" w:lastRowFirstColumn="0" w:lastRowLastColumn="0"/>
        </w:trPr>
        <w:tc>
          <w:tcPr>
            <w:tcW w:w="599" w:type="dxa"/>
          </w:tcPr>
          <w:p w14:paraId="16E33425" w14:textId="77777777" w:rsidR="00204E86" w:rsidRPr="006C3DFF" w:rsidRDefault="00204E86" w:rsidP="00D81C70">
            <w:pPr>
              <w:pStyle w:val="VCAAtablecondensedheading"/>
              <w:rPr>
                <w:lang w:val="en-AU"/>
              </w:rPr>
            </w:pPr>
            <w:r w:rsidRPr="006C3DFF">
              <w:rPr>
                <w:lang w:val="en-AU"/>
              </w:rPr>
              <w:t>Mark</w:t>
            </w:r>
          </w:p>
        </w:tc>
        <w:tc>
          <w:tcPr>
            <w:tcW w:w="576" w:type="dxa"/>
          </w:tcPr>
          <w:p w14:paraId="25541FD9" w14:textId="77777777" w:rsidR="00204E86" w:rsidRPr="006C3DFF" w:rsidRDefault="00204E86" w:rsidP="00D81C70">
            <w:pPr>
              <w:pStyle w:val="VCAAtablecondensedheading"/>
              <w:rPr>
                <w:lang w:val="en-AU"/>
              </w:rPr>
            </w:pPr>
            <w:r w:rsidRPr="006C3DFF">
              <w:rPr>
                <w:lang w:val="en-AU"/>
              </w:rPr>
              <w:t>0</w:t>
            </w:r>
          </w:p>
        </w:tc>
        <w:tc>
          <w:tcPr>
            <w:tcW w:w="576" w:type="dxa"/>
          </w:tcPr>
          <w:p w14:paraId="27568859" w14:textId="77777777" w:rsidR="00204E86" w:rsidRPr="006C3DFF" w:rsidRDefault="00204E86" w:rsidP="00D81C70">
            <w:pPr>
              <w:pStyle w:val="VCAAtablecondensedheading"/>
              <w:rPr>
                <w:lang w:val="en-AU"/>
              </w:rPr>
            </w:pPr>
            <w:r w:rsidRPr="006C3DFF">
              <w:rPr>
                <w:lang w:val="en-AU"/>
              </w:rPr>
              <w:t>1</w:t>
            </w:r>
          </w:p>
        </w:tc>
        <w:tc>
          <w:tcPr>
            <w:tcW w:w="576" w:type="dxa"/>
          </w:tcPr>
          <w:p w14:paraId="3DB980DE" w14:textId="77777777" w:rsidR="00204E86" w:rsidRPr="006C3DFF" w:rsidRDefault="00204E86" w:rsidP="00D81C70">
            <w:pPr>
              <w:pStyle w:val="VCAAtablecondensedheading"/>
              <w:rPr>
                <w:lang w:val="en-AU"/>
              </w:rPr>
            </w:pPr>
            <w:r w:rsidRPr="006C3DFF">
              <w:rPr>
                <w:lang w:val="en-AU"/>
              </w:rPr>
              <w:t>2</w:t>
            </w:r>
          </w:p>
        </w:tc>
        <w:tc>
          <w:tcPr>
            <w:tcW w:w="576" w:type="dxa"/>
          </w:tcPr>
          <w:p w14:paraId="1091A9E1" w14:textId="77777777" w:rsidR="00204E86" w:rsidRPr="006C3DFF" w:rsidRDefault="00204E86" w:rsidP="00D81C70">
            <w:pPr>
              <w:pStyle w:val="VCAAtablecondensedheading"/>
              <w:rPr>
                <w:lang w:val="en-AU"/>
              </w:rPr>
            </w:pPr>
            <w:r w:rsidRPr="006C3DFF">
              <w:rPr>
                <w:lang w:val="en-AU"/>
              </w:rPr>
              <w:t>3</w:t>
            </w:r>
          </w:p>
        </w:tc>
        <w:tc>
          <w:tcPr>
            <w:tcW w:w="576" w:type="dxa"/>
          </w:tcPr>
          <w:p w14:paraId="3F2EDF6D" w14:textId="77777777" w:rsidR="00204E86" w:rsidRPr="006C3DFF" w:rsidRDefault="00204E86" w:rsidP="00D81C70">
            <w:pPr>
              <w:pStyle w:val="VCAAtablecondensedheading"/>
              <w:rPr>
                <w:lang w:val="en-AU"/>
              </w:rPr>
            </w:pPr>
            <w:r w:rsidRPr="006C3DFF">
              <w:rPr>
                <w:lang w:val="en-AU"/>
              </w:rPr>
              <w:t>4</w:t>
            </w:r>
          </w:p>
        </w:tc>
        <w:tc>
          <w:tcPr>
            <w:tcW w:w="864" w:type="dxa"/>
          </w:tcPr>
          <w:p w14:paraId="63B29EC7" w14:textId="5F977ED9" w:rsidR="00204E86" w:rsidRPr="006C3DFF" w:rsidRDefault="00204E86" w:rsidP="00D81C70">
            <w:pPr>
              <w:pStyle w:val="VCAAtablecondensedheading"/>
              <w:rPr>
                <w:lang w:val="en-AU"/>
              </w:rPr>
            </w:pPr>
            <w:r w:rsidRPr="006C3DFF">
              <w:rPr>
                <w:lang w:val="en-AU"/>
              </w:rPr>
              <w:t>5</w:t>
            </w:r>
          </w:p>
        </w:tc>
        <w:tc>
          <w:tcPr>
            <w:tcW w:w="864" w:type="dxa"/>
          </w:tcPr>
          <w:p w14:paraId="043E2567" w14:textId="475450C8" w:rsidR="00204E86" w:rsidRPr="006C3DFF" w:rsidRDefault="00204E86" w:rsidP="00D81C70">
            <w:pPr>
              <w:pStyle w:val="VCAAtablecondensedheading"/>
              <w:rPr>
                <w:lang w:val="en-AU"/>
              </w:rPr>
            </w:pPr>
            <w:r w:rsidRPr="006C3DFF">
              <w:rPr>
                <w:lang w:val="en-AU"/>
              </w:rPr>
              <w:t>Average</w:t>
            </w:r>
          </w:p>
        </w:tc>
      </w:tr>
      <w:tr w:rsidR="00204E86" w:rsidRPr="006C3DFF" w14:paraId="3CED6A59" w14:textId="77777777" w:rsidTr="00D81C70">
        <w:tc>
          <w:tcPr>
            <w:tcW w:w="599" w:type="dxa"/>
          </w:tcPr>
          <w:p w14:paraId="739ADDD5"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173D3482" w14:textId="1396FA1E" w:rsidR="00204E86" w:rsidRPr="006C3DFF" w:rsidRDefault="00204E86" w:rsidP="00F8149F">
            <w:pPr>
              <w:pStyle w:val="VCAAtablecondensed"/>
              <w:rPr>
                <w:lang w:val="en-AU"/>
              </w:rPr>
            </w:pPr>
            <w:r w:rsidRPr="006C3DFF">
              <w:rPr>
                <w:lang w:val="en-AU"/>
              </w:rPr>
              <w:t>5</w:t>
            </w:r>
          </w:p>
        </w:tc>
        <w:tc>
          <w:tcPr>
            <w:tcW w:w="576" w:type="dxa"/>
            <w:vAlign w:val="center"/>
          </w:tcPr>
          <w:p w14:paraId="22142A15" w14:textId="2205FEC2" w:rsidR="00204E86" w:rsidRPr="006C3DFF" w:rsidRDefault="00204E86" w:rsidP="00F8149F">
            <w:pPr>
              <w:pStyle w:val="VCAAtablecondensed"/>
              <w:rPr>
                <w:lang w:val="en-AU"/>
              </w:rPr>
            </w:pPr>
            <w:r w:rsidRPr="006C3DFF">
              <w:rPr>
                <w:lang w:val="en-AU"/>
              </w:rPr>
              <w:t>6</w:t>
            </w:r>
          </w:p>
        </w:tc>
        <w:tc>
          <w:tcPr>
            <w:tcW w:w="576" w:type="dxa"/>
            <w:vAlign w:val="center"/>
          </w:tcPr>
          <w:p w14:paraId="7A9F2CB6" w14:textId="5B0B123F" w:rsidR="00204E86" w:rsidRPr="006C3DFF" w:rsidRDefault="00204E86" w:rsidP="00F8149F">
            <w:pPr>
              <w:pStyle w:val="VCAAtablecondensed"/>
              <w:rPr>
                <w:lang w:val="en-AU"/>
              </w:rPr>
            </w:pPr>
            <w:r w:rsidRPr="006C3DFF">
              <w:rPr>
                <w:lang w:val="en-AU"/>
              </w:rPr>
              <w:t>12</w:t>
            </w:r>
          </w:p>
        </w:tc>
        <w:tc>
          <w:tcPr>
            <w:tcW w:w="576" w:type="dxa"/>
            <w:vAlign w:val="center"/>
          </w:tcPr>
          <w:p w14:paraId="47832E17" w14:textId="52C7D673" w:rsidR="00204E86" w:rsidRPr="006C3DFF" w:rsidRDefault="00204E86" w:rsidP="00F8149F">
            <w:pPr>
              <w:pStyle w:val="VCAAtablecondensed"/>
              <w:rPr>
                <w:lang w:val="en-AU"/>
              </w:rPr>
            </w:pPr>
            <w:r w:rsidRPr="006C3DFF">
              <w:rPr>
                <w:lang w:val="en-AU"/>
              </w:rPr>
              <w:t>18</w:t>
            </w:r>
          </w:p>
        </w:tc>
        <w:tc>
          <w:tcPr>
            <w:tcW w:w="576" w:type="dxa"/>
            <w:vAlign w:val="center"/>
          </w:tcPr>
          <w:p w14:paraId="0E8BF875" w14:textId="577AD244" w:rsidR="00204E86" w:rsidRPr="006C3DFF" w:rsidRDefault="00204E86" w:rsidP="00F8149F">
            <w:pPr>
              <w:pStyle w:val="VCAAtablecondensed"/>
              <w:rPr>
                <w:lang w:val="en-AU"/>
              </w:rPr>
            </w:pPr>
            <w:r w:rsidRPr="006C3DFF">
              <w:rPr>
                <w:lang w:val="en-AU"/>
              </w:rPr>
              <w:t>32</w:t>
            </w:r>
          </w:p>
        </w:tc>
        <w:tc>
          <w:tcPr>
            <w:tcW w:w="864" w:type="dxa"/>
            <w:vAlign w:val="center"/>
          </w:tcPr>
          <w:p w14:paraId="5934BA8C" w14:textId="6B6EE7E5" w:rsidR="00204E86" w:rsidRPr="006C3DFF" w:rsidRDefault="00204E86" w:rsidP="00F8149F">
            <w:pPr>
              <w:pStyle w:val="VCAAtablecondensed"/>
              <w:rPr>
                <w:lang w:val="en-AU"/>
              </w:rPr>
            </w:pPr>
            <w:r w:rsidRPr="006C3DFF">
              <w:rPr>
                <w:lang w:val="en-AU"/>
              </w:rPr>
              <w:t>27</w:t>
            </w:r>
          </w:p>
        </w:tc>
        <w:tc>
          <w:tcPr>
            <w:tcW w:w="864" w:type="dxa"/>
          </w:tcPr>
          <w:p w14:paraId="2AC75AA6" w14:textId="7A7BFE5A" w:rsidR="00204E86" w:rsidRPr="006C3DFF" w:rsidRDefault="00204E86" w:rsidP="00F8149F">
            <w:pPr>
              <w:pStyle w:val="VCAAtablecondensed"/>
              <w:rPr>
                <w:lang w:val="en-AU"/>
              </w:rPr>
            </w:pPr>
            <w:r w:rsidRPr="006C3DFF">
              <w:rPr>
                <w:lang w:val="en-AU"/>
              </w:rPr>
              <w:t>3.5</w:t>
            </w:r>
          </w:p>
        </w:tc>
      </w:tr>
    </w:tbl>
    <w:p w14:paraId="10B0CC51" w14:textId="69B2F1B4" w:rsidR="00A708BF" w:rsidRPr="006C3DFF" w:rsidRDefault="001E7E66" w:rsidP="000202B8">
      <w:pPr>
        <w:pStyle w:val="VCAAbody"/>
        <w:rPr>
          <w:lang w:val="en-AU"/>
        </w:rPr>
      </w:pPr>
      <w:r w:rsidRPr="006C3DFF">
        <w:rPr>
          <w:lang w:val="en-AU"/>
        </w:rPr>
        <w:t>M</w:t>
      </w:r>
      <w:r w:rsidR="005F0A7E" w:rsidRPr="006C3DFF">
        <w:rPr>
          <w:lang w:val="en-AU"/>
        </w:rPr>
        <w:t xml:space="preserve">any student responses to this question identified a specific </w:t>
      </w:r>
      <w:r w:rsidR="005F0A7E" w:rsidRPr="006C3DFF">
        <w:rPr>
          <w:i/>
          <w:lang w:val="en-AU"/>
        </w:rPr>
        <w:t>formal</w:t>
      </w:r>
      <w:r w:rsidR="005F0A7E" w:rsidRPr="006C3DFF">
        <w:rPr>
          <w:lang w:val="en-AU"/>
        </w:rPr>
        <w:t xml:space="preserve"> agreement or treaty and linked it to one objective of the national interest. It was acceptable for students to analyse the agreement or treaty in terms of one broad objective such as Australia’s national security or economic prosperity, or a more specific element of the national interest such as maintaining influence in the Pacific.</w:t>
      </w:r>
      <w:r w:rsidR="00A708BF" w:rsidRPr="006C3DFF">
        <w:rPr>
          <w:lang w:val="en-AU"/>
        </w:rPr>
        <w:t xml:space="preserve"> Strong analyses considered the relevance, advantages and disadvantages of the chosen agreement or treaty, supported by relevant examples.</w:t>
      </w:r>
      <w:r w:rsidR="00A11ABF" w:rsidRPr="006C3DFF">
        <w:rPr>
          <w:lang w:val="en-AU"/>
        </w:rPr>
        <w:t xml:space="preserve"> </w:t>
      </w:r>
      <w:r w:rsidR="00A708BF" w:rsidRPr="006C3DFF">
        <w:rPr>
          <w:lang w:val="en-AU"/>
        </w:rPr>
        <w:t xml:space="preserve">Given the multitude of formal agreements and treaties about which students could have written, there was </w:t>
      </w:r>
      <w:r w:rsidR="00D450E1" w:rsidRPr="006C3DFF">
        <w:rPr>
          <w:lang w:val="en-AU"/>
        </w:rPr>
        <w:t>an</w:t>
      </w:r>
      <w:r w:rsidR="00A708BF" w:rsidRPr="006C3DFF">
        <w:rPr>
          <w:lang w:val="en-AU"/>
        </w:rPr>
        <w:t xml:space="preserve"> overreliance on</w:t>
      </w:r>
      <w:r w:rsidR="00A11ABF" w:rsidRPr="006C3DFF">
        <w:rPr>
          <w:lang w:val="en-AU"/>
        </w:rPr>
        <w:t xml:space="preserve"> ANZUS and the Paris Agreement.</w:t>
      </w:r>
    </w:p>
    <w:p w14:paraId="5B1D9A96" w14:textId="4EAFD69E" w:rsidR="00A11ABF" w:rsidRPr="006C3DFF" w:rsidRDefault="00A35FB2" w:rsidP="00A11ABF">
      <w:pPr>
        <w:spacing w:before="120" w:after="120" w:line="280" w:lineRule="exact"/>
        <w:rPr>
          <w:rFonts w:cstheme="minorHAnsi"/>
          <w:sz w:val="20"/>
          <w:szCs w:val="20"/>
          <w:lang w:val="en-AU"/>
        </w:rPr>
      </w:pPr>
      <w:r w:rsidRPr="006C3DFF">
        <w:rPr>
          <w:rFonts w:cstheme="minorHAnsi"/>
          <w:sz w:val="20"/>
          <w:szCs w:val="20"/>
          <w:lang w:val="en-AU"/>
        </w:rPr>
        <w:t>The following is an extract from a high-scoring response</w:t>
      </w:r>
      <w:r w:rsidR="00BD3CF3" w:rsidRPr="006C3DFF">
        <w:rPr>
          <w:rFonts w:cstheme="minorHAnsi"/>
          <w:sz w:val="20"/>
          <w:szCs w:val="20"/>
          <w:lang w:val="en-AU"/>
        </w:rPr>
        <w:t>.</w:t>
      </w:r>
    </w:p>
    <w:p w14:paraId="696B8034" w14:textId="145D283A" w:rsidR="00A35FB2" w:rsidRPr="006C3DFF" w:rsidRDefault="00A35FB2" w:rsidP="000202B8">
      <w:pPr>
        <w:pStyle w:val="VCAAbody"/>
        <w:ind w:left="284"/>
        <w:rPr>
          <w:i/>
          <w:iCs/>
          <w:lang w:val="en-AU"/>
        </w:rPr>
      </w:pPr>
      <w:r w:rsidRPr="006C3DFF">
        <w:rPr>
          <w:i/>
          <w:iCs/>
          <w:lang w:val="en-AU"/>
        </w:rPr>
        <w:t xml:space="preserve">The AUKUS multilateral security agreement was formally announced in 2021 by British Prime Minister Boris Johnson, American President Joe Biden, and Australian Prime Minister Scott Morrison. The AUKUS pact is intended to promote Australia’s national security by establishing an agreement for the Australian proliferation of a fleet of nuclear submarines based on American and British technology, as well as encourage cooperation between the military-industrial complexes of the three nations in areas such as hypersonic weapons and artificial intelligence. The provision of nuclear submarines can be considered to promote Australia’s national security in that such submarines both increase Australia’s self-defence capabilities in the event of a conflict and serve as a powerful deterrent against potential conflicts or military escalations. That being said, according to Defence Minister Richard </w:t>
      </w:r>
      <w:proofErr w:type="spellStart"/>
      <w:r w:rsidRPr="006C3DFF">
        <w:rPr>
          <w:i/>
          <w:iCs/>
          <w:lang w:val="en-AU"/>
        </w:rPr>
        <w:t>Marles</w:t>
      </w:r>
      <w:proofErr w:type="spellEnd"/>
      <w:r w:rsidRPr="006C3DFF">
        <w:rPr>
          <w:i/>
          <w:iCs/>
          <w:lang w:val="en-AU"/>
        </w:rPr>
        <w:t>, it is “unlikely” that Australia will receive the submarines until “the 2040s”, and in in this sense the AUKUS will effectively fail to significantly promote Australia’s national security until the actual delivery of the submarines.</w:t>
      </w:r>
    </w:p>
    <w:p w14:paraId="1D0988F1" w14:textId="51D58AEC" w:rsidR="00A11ABF" w:rsidRPr="006C3DFF" w:rsidRDefault="00A11ABF">
      <w:pPr>
        <w:pStyle w:val="VCAAHeading3"/>
        <w:rPr>
          <w:lang w:val="en-AU"/>
        </w:rPr>
      </w:pPr>
      <w:r w:rsidRPr="006C3DFF">
        <w:rPr>
          <w:lang w:val="en-AU"/>
        </w:rPr>
        <w:t>Question 12</w:t>
      </w:r>
    </w:p>
    <w:tbl>
      <w:tblPr>
        <w:tblStyle w:val="VCAATableClosed"/>
        <w:tblW w:w="0" w:type="auto"/>
        <w:tblInd w:w="-113" w:type="dxa"/>
        <w:tblLayout w:type="fixed"/>
        <w:tblLook w:val="04A0" w:firstRow="1" w:lastRow="0" w:firstColumn="1" w:lastColumn="0" w:noHBand="0" w:noVBand="1"/>
      </w:tblPr>
      <w:tblGrid>
        <w:gridCol w:w="599"/>
        <w:gridCol w:w="576"/>
        <w:gridCol w:w="576"/>
        <w:gridCol w:w="576"/>
        <w:gridCol w:w="576"/>
        <w:gridCol w:w="576"/>
        <w:gridCol w:w="864"/>
        <w:gridCol w:w="864"/>
        <w:gridCol w:w="864"/>
        <w:gridCol w:w="864"/>
      </w:tblGrid>
      <w:tr w:rsidR="00204E86" w:rsidRPr="006C3DFF" w14:paraId="07902023" w14:textId="77777777" w:rsidTr="00D81C70">
        <w:trPr>
          <w:cnfStyle w:val="100000000000" w:firstRow="1" w:lastRow="0" w:firstColumn="0" w:lastColumn="0" w:oddVBand="0" w:evenVBand="0" w:oddHBand="0" w:evenHBand="0" w:firstRowFirstColumn="0" w:firstRowLastColumn="0" w:lastRowFirstColumn="0" w:lastRowLastColumn="0"/>
        </w:trPr>
        <w:tc>
          <w:tcPr>
            <w:tcW w:w="599" w:type="dxa"/>
          </w:tcPr>
          <w:p w14:paraId="17265717" w14:textId="77777777" w:rsidR="00204E86" w:rsidRPr="006C3DFF" w:rsidRDefault="00204E86" w:rsidP="00D81C70">
            <w:pPr>
              <w:pStyle w:val="VCAAtablecondensedheading"/>
              <w:rPr>
                <w:lang w:val="en-AU"/>
              </w:rPr>
            </w:pPr>
            <w:r w:rsidRPr="006C3DFF">
              <w:rPr>
                <w:lang w:val="en-AU"/>
              </w:rPr>
              <w:t>Mark</w:t>
            </w:r>
          </w:p>
        </w:tc>
        <w:tc>
          <w:tcPr>
            <w:tcW w:w="576" w:type="dxa"/>
          </w:tcPr>
          <w:p w14:paraId="34E7BC57" w14:textId="77777777" w:rsidR="00204E86" w:rsidRPr="006C3DFF" w:rsidRDefault="00204E86" w:rsidP="00D81C70">
            <w:pPr>
              <w:pStyle w:val="VCAAtablecondensedheading"/>
              <w:rPr>
                <w:lang w:val="en-AU"/>
              </w:rPr>
            </w:pPr>
            <w:r w:rsidRPr="006C3DFF">
              <w:rPr>
                <w:lang w:val="en-AU"/>
              </w:rPr>
              <w:t>0</w:t>
            </w:r>
          </w:p>
        </w:tc>
        <w:tc>
          <w:tcPr>
            <w:tcW w:w="576" w:type="dxa"/>
          </w:tcPr>
          <w:p w14:paraId="39311BD0" w14:textId="77777777" w:rsidR="00204E86" w:rsidRPr="006C3DFF" w:rsidRDefault="00204E86" w:rsidP="00D81C70">
            <w:pPr>
              <w:pStyle w:val="VCAAtablecondensedheading"/>
              <w:rPr>
                <w:lang w:val="en-AU"/>
              </w:rPr>
            </w:pPr>
            <w:r w:rsidRPr="006C3DFF">
              <w:rPr>
                <w:lang w:val="en-AU"/>
              </w:rPr>
              <w:t>1</w:t>
            </w:r>
          </w:p>
        </w:tc>
        <w:tc>
          <w:tcPr>
            <w:tcW w:w="576" w:type="dxa"/>
          </w:tcPr>
          <w:p w14:paraId="2C04DBF9" w14:textId="77777777" w:rsidR="00204E86" w:rsidRPr="006C3DFF" w:rsidRDefault="00204E86" w:rsidP="00D81C70">
            <w:pPr>
              <w:pStyle w:val="VCAAtablecondensedheading"/>
              <w:rPr>
                <w:lang w:val="en-AU"/>
              </w:rPr>
            </w:pPr>
            <w:r w:rsidRPr="006C3DFF">
              <w:rPr>
                <w:lang w:val="en-AU"/>
              </w:rPr>
              <w:t>2</w:t>
            </w:r>
          </w:p>
        </w:tc>
        <w:tc>
          <w:tcPr>
            <w:tcW w:w="576" w:type="dxa"/>
          </w:tcPr>
          <w:p w14:paraId="51779807" w14:textId="77777777" w:rsidR="00204E86" w:rsidRPr="006C3DFF" w:rsidRDefault="00204E86" w:rsidP="00D81C70">
            <w:pPr>
              <w:pStyle w:val="VCAAtablecondensedheading"/>
              <w:rPr>
                <w:lang w:val="en-AU"/>
              </w:rPr>
            </w:pPr>
            <w:r w:rsidRPr="006C3DFF">
              <w:rPr>
                <w:lang w:val="en-AU"/>
              </w:rPr>
              <w:t>3</w:t>
            </w:r>
          </w:p>
        </w:tc>
        <w:tc>
          <w:tcPr>
            <w:tcW w:w="576" w:type="dxa"/>
          </w:tcPr>
          <w:p w14:paraId="741023B3" w14:textId="77777777" w:rsidR="00204E86" w:rsidRPr="006C3DFF" w:rsidRDefault="00204E86" w:rsidP="00D81C70">
            <w:pPr>
              <w:pStyle w:val="VCAAtablecondensedheading"/>
              <w:rPr>
                <w:lang w:val="en-AU"/>
              </w:rPr>
            </w:pPr>
            <w:r w:rsidRPr="006C3DFF">
              <w:rPr>
                <w:lang w:val="en-AU"/>
              </w:rPr>
              <w:t>4</w:t>
            </w:r>
          </w:p>
        </w:tc>
        <w:tc>
          <w:tcPr>
            <w:tcW w:w="864" w:type="dxa"/>
          </w:tcPr>
          <w:p w14:paraId="3AEE73CA" w14:textId="0881A0FD" w:rsidR="00204E86" w:rsidRPr="006C3DFF" w:rsidRDefault="00204E86" w:rsidP="00D81C70">
            <w:pPr>
              <w:pStyle w:val="VCAAtablecondensedheading"/>
              <w:rPr>
                <w:lang w:val="en-AU"/>
              </w:rPr>
            </w:pPr>
            <w:r w:rsidRPr="006C3DFF">
              <w:rPr>
                <w:lang w:val="en-AU"/>
              </w:rPr>
              <w:t>5</w:t>
            </w:r>
          </w:p>
        </w:tc>
        <w:tc>
          <w:tcPr>
            <w:tcW w:w="864" w:type="dxa"/>
          </w:tcPr>
          <w:p w14:paraId="6212A87A" w14:textId="6ADAD499" w:rsidR="00204E86" w:rsidRPr="006C3DFF" w:rsidRDefault="00204E86" w:rsidP="00D81C70">
            <w:pPr>
              <w:pStyle w:val="VCAAtablecondensedheading"/>
              <w:rPr>
                <w:lang w:val="en-AU"/>
              </w:rPr>
            </w:pPr>
            <w:r w:rsidRPr="006C3DFF">
              <w:rPr>
                <w:lang w:val="en-AU"/>
              </w:rPr>
              <w:t>6</w:t>
            </w:r>
          </w:p>
        </w:tc>
        <w:tc>
          <w:tcPr>
            <w:tcW w:w="864" w:type="dxa"/>
          </w:tcPr>
          <w:p w14:paraId="1D94FE1A" w14:textId="0B5CA512" w:rsidR="00204E86" w:rsidRPr="006C3DFF" w:rsidRDefault="00204E86" w:rsidP="00D81C70">
            <w:pPr>
              <w:pStyle w:val="VCAAtablecondensedheading"/>
              <w:rPr>
                <w:lang w:val="en-AU"/>
              </w:rPr>
            </w:pPr>
            <w:r w:rsidRPr="006C3DFF">
              <w:rPr>
                <w:lang w:val="en-AU"/>
              </w:rPr>
              <w:t>7</w:t>
            </w:r>
          </w:p>
        </w:tc>
        <w:tc>
          <w:tcPr>
            <w:tcW w:w="864" w:type="dxa"/>
          </w:tcPr>
          <w:p w14:paraId="2A367E18" w14:textId="3CA98471" w:rsidR="00204E86" w:rsidRPr="006C3DFF" w:rsidRDefault="00204E86" w:rsidP="00D81C70">
            <w:pPr>
              <w:pStyle w:val="VCAAtablecondensedheading"/>
              <w:rPr>
                <w:lang w:val="en-AU"/>
              </w:rPr>
            </w:pPr>
            <w:r w:rsidRPr="006C3DFF">
              <w:rPr>
                <w:lang w:val="en-AU"/>
              </w:rPr>
              <w:t>Average</w:t>
            </w:r>
          </w:p>
        </w:tc>
      </w:tr>
      <w:tr w:rsidR="00204E86" w:rsidRPr="006C3DFF" w14:paraId="53E15C44" w14:textId="77777777" w:rsidTr="00D81C70">
        <w:tc>
          <w:tcPr>
            <w:tcW w:w="599" w:type="dxa"/>
          </w:tcPr>
          <w:p w14:paraId="3F2D81C8" w14:textId="77777777" w:rsidR="00204E86" w:rsidRPr="006C3DFF" w:rsidRDefault="00204E86" w:rsidP="00F8149F">
            <w:pPr>
              <w:pStyle w:val="VCAAtablecondensed"/>
              <w:rPr>
                <w:lang w:val="en-AU"/>
              </w:rPr>
            </w:pPr>
            <w:r w:rsidRPr="006C3DFF">
              <w:rPr>
                <w:lang w:val="en-AU"/>
              </w:rPr>
              <w:t>%</w:t>
            </w:r>
          </w:p>
        </w:tc>
        <w:tc>
          <w:tcPr>
            <w:tcW w:w="576" w:type="dxa"/>
            <w:vAlign w:val="center"/>
          </w:tcPr>
          <w:p w14:paraId="4FD8AFCB" w14:textId="4ACFC328" w:rsidR="00204E86" w:rsidRPr="006C3DFF" w:rsidRDefault="00204E86" w:rsidP="00F8149F">
            <w:pPr>
              <w:pStyle w:val="VCAAtablecondensed"/>
              <w:rPr>
                <w:lang w:val="en-AU"/>
              </w:rPr>
            </w:pPr>
            <w:r w:rsidRPr="006C3DFF">
              <w:rPr>
                <w:lang w:val="en-AU"/>
              </w:rPr>
              <w:t>2</w:t>
            </w:r>
          </w:p>
        </w:tc>
        <w:tc>
          <w:tcPr>
            <w:tcW w:w="576" w:type="dxa"/>
            <w:vAlign w:val="center"/>
          </w:tcPr>
          <w:p w14:paraId="46DCEC4B" w14:textId="1F7EB12C" w:rsidR="00204E86" w:rsidRPr="006C3DFF" w:rsidRDefault="00204E86" w:rsidP="00F8149F">
            <w:pPr>
              <w:pStyle w:val="VCAAtablecondensed"/>
              <w:rPr>
                <w:lang w:val="en-AU"/>
              </w:rPr>
            </w:pPr>
            <w:r w:rsidRPr="006C3DFF">
              <w:rPr>
                <w:lang w:val="en-AU"/>
              </w:rPr>
              <w:t>4</w:t>
            </w:r>
          </w:p>
        </w:tc>
        <w:tc>
          <w:tcPr>
            <w:tcW w:w="576" w:type="dxa"/>
            <w:vAlign w:val="center"/>
          </w:tcPr>
          <w:p w14:paraId="2461C227" w14:textId="5A5F9E14" w:rsidR="00204E86" w:rsidRPr="006C3DFF" w:rsidRDefault="00204E86" w:rsidP="00F8149F">
            <w:pPr>
              <w:pStyle w:val="VCAAtablecondensed"/>
              <w:rPr>
                <w:lang w:val="en-AU"/>
              </w:rPr>
            </w:pPr>
            <w:r w:rsidRPr="006C3DFF">
              <w:rPr>
                <w:lang w:val="en-AU"/>
              </w:rPr>
              <w:t>10</w:t>
            </w:r>
          </w:p>
        </w:tc>
        <w:tc>
          <w:tcPr>
            <w:tcW w:w="576" w:type="dxa"/>
            <w:vAlign w:val="center"/>
          </w:tcPr>
          <w:p w14:paraId="556221E4" w14:textId="21404ED7" w:rsidR="00204E86" w:rsidRPr="006C3DFF" w:rsidRDefault="00204E86" w:rsidP="00F8149F">
            <w:pPr>
              <w:pStyle w:val="VCAAtablecondensed"/>
              <w:rPr>
                <w:lang w:val="en-AU"/>
              </w:rPr>
            </w:pPr>
            <w:r w:rsidRPr="006C3DFF">
              <w:rPr>
                <w:lang w:val="en-AU"/>
              </w:rPr>
              <w:t>13</w:t>
            </w:r>
          </w:p>
        </w:tc>
        <w:tc>
          <w:tcPr>
            <w:tcW w:w="576" w:type="dxa"/>
            <w:vAlign w:val="center"/>
          </w:tcPr>
          <w:p w14:paraId="30BB0BDC" w14:textId="3B1D6553" w:rsidR="00204E86" w:rsidRPr="006C3DFF" w:rsidRDefault="00204E86" w:rsidP="00F8149F">
            <w:pPr>
              <w:pStyle w:val="VCAAtablecondensed"/>
              <w:rPr>
                <w:lang w:val="en-AU"/>
              </w:rPr>
            </w:pPr>
            <w:r w:rsidRPr="006C3DFF">
              <w:rPr>
                <w:lang w:val="en-AU"/>
              </w:rPr>
              <w:t>20</w:t>
            </w:r>
          </w:p>
        </w:tc>
        <w:tc>
          <w:tcPr>
            <w:tcW w:w="864" w:type="dxa"/>
            <w:vAlign w:val="center"/>
          </w:tcPr>
          <w:p w14:paraId="7E9B3D50" w14:textId="71C4E51C" w:rsidR="00204E86" w:rsidRPr="006C3DFF" w:rsidRDefault="00204E86" w:rsidP="00F8149F">
            <w:pPr>
              <w:pStyle w:val="VCAAtablecondensed"/>
              <w:rPr>
                <w:lang w:val="en-AU"/>
              </w:rPr>
            </w:pPr>
            <w:r w:rsidRPr="006C3DFF">
              <w:rPr>
                <w:lang w:val="en-AU"/>
              </w:rPr>
              <w:t>21</w:t>
            </w:r>
          </w:p>
        </w:tc>
        <w:tc>
          <w:tcPr>
            <w:tcW w:w="864" w:type="dxa"/>
            <w:vAlign w:val="center"/>
          </w:tcPr>
          <w:p w14:paraId="340DADB4" w14:textId="299659B6" w:rsidR="00204E86" w:rsidRPr="006C3DFF" w:rsidRDefault="00204E86" w:rsidP="00F8149F">
            <w:pPr>
              <w:pStyle w:val="VCAAtablecondensed"/>
              <w:rPr>
                <w:lang w:val="en-AU"/>
              </w:rPr>
            </w:pPr>
            <w:r w:rsidRPr="006C3DFF">
              <w:rPr>
                <w:lang w:val="en-AU"/>
              </w:rPr>
              <w:t>21</w:t>
            </w:r>
          </w:p>
        </w:tc>
        <w:tc>
          <w:tcPr>
            <w:tcW w:w="864" w:type="dxa"/>
            <w:vAlign w:val="center"/>
          </w:tcPr>
          <w:p w14:paraId="27399C81" w14:textId="07FC5C62" w:rsidR="00204E86" w:rsidRPr="006C3DFF" w:rsidRDefault="00204E86" w:rsidP="00F8149F">
            <w:pPr>
              <w:pStyle w:val="VCAAtablecondensed"/>
              <w:rPr>
                <w:lang w:val="en-AU"/>
              </w:rPr>
            </w:pPr>
            <w:r w:rsidRPr="006C3DFF">
              <w:rPr>
                <w:lang w:val="en-AU"/>
              </w:rPr>
              <w:t>11</w:t>
            </w:r>
          </w:p>
        </w:tc>
        <w:tc>
          <w:tcPr>
            <w:tcW w:w="864" w:type="dxa"/>
          </w:tcPr>
          <w:p w14:paraId="12C2BD35" w14:textId="63910DF9" w:rsidR="00204E86" w:rsidRPr="006C3DFF" w:rsidRDefault="00204E86" w:rsidP="00F8149F">
            <w:pPr>
              <w:pStyle w:val="VCAAtablecondensed"/>
              <w:rPr>
                <w:lang w:val="en-AU"/>
              </w:rPr>
            </w:pPr>
            <w:r w:rsidRPr="006C3DFF">
              <w:rPr>
                <w:lang w:val="en-AU"/>
              </w:rPr>
              <w:t>4.4</w:t>
            </w:r>
          </w:p>
        </w:tc>
      </w:tr>
    </w:tbl>
    <w:p w14:paraId="3BC23F8A" w14:textId="7991C03E" w:rsidR="007C468A" w:rsidRPr="00E804B4" w:rsidRDefault="00A11ABF" w:rsidP="00E804B4">
      <w:pPr>
        <w:pStyle w:val="VCAAbody"/>
      </w:pPr>
      <w:r w:rsidRPr="006C3DFF">
        <w:rPr>
          <w:lang w:val="en-AU"/>
        </w:rPr>
        <w:t xml:space="preserve">This question required students to give an accurate and detailed description of Australia’s response to </w:t>
      </w:r>
      <w:r w:rsidRPr="006C3DFF">
        <w:rPr>
          <w:bCs/>
          <w:i/>
          <w:iCs/>
          <w:lang w:val="en-AU"/>
        </w:rPr>
        <w:t>one</w:t>
      </w:r>
      <w:r w:rsidRPr="006C3DFF">
        <w:rPr>
          <w:lang w:val="en-AU"/>
        </w:rPr>
        <w:t xml:space="preserve"> of the foreign policy challenges identified in the study design, and to make a clear judgment about the effectiveness of Australia’s response. </w:t>
      </w:r>
      <w:r w:rsidR="00291C52" w:rsidRPr="006C3DFF">
        <w:rPr>
          <w:lang w:val="en-AU"/>
        </w:rPr>
        <w:t>Each of the challenges is complex</w:t>
      </w:r>
      <w:r w:rsidR="001563CD">
        <w:rPr>
          <w:lang w:val="en-AU"/>
        </w:rPr>
        <w:t>,</w:t>
      </w:r>
      <w:r w:rsidR="00291C52" w:rsidRPr="006C3DFF">
        <w:rPr>
          <w:lang w:val="en-AU"/>
        </w:rPr>
        <w:t xml:space="preserve"> </w:t>
      </w:r>
      <w:r w:rsidR="00291C52" w:rsidRPr="00E804B4">
        <w:t xml:space="preserve">so </w:t>
      </w:r>
      <w:r w:rsidR="00564C4D" w:rsidRPr="00E804B4">
        <w:t xml:space="preserve">while it was unfeasible for students to discuss the full range of their chosen challenge, </w:t>
      </w:r>
      <w:r w:rsidR="00291C52" w:rsidRPr="00E804B4">
        <w:t xml:space="preserve">it was </w:t>
      </w:r>
      <w:r w:rsidR="00564C4D" w:rsidRPr="00E804B4">
        <w:t xml:space="preserve">generally </w:t>
      </w:r>
      <w:r w:rsidR="00291C52" w:rsidRPr="00E804B4">
        <w:t xml:space="preserve">insufficient for students to discuss only one policy response. For example, many students chose to evaluate Australia’s response to global and regional conflicts, but an evaluation based solely </w:t>
      </w:r>
      <w:r w:rsidR="00564C4D" w:rsidRPr="00E804B4">
        <w:t xml:space="preserve">on one or two Australian measures </w:t>
      </w:r>
      <w:r w:rsidR="00291C52" w:rsidRPr="00E804B4">
        <w:t xml:space="preserve">to support Ukraine was too narrow. </w:t>
      </w:r>
    </w:p>
    <w:p w14:paraId="2611CE22" w14:textId="77777777" w:rsidR="00564C4D" w:rsidRPr="006C3DFF" w:rsidRDefault="00564C4D" w:rsidP="00E804B4">
      <w:pPr>
        <w:pStyle w:val="VCAAbody"/>
        <w:rPr>
          <w:lang w:val="en-AU"/>
        </w:rPr>
      </w:pPr>
      <w:r w:rsidRPr="006C3DFF">
        <w:rPr>
          <w:lang w:val="en-AU"/>
        </w:rPr>
        <w:t xml:space="preserve">Similarly, student answers that only discussed the Albanese government’s recent legislation of a 43% target reduction in domestic carbon emissions were </w:t>
      </w:r>
      <w:r w:rsidRPr="00E804B4">
        <w:rPr>
          <w:lang w:val="en-AU"/>
        </w:rPr>
        <w:t>largely</w:t>
      </w:r>
      <w:r w:rsidRPr="006C3DFF">
        <w:rPr>
          <w:lang w:val="en-AU"/>
        </w:rPr>
        <w:t xml:space="preserve"> unable to present a credible evaluation of Australia’s response to the foreign policy challenge of climate change and environmental issues.</w:t>
      </w:r>
    </w:p>
    <w:p w14:paraId="33C48DAE" w14:textId="6694D425" w:rsidR="00A11ABF" w:rsidRPr="006C3DFF" w:rsidRDefault="00291C52" w:rsidP="00A11ABF">
      <w:pPr>
        <w:spacing w:before="120" w:after="120" w:line="280" w:lineRule="exact"/>
        <w:rPr>
          <w:rFonts w:cstheme="minorHAnsi"/>
          <w:sz w:val="20"/>
          <w:szCs w:val="20"/>
          <w:lang w:val="en-AU"/>
        </w:rPr>
      </w:pPr>
      <w:r w:rsidRPr="006C3DFF">
        <w:rPr>
          <w:rFonts w:cstheme="minorHAnsi"/>
          <w:sz w:val="20"/>
          <w:szCs w:val="20"/>
          <w:lang w:val="en-AU"/>
        </w:rPr>
        <w:t xml:space="preserve">Many </w:t>
      </w:r>
      <w:r w:rsidR="007C468A" w:rsidRPr="006C3DFF">
        <w:rPr>
          <w:rFonts w:cstheme="minorHAnsi"/>
          <w:sz w:val="20"/>
          <w:szCs w:val="20"/>
          <w:lang w:val="en-AU"/>
        </w:rPr>
        <w:t>student</w:t>
      </w:r>
      <w:r w:rsidR="008F69AA" w:rsidRPr="006C3DFF">
        <w:rPr>
          <w:rFonts w:cstheme="minorHAnsi"/>
          <w:sz w:val="20"/>
          <w:szCs w:val="20"/>
          <w:lang w:val="en-AU"/>
        </w:rPr>
        <w:t xml:space="preserve"> answe</w:t>
      </w:r>
      <w:r w:rsidRPr="006C3DFF">
        <w:rPr>
          <w:rFonts w:cstheme="minorHAnsi"/>
          <w:sz w:val="20"/>
          <w:szCs w:val="20"/>
          <w:lang w:val="en-AU"/>
        </w:rPr>
        <w:t>rs were highly descriptive and lacked the required assessment of effectiveness.</w:t>
      </w:r>
      <w:r w:rsidR="000C1E18" w:rsidRPr="006C3DFF">
        <w:rPr>
          <w:rFonts w:cstheme="minorHAnsi"/>
          <w:sz w:val="20"/>
          <w:szCs w:val="20"/>
          <w:lang w:val="en-AU"/>
        </w:rPr>
        <w:t xml:space="preserve"> Moreover, many answers were highly emotive and lacked evidence to support </w:t>
      </w:r>
      <w:r w:rsidR="00ED1D7A" w:rsidRPr="006C3DFF">
        <w:rPr>
          <w:rFonts w:cstheme="minorHAnsi"/>
          <w:sz w:val="20"/>
          <w:szCs w:val="20"/>
          <w:lang w:val="en-AU"/>
        </w:rPr>
        <w:t xml:space="preserve">the </w:t>
      </w:r>
      <w:r w:rsidR="000C1E18" w:rsidRPr="006C3DFF">
        <w:rPr>
          <w:rFonts w:cstheme="minorHAnsi"/>
          <w:sz w:val="20"/>
          <w:szCs w:val="20"/>
          <w:lang w:val="en-AU"/>
        </w:rPr>
        <w:t>students’ strongly held viewpoints.</w:t>
      </w:r>
    </w:p>
    <w:p w14:paraId="7175F33F" w14:textId="05375281" w:rsidR="00291C52" w:rsidRPr="006C3DFF" w:rsidRDefault="003E0D9F" w:rsidP="00A11ABF">
      <w:pPr>
        <w:spacing w:before="120" w:after="120" w:line="280" w:lineRule="exact"/>
        <w:rPr>
          <w:rFonts w:cstheme="minorHAnsi"/>
          <w:sz w:val="20"/>
          <w:szCs w:val="20"/>
          <w:lang w:val="en-AU"/>
        </w:rPr>
      </w:pPr>
      <w:r w:rsidRPr="006C3DFF">
        <w:rPr>
          <w:rFonts w:cstheme="minorHAnsi"/>
          <w:sz w:val="20"/>
          <w:szCs w:val="20"/>
          <w:lang w:val="en-AU"/>
        </w:rPr>
        <w:t>The following is an extract from a high-scoring response</w:t>
      </w:r>
      <w:r w:rsidR="00BD3CF3" w:rsidRPr="006C3DFF">
        <w:rPr>
          <w:rFonts w:cstheme="minorHAnsi"/>
          <w:sz w:val="20"/>
          <w:szCs w:val="20"/>
          <w:lang w:val="en-AU"/>
        </w:rPr>
        <w:t>.</w:t>
      </w:r>
    </w:p>
    <w:p w14:paraId="0FD53AE9" w14:textId="5FBDCC10" w:rsidR="003E0D9F" w:rsidRPr="006C3DFF" w:rsidRDefault="003E0D9F" w:rsidP="003E0D9F">
      <w:pPr>
        <w:spacing w:before="120" w:after="120" w:line="280" w:lineRule="exact"/>
        <w:ind w:left="340"/>
        <w:rPr>
          <w:rFonts w:cstheme="minorHAnsi"/>
          <w:i/>
          <w:sz w:val="20"/>
          <w:szCs w:val="20"/>
          <w:lang w:val="en-AU"/>
        </w:rPr>
      </w:pPr>
      <w:r w:rsidRPr="006C3DFF">
        <w:rPr>
          <w:rFonts w:cstheme="minorHAnsi"/>
          <w:i/>
          <w:sz w:val="20"/>
          <w:szCs w:val="20"/>
          <w:lang w:val="en-AU"/>
        </w:rPr>
        <w:t xml:space="preserve">Australia’s response to the global conflict – the Ukraine-Russia invasion which began with the annexation of Crimea in 2014 and escalated in 2022, is effective in its use of foreign policy instruments in order to uphold the national interest. An ongoing conflict, Australia is involved via the provision of </w:t>
      </w:r>
      <w:r w:rsidRPr="006C3DFF">
        <w:rPr>
          <w:rFonts w:cstheme="minorHAnsi"/>
          <w:i/>
          <w:sz w:val="20"/>
          <w:szCs w:val="20"/>
          <w:u w:val="single"/>
          <w:lang w:val="en-AU"/>
        </w:rPr>
        <w:t>bilateral military assistance</w:t>
      </w:r>
      <w:r w:rsidRPr="006C3DFF">
        <w:rPr>
          <w:rFonts w:cstheme="minorHAnsi"/>
          <w:i/>
          <w:sz w:val="20"/>
          <w:szCs w:val="20"/>
          <w:lang w:val="en-AU"/>
        </w:rPr>
        <w:t xml:space="preserve">, in the form of munitions, armaments and bushmasters directly requested by Zelensky; an </w:t>
      </w:r>
      <w:r w:rsidRPr="006C3DFF">
        <w:rPr>
          <w:rFonts w:cstheme="minorHAnsi"/>
          <w:i/>
          <w:sz w:val="20"/>
          <w:szCs w:val="20"/>
          <w:u w:val="single"/>
          <w:lang w:val="en-AU"/>
        </w:rPr>
        <w:lastRenderedPageBreak/>
        <w:t>overseas delegation</w:t>
      </w:r>
      <w:r w:rsidRPr="006C3DFF">
        <w:rPr>
          <w:rFonts w:cstheme="minorHAnsi"/>
          <w:i/>
          <w:sz w:val="20"/>
          <w:szCs w:val="20"/>
          <w:lang w:val="en-AU"/>
        </w:rPr>
        <w:t xml:space="preserve"> by Albanese in July 2022 on key staffers; humanitarian and emergency assistance via shelter and sanitation needs; and </w:t>
      </w:r>
      <w:r w:rsidRPr="006C3DFF">
        <w:rPr>
          <w:rFonts w:cstheme="minorHAnsi"/>
          <w:i/>
          <w:sz w:val="20"/>
          <w:szCs w:val="20"/>
          <w:u w:val="single"/>
          <w:lang w:val="en-AU"/>
        </w:rPr>
        <w:t>bilateral economic sanctions</w:t>
      </w:r>
      <w:r w:rsidRPr="006C3DFF">
        <w:rPr>
          <w:rFonts w:cstheme="minorHAnsi"/>
          <w:i/>
          <w:sz w:val="20"/>
          <w:szCs w:val="20"/>
          <w:lang w:val="en-AU"/>
        </w:rPr>
        <w:t xml:space="preserve"> on Russia, coordinated multilaterally, placing restrictions on imports and exports, as well as measures such a travel bans on restricted persons. These actions uphold Australia’s reputation as a good global citizen, by </w:t>
      </w:r>
      <w:proofErr w:type="gramStart"/>
      <w:r w:rsidRPr="006C3DFF">
        <w:rPr>
          <w:rFonts w:cstheme="minorHAnsi"/>
          <w:i/>
          <w:sz w:val="20"/>
          <w:szCs w:val="20"/>
          <w:lang w:val="en-AU"/>
        </w:rPr>
        <w:t>providing assistance to</w:t>
      </w:r>
      <w:proofErr w:type="gramEnd"/>
      <w:r w:rsidRPr="006C3DFF">
        <w:rPr>
          <w:rFonts w:cstheme="minorHAnsi"/>
          <w:i/>
          <w:sz w:val="20"/>
          <w:szCs w:val="20"/>
          <w:lang w:val="en-AU"/>
        </w:rPr>
        <w:t xml:space="preserve"> the struggling state of Ukraine in an international effort to aid the nation.</w:t>
      </w:r>
    </w:p>
    <w:p w14:paraId="22241DAD" w14:textId="74B3337B" w:rsidR="00291C52" w:rsidRPr="006C3DFF" w:rsidRDefault="00291C52" w:rsidP="000202B8">
      <w:pPr>
        <w:pStyle w:val="VCAAHeading2"/>
        <w:rPr>
          <w:lang w:val="en-AU"/>
        </w:rPr>
      </w:pPr>
      <w:r w:rsidRPr="006C3DFF">
        <w:rPr>
          <w:lang w:val="en-AU"/>
        </w:rPr>
        <w:t>Section B</w:t>
      </w:r>
    </w:p>
    <w:tbl>
      <w:tblPr>
        <w:tblStyle w:val="VCAATableClosed"/>
        <w:tblW w:w="9782" w:type="dxa"/>
        <w:tblInd w:w="-113" w:type="dxa"/>
        <w:tblLayout w:type="fixed"/>
        <w:tblLook w:val="04A0" w:firstRow="1" w:lastRow="0" w:firstColumn="1" w:lastColumn="0" w:noHBand="0" w:noVBand="1"/>
      </w:tblPr>
      <w:tblGrid>
        <w:gridCol w:w="648"/>
        <w:gridCol w:w="432"/>
        <w:gridCol w:w="360"/>
        <w:gridCol w:w="360"/>
        <w:gridCol w:w="360"/>
        <w:gridCol w:w="360"/>
        <w:gridCol w:w="360"/>
        <w:gridCol w:w="360"/>
        <w:gridCol w:w="360"/>
        <w:gridCol w:w="360"/>
        <w:gridCol w:w="360"/>
        <w:gridCol w:w="418"/>
        <w:gridCol w:w="418"/>
        <w:gridCol w:w="418"/>
        <w:gridCol w:w="418"/>
        <w:gridCol w:w="418"/>
        <w:gridCol w:w="418"/>
        <w:gridCol w:w="418"/>
        <w:gridCol w:w="418"/>
        <w:gridCol w:w="418"/>
        <w:gridCol w:w="418"/>
        <w:gridCol w:w="418"/>
        <w:gridCol w:w="864"/>
      </w:tblGrid>
      <w:tr w:rsidR="007E13BB" w:rsidRPr="006C3DFF" w14:paraId="61D046DA" w14:textId="77777777" w:rsidTr="00D51D0D">
        <w:trPr>
          <w:cnfStyle w:val="100000000000" w:firstRow="1" w:lastRow="0" w:firstColumn="0" w:lastColumn="0" w:oddVBand="0" w:evenVBand="0" w:oddHBand="0" w:evenHBand="0" w:firstRowFirstColumn="0" w:firstRowLastColumn="0" w:lastRowFirstColumn="0" w:lastRowLastColumn="0"/>
        </w:trPr>
        <w:tc>
          <w:tcPr>
            <w:tcW w:w="648" w:type="dxa"/>
          </w:tcPr>
          <w:p w14:paraId="1126BB4E" w14:textId="77777777" w:rsidR="001A1758" w:rsidRPr="006C3DFF" w:rsidRDefault="001A1758" w:rsidP="00D81C70">
            <w:pPr>
              <w:pStyle w:val="VCAAtablecondensedheading"/>
              <w:rPr>
                <w:lang w:val="en-AU"/>
              </w:rPr>
            </w:pPr>
            <w:r w:rsidRPr="006C3DFF">
              <w:rPr>
                <w:lang w:val="en-AU"/>
              </w:rPr>
              <w:t>Mark</w:t>
            </w:r>
          </w:p>
        </w:tc>
        <w:tc>
          <w:tcPr>
            <w:tcW w:w="432" w:type="dxa"/>
          </w:tcPr>
          <w:p w14:paraId="15EC4D45" w14:textId="77777777" w:rsidR="001A1758" w:rsidRPr="006C3DFF" w:rsidRDefault="001A1758" w:rsidP="00D81C70">
            <w:pPr>
              <w:pStyle w:val="VCAAtablecondensedheading"/>
              <w:rPr>
                <w:lang w:val="en-AU"/>
              </w:rPr>
            </w:pPr>
            <w:r w:rsidRPr="006C3DFF">
              <w:rPr>
                <w:lang w:val="en-AU"/>
              </w:rPr>
              <w:t>0</w:t>
            </w:r>
          </w:p>
        </w:tc>
        <w:tc>
          <w:tcPr>
            <w:tcW w:w="360" w:type="dxa"/>
          </w:tcPr>
          <w:p w14:paraId="255D10CE" w14:textId="77777777" w:rsidR="001A1758" w:rsidRPr="006C3DFF" w:rsidRDefault="001A1758" w:rsidP="00D81C70">
            <w:pPr>
              <w:pStyle w:val="VCAAtablecondensedheading"/>
              <w:rPr>
                <w:lang w:val="en-AU"/>
              </w:rPr>
            </w:pPr>
            <w:r w:rsidRPr="006C3DFF">
              <w:rPr>
                <w:lang w:val="en-AU"/>
              </w:rPr>
              <w:t>1</w:t>
            </w:r>
          </w:p>
        </w:tc>
        <w:tc>
          <w:tcPr>
            <w:tcW w:w="360" w:type="dxa"/>
          </w:tcPr>
          <w:p w14:paraId="7E5A8646" w14:textId="77777777" w:rsidR="001A1758" w:rsidRPr="006C3DFF" w:rsidRDefault="001A1758" w:rsidP="00D81C70">
            <w:pPr>
              <w:pStyle w:val="VCAAtablecondensedheading"/>
              <w:rPr>
                <w:lang w:val="en-AU"/>
              </w:rPr>
            </w:pPr>
            <w:r w:rsidRPr="006C3DFF">
              <w:rPr>
                <w:lang w:val="en-AU"/>
              </w:rPr>
              <w:t>2</w:t>
            </w:r>
          </w:p>
        </w:tc>
        <w:tc>
          <w:tcPr>
            <w:tcW w:w="360" w:type="dxa"/>
          </w:tcPr>
          <w:p w14:paraId="71DE2AA8" w14:textId="77777777" w:rsidR="001A1758" w:rsidRPr="006C3DFF" w:rsidRDefault="001A1758" w:rsidP="00D81C70">
            <w:pPr>
              <w:pStyle w:val="VCAAtablecondensedheading"/>
              <w:rPr>
                <w:lang w:val="en-AU"/>
              </w:rPr>
            </w:pPr>
            <w:r w:rsidRPr="006C3DFF">
              <w:rPr>
                <w:lang w:val="en-AU"/>
              </w:rPr>
              <w:t>3</w:t>
            </w:r>
          </w:p>
        </w:tc>
        <w:tc>
          <w:tcPr>
            <w:tcW w:w="360" w:type="dxa"/>
          </w:tcPr>
          <w:p w14:paraId="7317595A" w14:textId="77777777" w:rsidR="001A1758" w:rsidRPr="006C3DFF" w:rsidRDefault="001A1758" w:rsidP="00D81C70">
            <w:pPr>
              <w:pStyle w:val="VCAAtablecondensedheading"/>
              <w:rPr>
                <w:lang w:val="en-AU"/>
              </w:rPr>
            </w:pPr>
            <w:r w:rsidRPr="006C3DFF">
              <w:rPr>
                <w:lang w:val="en-AU"/>
              </w:rPr>
              <w:t>4</w:t>
            </w:r>
          </w:p>
        </w:tc>
        <w:tc>
          <w:tcPr>
            <w:tcW w:w="360" w:type="dxa"/>
          </w:tcPr>
          <w:p w14:paraId="5D165940" w14:textId="7E1CE010" w:rsidR="001A1758" w:rsidRPr="006C3DFF" w:rsidRDefault="001A1758" w:rsidP="00D81C70">
            <w:pPr>
              <w:pStyle w:val="VCAAtablecondensedheading"/>
              <w:rPr>
                <w:lang w:val="en-AU"/>
              </w:rPr>
            </w:pPr>
            <w:r w:rsidRPr="006C3DFF">
              <w:rPr>
                <w:lang w:val="en-AU"/>
              </w:rPr>
              <w:t>5</w:t>
            </w:r>
          </w:p>
        </w:tc>
        <w:tc>
          <w:tcPr>
            <w:tcW w:w="360" w:type="dxa"/>
          </w:tcPr>
          <w:p w14:paraId="3CF8D8D7" w14:textId="5F731A49" w:rsidR="001A1758" w:rsidRPr="006C3DFF" w:rsidRDefault="001A1758" w:rsidP="00D81C70">
            <w:pPr>
              <w:pStyle w:val="VCAAtablecondensedheading"/>
              <w:rPr>
                <w:lang w:val="en-AU"/>
              </w:rPr>
            </w:pPr>
            <w:r w:rsidRPr="006C3DFF">
              <w:rPr>
                <w:lang w:val="en-AU"/>
              </w:rPr>
              <w:t>6</w:t>
            </w:r>
          </w:p>
        </w:tc>
        <w:tc>
          <w:tcPr>
            <w:tcW w:w="360" w:type="dxa"/>
          </w:tcPr>
          <w:p w14:paraId="32D173DA" w14:textId="23BBAE0B" w:rsidR="001A1758" w:rsidRPr="006C3DFF" w:rsidRDefault="001A1758" w:rsidP="00D81C70">
            <w:pPr>
              <w:pStyle w:val="VCAAtablecondensedheading"/>
              <w:rPr>
                <w:lang w:val="en-AU"/>
              </w:rPr>
            </w:pPr>
            <w:r w:rsidRPr="006C3DFF">
              <w:rPr>
                <w:lang w:val="en-AU"/>
              </w:rPr>
              <w:t>7</w:t>
            </w:r>
          </w:p>
        </w:tc>
        <w:tc>
          <w:tcPr>
            <w:tcW w:w="360" w:type="dxa"/>
          </w:tcPr>
          <w:p w14:paraId="0D5E33F1" w14:textId="1CEEA73E" w:rsidR="001A1758" w:rsidRPr="006C3DFF" w:rsidRDefault="001A1758" w:rsidP="00D81C70">
            <w:pPr>
              <w:pStyle w:val="VCAAtablecondensedheading"/>
              <w:rPr>
                <w:lang w:val="en-AU"/>
              </w:rPr>
            </w:pPr>
            <w:r w:rsidRPr="006C3DFF">
              <w:rPr>
                <w:lang w:val="en-AU"/>
              </w:rPr>
              <w:t>8</w:t>
            </w:r>
          </w:p>
        </w:tc>
        <w:tc>
          <w:tcPr>
            <w:tcW w:w="360" w:type="dxa"/>
          </w:tcPr>
          <w:p w14:paraId="42DDED81" w14:textId="2F9724D7" w:rsidR="001A1758" w:rsidRPr="006C3DFF" w:rsidRDefault="001A1758" w:rsidP="00D81C70">
            <w:pPr>
              <w:pStyle w:val="VCAAtablecondensedheading"/>
              <w:rPr>
                <w:lang w:val="en-AU"/>
              </w:rPr>
            </w:pPr>
            <w:r w:rsidRPr="006C3DFF">
              <w:rPr>
                <w:lang w:val="en-AU"/>
              </w:rPr>
              <w:t>9</w:t>
            </w:r>
          </w:p>
        </w:tc>
        <w:tc>
          <w:tcPr>
            <w:tcW w:w="418" w:type="dxa"/>
          </w:tcPr>
          <w:p w14:paraId="05E466B8" w14:textId="3D284243" w:rsidR="001A1758" w:rsidRPr="006C3DFF" w:rsidRDefault="001A1758" w:rsidP="00D81C70">
            <w:pPr>
              <w:pStyle w:val="VCAAtablecondensedheading"/>
              <w:rPr>
                <w:lang w:val="en-AU"/>
              </w:rPr>
            </w:pPr>
            <w:r w:rsidRPr="006C3DFF">
              <w:rPr>
                <w:lang w:val="en-AU"/>
              </w:rPr>
              <w:t>10</w:t>
            </w:r>
          </w:p>
        </w:tc>
        <w:tc>
          <w:tcPr>
            <w:tcW w:w="418" w:type="dxa"/>
          </w:tcPr>
          <w:p w14:paraId="01EAFD84" w14:textId="74FE94BD" w:rsidR="001A1758" w:rsidRPr="006C3DFF" w:rsidRDefault="001A1758" w:rsidP="00D81C70">
            <w:pPr>
              <w:pStyle w:val="VCAAtablecondensedheading"/>
              <w:rPr>
                <w:lang w:val="en-AU"/>
              </w:rPr>
            </w:pPr>
            <w:r w:rsidRPr="006C3DFF">
              <w:rPr>
                <w:lang w:val="en-AU"/>
              </w:rPr>
              <w:t>11</w:t>
            </w:r>
          </w:p>
        </w:tc>
        <w:tc>
          <w:tcPr>
            <w:tcW w:w="418" w:type="dxa"/>
          </w:tcPr>
          <w:p w14:paraId="7C4CCE79" w14:textId="4E88C4C7" w:rsidR="001A1758" w:rsidRPr="006C3DFF" w:rsidRDefault="001A1758" w:rsidP="00D81C70">
            <w:pPr>
              <w:pStyle w:val="VCAAtablecondensedheading"/>
              <w:rPr>
                <w:lang w:val="en-AU"/>
              </w:rPr>
            </w:pPr>
            <w:r w:rsidRPr="006C3DFF">
              <w:rPr>
                <w:lang w:val="en-AU"/>
              </w:rPr>
              <w:t>12</w:t>
            </w:r>
          </w:p>
        </w:tc>
        <w:tc>
          <w:tcPr>
            <w:tcW w:w="418" w:type="dxa"/>
          </w:tcPr>
          <w:p w14:paraId="7F5A1B4C" w14:textId="7A5632A5" w:rsidR="001A1758" w:rsidRPr="006C3DFF" w:rsidRDefault="001A1758" w:rsidP="00D81C70">
            <w:pPr>
              <w:pStyle w:val="VCAAtablecondensedheading"/>
              <w:rPr>
                <w:lang w:val="en-AU"/>
              </w:rPr>
            </w:pPr>
            <w:r w:rsidRPr="006C3DFF">
              <w:rPr>
                <w:lang w:val="en-AU"/>
              </w:rPr>
              <w:t>13</w:t>
            </w:r>
          </w:p>
        </w:tc>
        <w:tc>
          <w:tcPr>
            <w:tcW w:w="418" w:type="dxa"/>
          </w:tcPr>
          <w:p w14:paraId="3B26A57E" w14:textId="528F2FF3" w:rsidR="001A1758" w:rsidRPr="006C3DFF" w:rsidRDefault="001A1758" w:rsidP="00D81C70">
            <w:pPr>
              <w:pStyle w:val="VCAAtablecondensedheading"/>
              <w:rPr>
                <w:lang w:val="en-AU"/>
              </w:rPr>
            </w:pPr>
            <w:r w:rsidRPr="006C3DFF">
              <w:rPr>
                <w:lang w:val="en-AU"/>
              </w:rPr>
              <w:t>14</w:t>
            </w:r>
          </w:p>
        </w:tc>
        <w:tc>
          <w:tcPr>
            <w:tcW w:w="418" w:type="dxa"/>
          </w:tcPr>
          <w:p w14:paraId="182A2FF5" w14:textId="34F489E4" w:rsidR="001A1758" w:rsidRPr="006C3DFF" w:rsidRDefault="001A1758" w:rsidP="00D81C70">
            <w:pPr>
              <w:pStyle w:val="VCAAtablecondensedheading"/>
              <w:rPr>
                <w:lang w:val="en-AU"/>
              </w:rPr>
            </w:pPr>
            <w:r w:rsidRPr="006C3DFF">
              <w:rPr>
                <w:lang w:val="en-AU"/>
              </w:rPr>
              <w:t>15</w:t>
            </w:r>
          </w:p>
        </w:tc>
        <w:tc>
          <w:tcPr>
            <w:tcW w:w="418" w:type="dxa"/>
          </w:tcPr>
          <w:p w14:paraId="2C597799" w14:textId="6613BFC4" w:rsidR="001A1758" w:rsidRPr="006C3DFF" w:rsidRDefault="001A1758" w:rsidP="00D81C70">
            <w:pPr>
              <w:pStyle w:val="VCAAtablecondensedheading"/>
              <w:rPr>
                <w:lang w:val="en-AU"/>
              </w:rPr>
            </w:pPr>
            <w:r w:rsidRPr="006C3DFF">
              <w:rPr>
                <w:lang w:val="en-AU"/>
              </w:rPr>
              <w:t>16</w:t>
            </w:r>
          </w:p>
        </w:tc>
        <w:tc>
          <w:tcPr>
            <w:tcW w:w="418" w:type="dxa"/>
          </w:tcPr>
          <w:p w14:paraId="48C45E6C" w14:textId="65F1158F" w:rsidR="001A1758" w:rsidRPr="006C3DFF" w:rsidRDefault="001A1758" w:rsidP="00D81C70">
            <w:pPr>
              <w:pStyle w:val="VCAAtablecondensedheading"/>
              <w:rPr>
                <w:lang w:val="en-AU"/>
              </w:rPr>
            </w:pPr>
            <w:r w:rsidRPr="006C3DFF">
              <w:rPr>
                <w:lang w:val="en-AU"/>
              </w:rPr>
              <w:t>17</w:t>
            </w:r>
          </w:p>
        </w:tc>
        <w:tc>
          <w:tcPr>
            <w:tcW w:w="418" w:type="dxa"/>
          </w:tcPr>
          <w:p w14:paraId="4D6024D4" w14:textId="4A6956F3" w:rsidR="001A1758" w:rsidRPr="006C3DFF" w:rsidRDefault="001A1758" w:rsidP="00D81C70">
            <w:pPr>
              <w:pStyle w:val="VCAAtablecondensedheading"/>
              <w:rPr>
                <w:lang w:val="en-AU"/>
              </w:rPr>
            </w:pPr>
            <w:r w:rsidRPr="006C3DFF">
              <w:rPr>
                <w:lang w:val="en-AU"/>
              </w:rPr>
              <w:t>18</w:t>
            </w:r>
          </w:p>
        </w:tc>
        <w:tc>
          <w:tcPr>
            <w:tcW w:w="418" w:type="dxa"/>
          </w:tcPr>
          <w:p w14:paraId="6F82FA5B" w14:textId="636972D4" w:rsidR="001A1758" w:rsidRPr="006C3DFF" w:rsidRDefault="001A1758" w:rsidP="00D81C70">
            <w:pPr>
              <w:pStyle w:val="VCAAtablecondensedheading"/>
              <w:rPr>
                <w:lang w:val="en-AU"/>
              </w:rPr>
            </w:pPr>
            <w:r w:rsidRPr="006C3DFF">
              <w:rPr>
                <w:lang w:val="en-AU"/>
              </w:rPr>
              <w:t>19</w:t>
            </w:r>
          </w:p>
        </w:tc>
        <w:tc>
          <w:tcPr>
            <w:tcW w:w="418" w:type="dxa"/>
          </w:tcPr>
          <w:p w14:paraId="32A3306F" w14:textId="72109A15" w:rsidR="001A1758" w:rsidRPr="006C3DFF" w:rsidRDefault="001A1758" w:rsidP="00D81C70">
            <w:pPr>
              <w:pStyle w:val="VCAAtablecondensedheading"/>
              <w:rPr>
                <w:lang w:val="en-AU"/>
              </w:rPr>
            </w:pPr>
            <w:r w:rsidRPr="006C3DFF">
              <w:rPr>
                <w:lang w:val="en-AU"/>
              </w:rPr>
              <w:t>20</w:t>
            </w:r>
          </w:p>
        </w:tc>
        <w:tc>
          <w:tcPr>
            <w:tcW w:w="864" w:type="dxa"/>
          </w:tcPr>
          <w:p w14:paraId="61CBC84E" w14:textId="1AB526EE" w:rsidR="001A1758" w:rsidRPr="006C3DFF" w:rsidRDefault="001A1758" w:rsidP="00D81C70">
            <w:pPr>
              <w:pStyle w:val="VCAAtablecondensedheading"/>
              <w:rPr>
                <w:lang w:val="en-AU"/>
              </w:rPr>
            </w:pPr>
            <w:r w:rsidRPr="006C3DFF">
              <w:rPr>
                <w:lang w:val="en-AU"/>
              </w:rPr>
              <w:t>Average</w:t>
            </w:r>
          </w:p>
        </w:tc>
      </w:tr>
      <w:tr w:rsidR="00F8149F" w:rsidRPr="006C3DFF" w14:paraId="36AFC506" w14:textId="77777777" w:rsidTr="00D51D0D">
        <w:tc>
          <w:tcPr>
            <w:tcW w:w="648" w:type="dxa"/>
          </w:tcPr>
          <w:p w14:paraId="0E3B1654" w14:textId="77777777" w:rsidR="00F8149F" w:rsidRPr="006C3DFF" w:rsidRDefault="00F8149F" w:rsidP="00204E86">
            <w:pPr>
              <w:pStyle w:val="VCAAtablecondensed"/>
              <w:rPr>
                <w:lang w:val="en-AU"/>
              </w:rPr>
            </w:pPr>
            <w:r w:rsidRPr="006C3DFF">
              <w:rPr>
                <w:lang w:val="en-AU"/>
              </w:rPr>
              <w:t>%</w:t>
            </w:r>
          </w:p>
        </w:tc>
        <w:tc>
          <w:tcPr>
            <w:tcW w:w="432" w:type="dxa"/>
            <w:vAlign w:val="center"/>
          </w:tcPr>
          <w:p w14:paraId="0BD45508" w14:textId="61A329F3" w:rsidR="00F8149F" w:rsidRPr="006C3DFF" w:rsidRDefault="00F8149F" w:rsidP="00204E86">
            <w:pPr>
              <w:pStyle w:val="VCAAtablecondensed"/>
              <w:rPr>
                <w:lang w:val="en-AU"/>
              </w:rPr>
            </w:pPr>
            <w:r w:rsidRPr="006C3DFF">
              <w:rPr>
                <w:lang w:val="en-AU"/>
              </w:rPr>
              <w:t>1</w:t>
            </w:r>
          </w:p>
        </w:tc>
        <w:tc>
          <w:tcPr>
            <w:tcW w:w="360" w:type="dxa"/>
            <w:vAlign w:val="center"/>
          </w:tcPr>
          <w:p w14:paraId="6BCED671" w14:textId="4B8D4C8F" w:rsidR="00F8149F" w:rsidRPr="006C3DFF" w:rsidRDefault="00F8149F" w:rsidP="00204E86">
            <w:pPr>
              <w:pStyle w:val="VCAAtablecondensed"/>
              <w:rPr>
                <w:lang w:val="en-AU"/>
              </w:rPr>
            </w:pPr>
            <w:r w:rsidRPr="006C3DFF">
              <w:rPr>
                <w:lang w:val="en-AU"/>
              </w:rPr>
              <w:t>0</w:t>
            </w:r>
          </w:p>
        </w:tc>
        <w:tc>
          <w:tcPr>
            <w:tcW w:w="360" w:type="dxa"/>
            <w:vAlign w:val="center"/>
          </w:tcPr>
          <w:p w14:paraId="79059247" w14:textId="06BED867" w:rsidR="00F8149F" w:rsidRPr="006C3DFF" w:rsidRDefault="00F8149F" w:rsidP="00204E86">
            <w:pPr>
              <w:pStyle w:val="VCAAtablecondensed"/>
              <w:rPr>
                <w:lang w:val="en-AU"/>
              </w:rPr>
            </w:pPr>
            <w:r w:rsidRPr="006C3DFF">
              <w:rPr>
                <w:lang w:val="en-AU"/>
              </w:rPr>
              <w:t>1</w:t>
            </w:r>
          </w:p>
        </w:tc>
        <w:tc>
          <w:tcPr>
            <w:tcW w:w="360" w:type="dxa"/>
            <w:vAlign w:val="center"/>
          </w:tcPr>
          <w:p w14:paraId="65C996EA" w14:textId="6280A1B6" w:rsidR="00F8149F" w:rsidRPr="006C3DFF" w:rsidRDefault="00F8149F" w:rsidP="00204E86">
            <w:pPr>
              <w:pStyle w:val="VCAAtablecondensed"/>
              <w:rPr>
                <w:lang w:val="en-AU"/>
              </w:rPr>
            </w:pPr>
            <w:r w:rsidRPr="006C3DFF">
              <w:rPr>
                <w:lang w:val="en-AU"/>
              </w:rPr>
              <w:t>2</w:t>
            </w:r>
          </w:p>
        </w:tc>
        <w:tc>
          <w:tcPr>
            <w:tcW w:w="360" w:type="dxa"/>
            <w:vAlign w:val="center"/>
          </w:tcPr>
          <w:p w14:paraId="01AF8938" w14:textId="7BC8A917" w:rsidR="00F8149F" w:rsidRPr="006C3DFF" w:rsidRDefault="00F8149F" w:rsidP="00204E86">
            <w:pPr>
              <w:pStyle w:val="VCAAtablecondensed"/>
              <w:rPr>
                <w:lang w:val="en-AU"/>
              </w:rPr>
            </w:pPr>
            <w:r w:rsidRPr="006C3DFF">
              <w:rPr>
                <w:lang w:val="en-AU"/>
              </w:rPr>
              <w:t>2</w:t>
            </w:r>
          </w:p>
        </w:tc>
        <w:tc>
          <w:tcPr>
            <w:tcW w:w="360" w:type="dxa"/>
            <w:vAlign w:val="center"/>
          </w:tcPr>
          <w:p w14:paraId="46F5D2BB" w14:textId="5C0BDFB9" w:rsidR="00F8149F" w:rsidRPr="006C3DFF" w:rsidRDefault="00F8149F" w:rsidP="00204E86">
            <w:pPr>
              <w:pStyle w:val="VCAAtablecondensed"/>
              <w:rPr>
                <w:lang w:val="en-AU"/>
              </w:rPr>
            </w:pPr>
            <w:r w:rsidRPr="006C3DFF">
              <w:rPr>
                <w:lang w:val="en-AU"/>
              </w:rPr>
              <w:t>2</w:t>
            </w:r>
          </w:p>
        </w:tc>
        <w:tc>
          <w:tcPr>
            <w:tcW w:w="360" w:type="dxa"/>
            <w:vAlign w:val="center"/>
          </w:tcPr>
          <w:p w14:paraId="6B31CC19" w14:textId="4E92AC86" w:rsidR="00F8149F" w:rsidRPr="006C3DFF" w:rsidRDefault="00F8149F" w:rsidP="00204E86">
            <w:pPr>
              <w:pStyle w:val="VCAAtablecondensed"/>
              <w:rPr>
                <w:lang w:val="en-AU"/>
              </w:rPr>
            </w:pPr>
            <w:r w:rsidRPr="006C3DFF">
              <w:rPr>
                <w:lang w:val="en-AU"/>
              </w:rPr>
              <w:t>3</w:t>
            </w:r>
          </w:p>
        </w:tc>
        <w:tc>
          <w:tcPr>
            <w:tcW w:w="360" w:type="dxa"/>
            <w:vAlign w:val="center"/>
          </w:tcPr>
          <w:p w14:paraId="0F822009" w14:textId="6BF1753B" w:rsidR="00F8149F" w:rsidRPr="006C3DFF" w:rsidRDefault="00F8149F" w:rsidP="00204E86">
            <w:pPr>
              <w:pStyle w:val="VCAAtablecondensed"/>
              <w:rPr>
                <w:lang w:val="en-AU"/>
              </w:rPr>
            </w:pPr>
            <w:r w:rsidRPr="006C3DFF">
              <w:rPr>
                <w:lang w:val="en-AU"/>
              </w:rPr>
              <w:t>3</w:t>
            </w:r>
          </w:p>
        </w:tc>
        <w:tc>
          <w:tcPr>
            <w:tcW w:w="360" w:type="dxa"/>
            <w:vAlign w:val="center"/>
          </w:tcPr>
          <w:p w14:paraId="559D317C" w14:textId="292B4F7F" w:rsidR="00F8149F" w:rsidRPr="006C3DFF" w:rsidRDefault="00D971E4" w:rsidP="00204E86">
            <w:pPr>
              <w:pStyle w:val="VCAAtablecondensed"/>
              <w:rPr>
                <w:lang w:val="en-AU"/>
              </w:rPr>
            </w:pPr>
            <w:r w:rsidRPr="006C3DFF">
              <w:rPr>
                <w:lang w:val="en-AU"/>
              </w:rPr>
              <w:t>3</w:t>
            </w:r>
          </w:p>
        </w:tc>
        <w:tc>
          <w:tcPr>
            <w:tcW w:w="360" w:type="dxa"/>
            <w:vAlign w:val="center"/>
          </w:tcPr>
          <w:p w14:paraId="68E18AAE" w14:textId="7D9586BC" w:rsidR="00F8149F" w:rsidRPr="006C3DFF" w:rsidRDefault="00F8149F" w:rsidP="00204E86">
            <w:pPr>
              <w:pStyle w:val="VCAAtablecondensed"/>
              <w:rPr>
                <w:lang w:val="en-AU"/>
              </w:rPr>
            </w:pPr>
            <w:r w:rsidRPr="006C3DFF">
              <w:rPr>
                <w:lang w:val="en-AU"/>
              </w:rPr>
              <w:t>1</w:t>
            </w:r>
          </w:p>
        </w:tc>
        <w:tc>
          <w:tcPr>
            <w:tcW w:w="418" w:type="dxa"/>
            <w:vAlign w:val="center"/>
          </w:tcPr>
          <w:p w14:paraId="4EE2C6E3" w14:textId="6C5EE510" w:rsidR="00F8149F" w:rsidRPr="006C3DFF" w:rsidRDefault="00F8149F" w:rsidP="00204E86">
            <w:pPr>
              <w:pStyle w:val="VCAAtablecondensed"/>
              <w:rPr>
                <w:lang w:val="en-AU"/>
              </w:rPr>
            </w:pPr>
            <w:r w:rsidRPr="006C3DFF">
              <w:rPr>
                <w:lang w:val="en-AU"/>
              </w:rPr>
              <w:t>5</w:t>
            </w:r>
          </w:p>
        </w:tc>
        <w:tc>
          <w:tcPr>
            <w:tcW w:w="418" w:type="dxa"/>
            <w:vAlign w:val="center"/>
          </w:tcPr>
          <w:p w14:paraId="0908668E" w14:textId="0F867FF1" w:rsidR="00F8149F" w:rsidRPr="006C3DFF" w:rsidRDefault="00F8149F" w:rsidP="00204E86">
            <w:pPr>
              <w:pStyle w:val="VCAAtablecondensed"/>
              <w:rPr>
                <w:lang w:val="en-AU"/>
              </w:rPr>
            </w:pPr>
            <w:r w:rsidRPr="006C3DFF">
              <w:rPr>
                <w:lang w:val="en-AU"/>
              </w:rPr>
              <w:t>6</w:t>
            </w:r>
          </w:p>
        </w:tc>
        <w:tc>
          <w:tcPr>
            <w:tcW w:w="418" w:type="dxa"/>
            <w:vAlign w:val="center"/>
          </w:tcPr>
          <w:p w14:paraId="14505D5E" w14:textId="35E6EE08" w:rsidR="00F8149F" w:rsidRPr="006C3DFF" w:rsidRDefault="00F8149F" w:rsidP="00204E86">
            <w:pPr>
              <w:pStyle w:val="VCAAtablecondensed"/>
              <w:rPr>
                <w:lang w:val="en-AU"/>
              </w:rPr>
            </w:pPr>
            <w:r w:rsidRPr="006C3DFF">
              <w:rPr>
                <w:lang w:val="en-AU"/>
              </w:rPr>
              <w:t>12</w:t>
            </w:r>
          </w:p>
        </w:tc>
        <w:tc>
          <w:tcPr>
            <w:tcW w:w="418" w:type="dxa"/>
            <w:vAlign w:val="center"/>
          </w:tcPr>
          <w:p w14:paraId="3B315E42" w14:textId="77468C8F" w:rsidR="00F8149F" w:rsidRPr="006C3DFF" w:rsidRDefault="00F8149F" w:rsidP="00204E86">
            <w:pPr>
              <w:pStyle w:val="VCAAtablecondensed"/>
              <w:rPr>
                <w:lang w:val="en-AU"/>
              </w:rPr>
            </w:pPr>
            <w:r w:rsidRPr="006C3DFF">
              <w:rPr>
                <w:lang w:val="en-AU"/>
              </w:rPr>
              <w:t>7</w:t>
            </w:r>
          </w:p>
        </w:tc>
        <w:tc>
          <w:tcPr>
            <w:tcW w:w="418" w:type="dxa"/>
            <w:vAlign w:val="center"/>
          </w:tcPr>
          <w:p w14:paraId="3EB2BEED" w14:textId="688B3A1D" w:rsidR="00F8149F" w:rsidRPr="006C3DFF" w:rsidRDefault="00F8149F" w:rsidP="00204E86">
            <w:pPr>
              <w:pStyle w:val="VCAAtablecondensed"/>
              <w:rPr>
                <w:lang w:val="en-AU"/>
              </w:rPr>
            </w:pPr>
            <w:r w:rsidRPr="006C3DFF">
              <w:rPr>
                <w:lang w:val="en-AU"/>
              </w:rPr>
              <w:t>1</w:t>
            </w:r>
            <w:r w:rsidR="00CD744B" w:rsidRPr="006C3DFF">
              <w:rPr>
                <w:lang w:val="en-AU"/>
              </w:rPr>
              <w:t>4</w:t>
            </w:r>
          </w:p>
        </w:tc>
        <w:tc>
          <w:tcPr>
            <w:tcW w:w="418" w:type="dxa"/>
            <w:vAlign w:val="center"/>
          </w:tcPr>
          <w:p w14:paraId="03D9A43E" w14:textId="40416797" w:rsidR="00F8149F" w:rsidRPr="006C3DFF" w:rsidRDefault="00F8149F" w:rsidP="00204E86">
            <w:pPr>
              <w:pStyle w:val="VCAAtablecondensed"/>
              <w:rPr>
                <w:lang w:val="en-AU"/>
              </w:rPr>
            </w:pPr>
            <w:r w:rsidRPr="006C3DFF">
              <w:rPr>
                <w:lang w:val="en-AU"/>
              </w:rPr>
              <w:t>1</w:t>
            </w:r>
            <w:r w:rsidR="00CD744B" w:rsidRPr="006C3DFF">
              <w:rPr>
                <w:lang w:val="en-AU"/>
              </w:rPr>
              <w:t>1</w:t>
            </w:r>
          </w:p>
        </w:tc>
        <w:tc>
          <w:tcPr>
            <w:tcW w:w="418" w:type="dxa"/>
            <w:vAlign w:val="center"/>
          </w:tcPr>
          <w:p w14:paraId="6B923F81" w14:textId="282FEBC4" w:rsidR="00F8149F" w:rsidRPr="006C3DFF" w:rsidRDefault="00F8149F" w:rsidP="00204E86">
            <w:pPr>
              <w:pStyle w:val="VCAAtablecondensed"/>
              <w:rPr>
                <w:lang w:val="en-AU"/>
              </w:rPr>
            </w:pPr>
            <w:r w:rsidRPr="006C3DFF">
              <w:rPr>
                <w:lang w:val="en-AU"/>
              </w:rPr>
              <w:t>1</w:t>
            </w:r>
            <w:r w:rsidR="00CD744B" w:rsidRPr="006C3DFF">
              <w:rPr>
                <w:lang w:val="en-AU"/>
              </w:rPr>
              <w:t>1</w:t>
            </w:r>
          </w:p>
        </w:tc>
        <w:tc>
          <w:tcPr>
            <w:tcW w:w="418" w:type="dxa"/>
            <w:vAlign w:val="center"/>
          </w:tcPr>
          <w:p w14:paraId="027A1296" w14:textId="517484DC" w:rsidR="00F8149F" w:rsidRPr="006C3DFF" w:rsidRDefault="00F8149F" w:rsidP="00204E86">
            <w:pPr>
              <w:pStyle w:val="VCAAtablecondensed"/>
              <w:rPr>
                <w:lang w:val="en-AU"/>
              </w:rPr>
            </w:pPr>
            <w:r w:rsidRPr="006C3DFF">
              <w:rPr>
                <w:lang w:val="en-AU"/>
              </w:rPr>
              <w:t>10</w:t>
            </w:r>
          </w:p>
        </w:tc>
        <w:tc>
          <w:tcPr>
            <w:tcW w:w="418" w:type="dxa"/>
            <w:vAlign w:val="center"/>
          </w:tcPr>
          <w:p w14:paraId="34066947" w14:textId="7E19D0C6" w:rsidR="00F8149F" w:rsidRPr="006C3DFF" w:rsidRDefault="00F8149F" w:rsidP="00204E86">
            <w:pPr>
              <w:pStyle w:val="VCAAtablecondensed"/>
              <w:rPr>
                <w:lang w:val="en-AU"/>
              </w:rPr>
            </w:pPr>
            <w:r w:rsidRPr="006C3DFF">
              <w:rPr>
                <w:lang w:val="en-AU"/>
              </w:rPr>
              <w:t>3</w:t>
            </w:r>
          </w:p>
        </w:tc>
        <w:tc>
          <w:tcPr>
            <w:tcW w:w="418" w:type="dxa"/>
            <w:vAlign w:val="center"/>
          </w:tcPr>
          <w:p w14:paraId="2AD205F5" w14:textId="3F6B2880" w:rsidR="00F8149F" w:rsidRPr="006C3DFF" w:rsidRDefault="00F8149F" w:rsidP="00204E86">
            <w:pPr>
              <w:pStyle w:val="VCAAtablecondensed"/>
              <w:rPr>
                <w:lang w:val="en-AU"/>
              </w:rPr>
            </w:pPr>
            <w:r w:rsidRPr="006C3DFF">
              <w:rPr>
                <w:lang w:val="en-AU"/>
              </w:rPr>
              <w:t>3</w:t>
            </w:r>
          </w:p>
        </w:tc>
        <w:tc>
          <w:tcPr>
            <w:tcW w:w="418" w:type="dxa"/>
            <w:vAlign w:val="center"/>
          </w:tcPr>
          <w:p w14:paraId="5FF30DC0" w14:textId="77BC5E15" w:rsidR="00F8149F" w:rsidRPr="006C3DFF" w:rsidRDefault="00F8149F" w:rsidP="00204E86">
            <w:pPr>
              <w:pStyle w:val="VCAAtablecondensed"/>
              <w:rPr>
                <w:lang w:val="en-AU"/>
              </w:rPr>
            </w:pPr>
            <w:r w:rsidRPr="006C3DFF">
              <w:rPr>
                <w:lang w:val="en-AU"/>
              </w:rPr>
              <w:t>2</w:t>
            </w:r>
          </w:p>
        </w:tc>
        <w:tc>
          <w:tcPr>
            <w:tcW w:w="864" w:type="dxa"/>
          </w:tcPr>
          <w:p w14:paraId="462FE6A3" w14:textId="6EADBC4A" w:rsidR="00F8149F" w:rsidRPr="006C3DFF" w:rsidRDefault="00F8149F" w:rsidP="00204E86">
            <w:pPr>
              <w:pStyle w:val="VCAAtablecondensed"/>
              <w:rPr>
                <w:lang w:val="en-AU"/>
              </w:rPr>
            </w:pPr>
            <w:r w:rsidRPr="006C3DFF">
              <w:rPr>
                <w:lang w:val="en-AU"/>
              </w:rPr>
              <w:t>13</w:t>
            </w:r>
          </w:p>
        </w:tc>
      </w:tr>
    </w:tbl>
    <w:p w14:paraId="1CAC63DE" w14:textId="4DB628BA" w:rsidR="00291C52" w:rsidRPr="006C3DFF" w:rsidRDefault="009B726D" w:rsidP="00291C52">
      <w:pPr>
        <w:pStyle w:val="VCAAbody"/>
        <w:rPr>
          <w:lang w:val="en-AU"/>
        </w:rPr>
      </w:pPr>
      <w:r w:rsidRPr="006C3DFF">
        <w:rPr>
          <w:lang w:val="en-AU"/>
        </w:rPr>
        <w:t>The assessment of t</w:t>
      </w:r>
      <w:r w:rsidR="00833750" w:rsidRPr="006C3DFF">
        <w:rPr>
          <w:lang w:val="en-AU"/>
        </w:rPr>
        <w:t xml:space="preserve">he essay in Section B </w:t>
      </w:r>
      <w:r w:rsidRPr="006C3DFF">
        <w:rPr>
          <w:lang w:val="en-AU"/>
        </w:rPr>
        <w:t xml:space="preserve">is global, based upon criteria that are applied holistically and reflect the assessor’s appraisal of the whole answer. The </w:t>
      </w:r>
      <w:r w:rsidR="0092221C" w:rsidRPr="006C3DFF">
        <w:rPr>
          <w:lang w:val="en-AU"/>
        </w:rPr>
        <w:t xml:space="preserve">assessment </w:t>
      </w:r>
      <w:r w:rsidRPr="006C3DFF">
        <w:rPr>
          <w:lang w:val="en-AU"/>
        </w:rPr>
        <w:t>c</w:t>
      </w:r>
      <w:r w:rsidR="00833750" w:rsidRPr="006C3DFF">
        <w:rPr>
          <w:lang w:val="en-AU"/>
        </w:rPr>
        <w:t>riteria, as detailed on the examination paper</w:t>
      </w:r>
      <w:r w:rsidRPr="006C3DFF">
        <w:rPr>
          <w:lang w:val="en-AU"/>
        </w:rPr>
        <w:t>, are as follows</w:t>
      </w:r>
      <w:r w:rsidR="00833750" w:rsidRPr="006C3DFF">
        <w:rPr>
          <w:lang w:val="en-AU"/>
        </w:rPr>
        <w:t>:</w:t>
      </w:r>
    </w:p>
    <w:p w14:paraId="78D634BA" w14:textId="590C8653" w:rsidR="00833750" w:rsidRPr="006C3DFF" w:rsidRDefault="00833750" w:rsidP="000202B8">
      <w:pPr>
        <w:pStyle w:val="VCAAbullet"/>
        <w:rPr>
          <w:lang w:val="en-AU"/>
        </w:rPr>
      </w:pPr>
      <w:r w:rsidRPr="006C3DFF">
        <w:rPr>
          <w:lang w:val="en-AU"/>
        </w:rPr>
        <w:t>development of a coherent and relevant argument that addresses the specific demands of the essay question</w:t>
      </w:r>
    </w:p>
    <w:p w14:paraId="5089F824" w14:textId="66CE3FBD" w:rsidR="00833750" w:rsidRPr="006C3DFF" w:rsidRDefault="00833750" w:rsidP="000202B8">
      <w:pPr>
        <w:pStyle w:val="VCAAbullet"/>
        <w:rPr>
          <w:lang w:val="en-AU"/>
        </w:rPr>
      </w:pPr>
      <w:r w:rsidRPr="006C3DFF">
        <w:rPr>
          <w:lang w:val="en-AU"/>
        </w:rPr>
        <w:t>demonstration of political knowledge that is accurate and appropriate for the essay question</w:t>
      </w:r>
    </w:p>
    <w:p w14:paraId="11702276" w14:textId="7C160908" w:rsidR="00833750" w:rsidRPr="006C3DFF" w:rsidRDefault="00833750" w:rsidP="000202B8">
      <w:pPr>
        <w:pStyle w:val="VCAAbullet"/>
        <w:rPr>
          <w:lang w:val="en-AU"/>
        </w:rPr>
      </w:pPr>
      <w:r w:rsidRPr="006C3DFF">
        <w:rPr>
          <w:lang w:val="en-AU"/>
        </w:rPr>
        <w:t>accurate use of key political terms and concepts</w:t>
      </w:r>
    </w:p>
    <w:p w14:paraId="74657363" w14:textId="3F795457" w:rsidR="00833750" w:rsidRPr="006C3DFF" w:rsidRDefault="00833750" w:rsidP="000202B8">
      <w:pPr>
        <w:pStyle w:val="VCAAbullet"/>
        <w:rPr>
          <w:lang w:val="en-AU"/>
        </w:rPr>
      </w:pPr>
      <w:r w:rsidRPr="006C3DFF">
        <w:rPr>
          <w:lang w:val="en-AU"/>
        </w:rPr>
        <w:t>use of contemporary examples and case studies to support explanations, points of view and arguments.</w:t>
      </w:r>
    </w:p>
    <w:p w14:paraId="4B0B5E06" w14:textId="5DC691E4" w:rsidR="00833750" w:rsidRPr="006C3DFF" w:rsidRDefault="00833750">
      <w:pPr>
        <w:pStyle w:val="VCAAHeading3"/>
        <w:rPr>
          <w:lang w:val="en-AU"/>
        </w:rPr>
      </w:pPr>
      <w:r w:rsidRPr="006C3DFF">
        <w:rPr>
          <w:lang w:val="en-AU"/>
        </w:rPr>
        <w:t>Question 1</w:t>
      </w:r>
    </w:p>
    <w:p w14:paraId="37D414FD" w14:textId="02FAA406" w:rsidR="00833750" w:rsidRPr="006C3DFF" w:rsidRDefault="00833750" w:rsidP="00833750">
      <w:pPr>
        <w:pStyle w:val="VCAAbody"/>
        <w:rPr>
          <w:lang w:val="en-AU"/>
        </w:rPr>
      </w:pPr>
      <w:r w:rsidRPr="006C3DFF">
        <w:rPr>
          <w:lang w:val="en-AU"/>
        </w:rPr>
        <w:t>Students were asked to discuss the extent to which they agreed with the statement ‘Responsible government effectively enables citizens to hold federal politicians to account</w:t>
      </w:r>
      <w:r w:rsidR="00D8073E" w:rsidRPr="006C3DFF">
        <w:rPr>
          <w:lang w:val="en-AU"/>
        </w:rPr>
        <w:t>.</w:t>
      </w:r>
      <w:r w:rsidR="00B25416" w:rsidRPr="006C3DFF">
        <w:rPr>
          <w:lang w:val="en-AU"/>
        </w:rPr>
        <w:t>’</w:t>
      </w:r>
      <w:r w:rsidRPr="006C3DFF">
        <w:rPr>
          <w:lang w:val="en-AU"/>
        </w:rPr>
        <w:t xml:space="preserve"> </w:t>
      </w:r>
      <w:r w:rsidR="0035476B" w:rsidRPr="006C3DFF">
        <w:rPr>
          <w:lang w:val="en-AU"/>
        </w:rPr>
        <w:t>To score highly on this question, s</w:t>
      </w:r>
      <w:r w:rsidRPr="006C3DFF">
        <w:rPr>
          <w:lang w:val="en-AU"/>
        </w:rPr>
        <w:t>tudents needed</w:t>
      </w:r>
      <w:r w:rsidR="0035476B" w:rsidRPr="006C3DFF">
        <w:rPr>
          <w:lang w:val="en-AU"/>
        </w:rPr>
        <w:t xml:space="preserve"> to demonstrate an accurate understanding of the key concepts of ‘responsible government’</w:t>
      </w:r>
      <w:r w:rsidR="00151574" w:rsidRPr="006C3DFF">
        <w:rPr>
          <w:lang w:val="en-AU"/>
        </w:rPr>
        <w:t xml:space="preserve"> and ‘accountability of government’. Central to responsible government is the requirement that all members of the government hold a seat in, and are directly answerable to, parliament. Citizens may hold governments to account through elections.</w:t>
      </w:r>
    </w:p>
    <w:p w14:paraId="138E2E9D" w14:textId="4528F8ED" w:rsidR="00151574" w:rsidRPr="006C3DFF" w:rsidRDefault="00151574" w:rsidP="00833750">
      <w:pPr>
        <w:pStyle w:val="VCAAbody"/>
        <w:rPr>
          <w:lang w:val="en-AU"/>
        </w:rPr>
      </w:pPr>
      <w:r w:rsidRPr="006C3DFF">
        <w:rPr>
          <w:lang w:val="en-AU"/>
        </w:rPr>
        <w:t>High</w:t>
      </w:r>
      <w:r w:rsidR="00AE239C" w:rsidRPr="006C3DFF">
        <w:rPr>
          <w:lang w:val="en-AU"/>
        </w:rPr>
        <w:t xml:space="preserve">er-scoring responses demonstrated strong knowledge of the roles that elections and parliamentary practices play in holding governments to account, the role of Cabinet, the </w:t>
      </w:r>
      <w:r w:rsidR="00BC0001" w:rsidRPr="006C3DFF">
        <w:rPr>
          <w:lang w:val="en-AU"/>
        </w:rPr>
        <w:t>doctrines</w:t>
      </w:r>
      <w:r w:rsidR="00AE239C" w:rsidRPr="006C3DFF">
        <w:rPr>
          <w:lang w:val="en-AU"/>
        </w:rPr>
        <w:t xml:space="preserve"> of collective and individual ministerial responsibility, and Australia’s partial separation of powers. They discussed strengths and shortcomings of </w:t>
      </w:r>
      <w:r w:rsidR="00BC0001" w:rsidRPr="006C3DFF">
        <w:rPr>
          <w:lang w:val="en-AU"/>
        </w:rPr>
        <w:t>responsible government in Australia</w:t>
      </w:r>
      <w:r w:rsidR="00AE239C" w:rsidRPr="006C3DFF">
        <w:rPr>
          <w:lang w:val="en-AU"/>
        </w:rPr>
        <w:t>, which relies upon conventions and transparency</w:t>
      </w:r>
      <w:r w:rsidR="00BC0001" w:rsidRPr="006C3DFF">
        <w:rPr>
          <w:lang w:val="en-AU"/>
        </w:rPr>
        <w:t>, and they supported their arguments with contemporary examples.</w:t>
      </w:r>
    </w:p>
    <w:p w14:paraId="5647A2DF" w14:textId="64731FDE" w:rsidR="00BC0001" w:rsidRPr="006C3DFF" w:rsidRDefault="00BC0001" w:rsidP="00833750">
      <w:pPr>
        <w:pStyle w:val="VCAAbody"/>
        <w:rPr>
          <w:lang w:val="en-AU"/>
        </w:rPr>
      </w:pPr>
      <w:r w:rsidRPr="006C3DFF">
        <w:rPr>
          <w:lang w:val="en-AU"/>
        </w:rPr>
        <w:t>Weaker responses failed to defi</w:t>
      </w:r>
      <w:r w:rsidR="00A92858" w:rsidRPr="006C3DFF">
        <w:rPr>
          <w:lang w:val="en-AU"/>
        </w:rPr>
        <w:t xml:space="preserve">ne the key terms and to present a considered judgment about the effectiveness of responsible government. They often lacked clear contentions and sufficient supporting evidence, and some lost sight of the idea of </w:t>
      </w:r>
      <w:r w:rsidR="00A92858" w:rsidRPr="006C3DFF">
        <w:rPr>
          <w:i/>
          <w:lang w:val="en-AU"/>
        </w:rPr>
        <w:t>citizens</w:t>
      </w:r>
      <w:r w:rsidR="00A92858" w:rsidRPr="006C3DFF">
        <w:rPr>
          <w:lang w:val="en-AU"/>
        </w:rPr>
        <w:t xml:space="preserve"> holding politicians to account, which was inherent in the question.</w:t>
      </w:r>
    </w:p>
    <w:p w14:paraId="2FD4B19E" w14:textId="0C913354" w:rsidR="00A92858" w:rsidRPr="006C3DFF" w:rsidRDefault="00A92858">
      <w:pPr>
        <w:pStyle w:val="VCAAHeading3"/>
        <w:rPr>
          <w:lang w:val="en-AU"/>
        </w:rPr>
      </w:pPr>
      <w:r w:rsidRPr="006C3DFF">
        <w:rPr>
          <w:lang w:val="en-AU"/>
        </w:rPr>
        <w:t>Question 2</w:t>
      </w:r>
    </w:p>
    <w:p w14:paraId="311FB1D6" w14:textId="5F51EF1B" w:rsidR="00291C52" w:rsidRPr="006C3DFF" w:rsidRDefault="00A92858" w:rsidP="00A11ABF">
      <w:pPr>
        <w:spacing w:before="120" w:after="120" w:line="280" w:lineRule="exact"/>
        <w:rPr>
          <w:rFonts w:cstheme="minorHAnsi"/>
          <w:sz w:val="20"/>
          <w:szCs w:val="20"/>
          <w:lang w:val="en-AU"/>
        </w:rPr>
      </w:pPr>
      <w:r w:rsidRPr="006C3DFF">
        <w:rPr>
          <w:rFonts w:cstheme="minorHAnsi"/>
          <w:sz w:val="20"/>
          <w:szCs w:val="20"/>
          <w:lang w:val="en-AU"/>
        </w:rPr>
        <w:t xml:space="preserve">This </w:t>
      </w:r>
      <w:r w:rsidR="001173F0" w:rsidRPr="006C3DFF">
        <w:rPr>
          <w:rFonts w:cstheme="minorHAnsi"/>
          <w:sz w:val="20"/>
          <w:szCs w:val="20"/>
          <w:lang w:val="en-AU"/>
        </w:rPr>
        <w:t xml:space="preserve">topic, requiring students to judge whether rights and freedoms are better protected in the political system in the </w:t>
      </w:r>
      <w:r w:rsidR="00B25416" w:rsidRPr="006C3DFF">
        <w:rPr>
          <w:rFonts w:cstheme="minorHAnsi"/>
          <w:sz w:val="20"/>
          <w:szCs w:val="20"/>
          <w:lang w:val="en-AU"/>
        </w:rPr>
        <w:t>US</w:t>
      </w:r>
      <w:r w:rsidR="001173F0" w:rsidRPr="006C3DFF">
        <w:rPr>
          <w:rFonts w:cstheme="minorHAnsi"/>
          <w:sz w:val="20"/>
          <w:szCs w:val="20"/>
          <w:lang w:val="en-AU"/>
        </w:rPr>
        <w:t xml:space="preserve"> than they are in the political system of Australia, </w:t>
      </w:r>
      <w:r w:rsidRPr="006C3DFF">
        <w:rPr>
          <w:rFonts w:cstheme="minorHAnsi"/>
          <w:sz w:val="20"/>
          <w:szCs w:val="20"/>
          <w:lang w:val="en-AU"/>
        </w:rPr>
        <w:t xml:space="preserve">was overwhelmingly the most popular choice of essay topic. </w:t>
      </w:r>
      <w:r w:rsidR="001173F0" w:rsidRPr="006C3DFF">
        <w:rPr>
          <w:rFonts w:cstheme="minorHAnsi"/>
          <w:sz w:val="20"/>
          <w:szCs w:val="20"/>
          <w:lang w:val="en-AU"/>
        </w:rPr>
        <w:t>The strongest responses to this question established a clear definition of rights and freedoms, explored the relative strength of various sources of protection in each country, and used contemporary case studies to present</w:t>
      </w:r>
      <w:r w:rsidR="00C43216" w:rsidRPr="006C3DFF">
        <w:rPr>
          <w:rFonts w:cstheme="minorHAnsi"/>
          <w:sz w:val="20"/>
          <w:szCs w:val="20"/>
          <w:lang w:val="en-AU"/>
        </w:rPr>
        <w:t xml:space="preserve"> a nuanced critical comparison.</w:t>
      </w:r>
    </w:p>
    <w:p w14:paraId="5B4DFAFE" w14:textId="2F9A6F81" w:rsidR="00272551" w:rsidRPr="006C3DFF" w:rsidRDefault="00C43216" w:rsidP="00A11ABF">
      <w:pPr>
        <w:spacing w:before="120" w:after="120" w:line="280" w:lineRule="exact"/>
        <w:rPr>
          <w:rFonts w:cstheme="minorHAnsi"/>
          <w:sz w:val="20"/>
          <w:szCs w:val="20"/>
          <w:lang w:val="en-AU"/>
        </w:rPr>
      </w:pPr>
      <w:r w:rsidRPr="006C3DFF">
        <w:rPr>
          <w:rFonts w:cstheme="minorHAnsi"/>
          <w:sz w:val="20"/>
          <w:szCs w:val="20"/>
          <w:lang w:val="en-AU"/>
        </w:rPr>
        <w:t>It was important for students to demonstrate the key knowledge required by the study design</w:t>
      </w:r>
      <w:r w:rsidR="00943F82" w:rsidRPr="006C3DFF">
        <w:rPr>
          <w:rFonts w:cstheme="minorHAnsi"/>
          <w:sz w:val="20"/>
          <w:szCs w:val="20"/>
          <w:lang w:val="en-AU"/>
        </w:rPr>
        <w:t xml:space="preserve">. While many compared the effectiveness of the respective constitutions (including the US Bill of Rights and Australia’s express and implied rights), fewer students compared the </w:t>
      </w:r>
      <w:r w:rsidR="00A843CF" w:rsidRPr="006C3DFF">
        <w:rPr>
          <w:rFonts w:cstheme="minorHAnsi"/>
          <w:sz w:val="20"/>
          <w:szCs w:val="20"/>
          <w:lang w:val="en-AU"/>
        </w:rPr>
        <w:t>notion</w:t>
      </w:r>
      <w:r w:rsidR="00943F82" w:rsidRPr="006C3DFF">
        <w:rPr>
          <w:rFonts w:cstheme="minorHAnsi"/>
          <w:sz w:val="20"/>
          <w:szCs w:val="20"/>
          <w:lang w:val="en-AU"/>
        </w:rPr>
        <w:t xml:space="preserve"> of judicial independence in the two countries. </w:t>
      </w:r>
      <w:r w:rsidR="00A843CF" w:rsidRPr="006C3DFF">
        <w:rPr>
          <w:rFonts w:cstheme="minorHAnsi"/>
          <w:sz w:val="20"/>
          <w:szCs w:val="20"/>
          <w:lang w:val="en-AU"/>
        </w:rPr>
        <w:t xml:space="preserve">Other sources of protections that could have been explored include the courts, checks and </w:t>
      </w:r>
      <w:r w:rsidR="00A843CF" w:rsidRPr="006C3DFF">
        <w:rPr>
          <w:rFonts w:cstheme="minorHAnsi"/>
          <w:sz w:val="20"/>
          <w:szCs w:val="20"/>
          <w:lang w:val="en-AU"/>
        </w:rPr>
        <w:lastRenderedPageBreak/>
        <w:t>balances, separation of powers, electoral systems, statutory and common law, and international treaties.</w:t>
      </w:r>
      <w:r w:rsidR="00272551" w:rsidRPr="006C3DFF">
        <w:rPr>
          <w:rFonts w:cstheme="minorHAnsi"/>
          <w:sz w:val="20"/>
          <w:szCs w:val="20"/>
          <w:lang w:val="en-AU"/>
        </w:rPr>
        <w:t xml:space="preserve"> Some </w:t>
      </w:r>
      <w:r w:rsidR="00B25416" w:rsidRPr="006C3DFF">
        <w:rPr>
          <w:rFonts w:cstheme="minorHAnsi"/>
          <w:sz w:val="20"/>
          <w:szCs w:val="20"/>
          <w:lang w:val="en-AU"/>
        </w:rPr>
        <w:t xml:space="preserve">lower-scoring </w:t>
      </w:r>
      <w:r w:rsidR="00272551" w:rsidRPr="006C3DFF">
        <w:rPr>
          <w:rFonts w:cstheme="minorHAnsi"/>
          <w:sz w:val="20"/>
          <w:szCs w:val="20"/>
          <w:lang w:val="en-AU"/>
        </w:rPr>
        <w:t>essays diverged significantly from the topic and focused predominantly on electoral systems.</w:t>
      </w:r>
    </w:p>
    <w:p w14:paraId="7C8F46F5" w14:textId="7AFBCF33" w:rsidR="00272551" w:rsidRPr="006C3DFF" w:rsidRDefault="00272551">
      <w:pPr>
        <w:pStyle w:val="VCAAHeading3"/>
        <w:rPr>
          <w:lang w:val="en-AU"/>
        </w:rPr>
      </w:pPr>
      <w:r w:rsidRPr="006C3DFF">
        <w:rPr>
          <w:lang w:val="en-AU"/>
        </w:rPr>
        <w:t>Question 3</w:t>
      </w:r>
    </w:p>
    <w:p w14:paraId="5E163C67" w14:textId="543A0612" w:rsidR="00272551" w:rsidRPr="006C3DFF" w:rsidRDefault="00AA388B" w:rsidP="00A11ABF">
      <w:pPr>
        <w:spacing w:before="120" w:after="120" w:line="280" w:lineRule="exact"/>
        <w:rPr>
          <w:rFonts w:cstheme="minorHAnsi"/>
          <w:sz w:val="20"/>
          <w:szCs w:val="20"/>
          <w:lang w:val="en-AU"/>
        </w:rPr>
      </w:pPr>
      <w:r w:rsidRPr="006C3DFF">
        <w:rPr>
          <w:rFonts w:cstheme="minorHAnsi"/>
          <w:sz w:val="20"/>
          <w:szCs w:val="20"/>
          <w:lang w:val="en-AU"/>
        </w:rPr>
        <w:t>This question asked students to compare the degree of influence that the Executive and the Commonwealth Parliament have over the formulation of domestic policy. The more successful responses clarified the dominant role of the Prime Minister and Cabinet in domestic policy formulation and demonstrated a good understanding of parliamentary legislative processes. While supporting evidence focused predominantly on the key policy that students studied during the year, many students supported their arguments with reference to a range of policy issues and specific pieces of legislation.</w:t>
      </w:r>
    </w:p>
    <w:p w14:paraId="582BE0FE" w14:textId="49B686A6" w:rsidR="006D7D46" w:rsidRPr="006C3DFF" w:rsidRDefault="00AA388B" w:rsidP="00A11ABF">
      <w:pPr>
        <w:spacing w:before="120" w:after="120" w:line="280" w:lineRule="exact"/>
        <w:rPr>
          <w:rFonts w:cstheme="minorHAnsi"/>
          <w:sz w:val="20"/>
          <w:szCs w:val="20"/>
          <w:lang w:val="en-AU"/>
        </w:rPr>
      </w:pPr>
      <w:r w:rsidRPr="006C3DFF">
        <w:rPr>
          <w:rFonts w:cstheme="minorHAnsi"/>
          <w:sz w:val="20"/>
          <w:szCs w:val="20"/>
          <w:lang w:val="en-AU"/>
        </w:rPr>
        <w:t>Responses that were more sophisticated examined a range of factors that affect the degree of influence that the Executive and the Parliament have in policy formulation. Such factors included whether the government has a strong electoral mandate</w:t>
      </w:r>
      <w:r w:rsidR="006D7D46" w:rsidRPr="006C3DFF">
        <w:rPr>
          <w:rFonts w:cstheme="minorHAnsi"/>
          <w:sz w:val="20"/>
          <w:szCs w:val="20"/>
          <w:lang w:val="en-AU"/>
        </w:rPr>
        <w:t>, the size of a government’s majority in the House of Representatives, the balance of power in the Senate, and the urgency of a policy response</w:t>
      </w:r>
      <w:r w:rsidR="00E33815" w:rsidRPr="006C3DFF">
        <w:rPr>
          <w:rFonts w:cstheme="minorHAnsi"/>
          <w:sz w:val="20"/>
          <w:szCs w:val="20"/>
          <w:lang w:val="en-AU"/>
        </w:rPr>
        <w:t xml:space="preserve"> to events</w:t>
      </w:r>
      <w:r w:rsidR="006D7D46" w:rsidRPr="006C3DFF">
        <w:rPr>
          <w:rFonts w:cstheme="minorHAnsi"/>
          <w:sz w:val="20"/>
          <w:szCs w:val="20"/>
          <w:lang w:val="en-AU"/>
        </w:rPr>
        <w:t xml:space="preserve"> such as a national emergency or pandemic. Some weaker responses discussed a range of influences on policy formulation without showing their relevance to the executive or parliamentary influence.</w:t>
      </w:r>
    </w:p>
    <w:p w14:paraId="1E9E328D" w14:textId="2FE0BBAD" w:rsidR="00AA388B" w:rsidRPr="006C3DFF" w:rsidRDefault="006D7D46" w:rsidP="00A11ABF">
      <w:pPr>
        <w:spacing w:before="120" w:after="120" w:line="280" w:lineRule="exact"/>
        <w:rPr>
          <w:rFonts w:cstheme="minorHAnsi"/>
          <w:sz w:val="20"/>
          <w:szCs w:val="20"/>
          <w:lang w:val="en-AU"/>
        </w:rPr>
      </w:pPr>
      <w:r w:rsidRPr="006C3DFF">
        <w:rPr>
          <w:rFonts w:cstheme="minorHAnsi"/>
          <w:sz w:val="20"/>
          <w:szCs w:val="20"/>
          <w:lang w:val="en-AU"/>
        </w:rPr>
        <w:t xml:space="preserve">Policy issues studied by students this year included </w:t>
      </w:r>
      <w:proofErr w:type="spellStart"/>
      <w:r w:rsidRPr="006C3DFF">
        <w:rPr>
          <w:rFonts w:cstheme="minorHAnsi"/>
          <w:sz w:val="20"/>
          <w:szCs w:val="20"/>
          <w:lang w:val="en-AU"/>
        </w:rPr>
        <w:t>JobKeeper</w:t>
      </w:r>
      <w:proofErr w:type="spellEnd"/>
      <w:r w:rsidRPr="006C3DFF">
        <w:rPr>
          <w:rFonts w:cstheme="minorHAnsi"/>
          <w:sz w:val="20"/>
          <w:szCs w:val="20"/>
          <w:lang w:val="en-AU"/>
        </w:rPr>
        <w:t xml:space="preserve">, </w:t>
      </w:r>
      <w:proofErr w:type="spellStart"/>
      <w:r w:rsidRPr="006C3DFF">
        <w:rPr>
          <w:rFonts w:cstheme="minorHAnsi"/>
          <w:sz w:val="20"/>
          <w:szCs w:val="20"/>
          <w:lang w:val="en-AU"/>
        </w:rPr>
        <w:t>Robod</w:t>
      </w:r>
      <w:r w:rsidR="00C24FA4" w:rsidRPr="006C3DFF">
        <w:rPr>
          <w:rFonts w:cstheme="minorHAnsi"/>
          <w:sz w:val="20"/>
          <w:szCs w:val="20"/>
          <w:lang w:val="en-AU"/>
        </w:rPr>
        <w:t>ebt</w:t>
      </w:r>
      <w:proofErr w:type="spellEnd"/>
      <w:r w:rsidR="00C24FA4" w:rsidRPr="006C3DFF">
        <w:rPr>
          <w:rFonts w:cstheme="minorHAnsi"/>
          <w:sz w:val="20"/>
          <w:szCs w:val="20"/>
          <w:lang w:val="en-AU"/>
        </w:rPr>
        <w:t>, COVID-19 vaccinations, and climate change and emissions targets.</w:t>
      </w:r>
    </w:p>
    <w:p w14:paraId="13D64F52" w14:textId="1C565A82" w:rsidR="00272551" w:rsidRPr="006C3DFF" w:rsidRDefault="00272551">
      <w:pPr>
        <w:pStyle w:val="VCAAHeading3"/>
        <w:rPr>
          <w:lang w:val="en-AU"/>
        </w:rPr>
      </w:pPr>
      <w:r w:rsidRPr="006C3DFF">
        <w:rPr>
          <w:lang w:val="en-AU"/>
        </w:rPr>
        <w:t>Question 4</w:t>
      </w:r>
    </w:p>
    <w:p w14:paraId="4106FBF5" w14:textId="52B468E6" w:rsidR="00272551" w:rsidRPr="006C3DFF" w:rsidRDefault="00C24FA4" w:rsidP="00A11ABF">
      <w:pPr>
        <w:spacing w:before="120" w:after="120" w:line="280" w:lineRule="exact"/>
        <w:rPr>
          <w:rFonts w:cstheme="minorHAnsi"/>
          <w:sz w:val="20"/>
          <w:szCs w:val="20"/>
          <w:lang w:val="en-AU"/>
        </w:rPr>
      </w:pPr>
      <w:r w:rsidRPr="006C3DFF">
        <w:rPr>
          <w:rFonts w:cstheme="minorHAnsi"/>
          <w:sz w:val="20"/>
          <w:szCs w:val="20"/>
          <w:lang w:val="en-AU"/>
        </w:rPr>
        <w:t>Students were asked to examine the extent to which the changing media landscape allows public opinion to have more influence on contemporary Australian foreign policy. This proved to be a particularly challenging question</w:t>
      </w:r>
      <w:r w:rsidR="007B1A3A" w:rsidRPr="006C3DFF">
        <w:rPr>
          <w:rFonts w:cstheme="minorHAnsi"/>
          <w:sz w:val="20"/>
          <w:szCs w:val="20"/>
          <w:lang w:val="en-AU"/>
        </w:rPr>
        <w:t xml:space="preserve"> and students struggled to address all </w:t>
      </w:r>
      <w:r w:rsidR="00E33815" w:rsidRPr="006C3DFF">
        <w:rPr>
          <w:rFonts w:cstheme="minorHAnsi"/>
          <w:sz w:val="20"/>
          <w:szCs w:val="20"/>
          <w:lang w:val="en-AU"/>
        </w:rPr>
        <w:t xml:space="preserve">of its </w:t>
      </w:r>
      <w:r w:rsidR="007B1A3A" w:rsidRPr="006C3DFF">
        <w:rPr>
          <w:rFonts w:cstheme="minorHAnsi"/>
          <w:sz w:val="20"/>
          <w:szCs w:val="20"/>
          <w:lang w:val="en-AU"/>
        </w:rPr>
        <w:t>parts</w:t>
      </w:r>
      <w:r w:rsidRPr="006C3DFF">
        <w:rPr>
          <w:rFonts w:cstheme="minorHAnsi"/>
          <w:sz w:val="20"/>
          <w:szCs w:val="20"/>
          <w:lang w:val="en-AU"/>
        </w:rPr>
        <w:t xml:space="preserve">. Few students articulated in depth the notion of the changing media landscape. </w:t>
      </w:r>
      <w:r w:rsidR="007B1A3A" w:rsidRPr="006C3DFF">
        <w:rPr>
          <w:rFonts w:cstheme="minorHAnsi"/>
          <w:sz w:val="20"/>
          <w:szCs w:val="20"/>
          <w:lang w:val="en-AU"/>
        </w:rPr>
        <w:t>S</w:t>
      </w:r>
      <w:r w:rsidRPr="006C3DFF">
        <w:rPr>
          <w:rFonts w:cstheme="minorHAnsi"/>
          <w:sz w:val="20"/>
          <w:szCs w:val="20"/>
          <w:lang w:val="en-AU"/>
        </w:rPr>
        <w:t xml:space="preserve">ome presented sound </w:t>
      </w:r>
      <w:r w:rsidR="007B1A3A" w:rsidRPr="006C3DFF">
        <w:rPr>
          <w:rFonts w:cstheme="minorHAnsi"/>
          <w:sz w:val="20"/>
          <w:szCs w:val="20"/>
          <w:lang w:val="en-AU"/>
        </w:rPr>
        <w:t>arguments as to</w:t>
      </w:r>
      <w:r w:rsidRPr="006C3DFF">
        <w:rPr>
          <w:rFonts w:cstheme="minorHAnsi"/>
          <w:sz w:val="20"/>
          <w:szCs w:val="20"/>
          <w:lang w:val="en-AU"/>
        </w:rPr>
        <w:t xml:space="preserve"> how new forms of media play a greater role in shaping and allowing expression of public opinion than</w:t>
      </w:r>
      <w:r w:rsidR="007B1A3A" w:rsidRPr="006C3DFF">
        <w:rPr>
          <w:rFonts w:cstheme="minorHAnsi"/>
          <w:sz w:val="20"/>
          <w:szCs w:val="20"/>
          <w:lang w:val="en-AU"/>
        </w:rPr>
        <w:t xml:space="preserve"> do traditional forms of media. However, while students were able to discuss various measures of public opinion and a range of media coverage on foreign policy issues, many had difficulty supporting an argument that media and public opinion are particularly influential.</w:t>
      </w:r>
    </w:p>
    <w:p w14:paraId="7295C60A" w14:textId="77777777" w:rsidR="00165530" w:rsidRPr="006C3DFF" w:rsidRDefault="007B1A3A" w:rsidP="00A11ABF">
      <w:pPr>
        <w:spacing w:before="120" w:after="120" w:line="280" w:lineRule="exact"/>
        <w:rPr>
          <w:rFonts w:cstheme="minorHAnsi"/>
          <w:sz w:val="20"/>
          <w:szCs w:val="20"/>
          <w:lang w:val="en-AU"/>
        </w:rPr>
      </w:pPr>
      <w:r w:rsidRPr="006C3DFF">
        <w:rPr>
          <w:rFonts w:cstheme="minorHAnsi"/>
          <w:sz w:val="20"/>
          <w:szCs w:val="20"/>
          <w:lang w:val="en-AU"/>
        </w:rPr>
        <w:t xml:space="preserve">Many students adopted a more traditional approach to the topic, exploring the nature of foreign policy and explaining the key inputs to foreign policy formulation. </w:t>
      </w:r>
      <w:r w:rsidR="00165530" w:rsidRPr="006C3DFF">
        <w:rPr>
          <w:rFonts w:cstheme="minorHAnsi"/>
          <w:sz w:val="20"/>
          <w:szCs w:val="20"/>
          <w:lang w:val="en-AU"/>
        </w:rPr>
        <w:t>Where such exploration supported a contention about the degree of influence that media and public opinion have in foreign policy formulation, this approach was largely successful.</w:t>
      </w:r>
    </w:p>
    <w:p w14:paraId="3C8FC066" w14:textId="162DDE50" w:rsidR="00C43216" w:rsidRPr="006C3DFF" w:rsidRDefault="00165530" w:rsidP="00A11ABF">
      <w:pPr>
        <w:spacing w:before="120" w:after="120" w:line="280" w:lineRule="exact"/>
        <w:rPr>
          <w:rFonts w:cstheme="minorHAnsi"/>
          <w:sz w:val="20"/>
          <w:szCs w:val="20"/>
          <w:lang w:val="en-AU"/>
        </w:rPr>
      </w:pPr>
      <w:r w:rsidRPr="006C3DFF">
        <w:rPr>
          <w:rFonts w:cstheme="minorHAnsi"/>
          <w:sz w:val="20"/>
          <w:szCs w:val="20"/>
          <w:lang w:val="en-AU"/>
        </w:rPr>
        <w:t xml:space="preserve">As was the case for all essay topics, the strongest responses supported a clear contention </w:t>
      </w:r>
      <w:r w:rsidR="003F2636" w:rsidRPr="006C3DFF">
        <w:rPr>
          <w:rFonts w:cstheme="minorHAnsi"/>
          <w:sz w:val="20"/>
          <w:szCs w:val="20"/>
          <w:lang w:val="en-AU"/>
        </w:rPr>
        <w:t xml:space="preserve">and coherent argument </w:t>
      </w:r>
      <w:r w:rsidRPr="006C3DFF">
        <w:rPr>
          <w:rFonts w:cstheme="minorHAnsi"/>
          <w:sz w:val="20"/>
          <w:szCs w:val="20"/>
          <w:lang w:val="en-AU"/>
        </w:rPr>
        <w:t>with competent use of contemporary examples and case studies.</w:t>
      </w:r>
      <w:r w:rsidR="00D8073E" w:rsidRPr="006C3DFF">
        <w:rPr>
          <w:rFonts w:cstheme="minorHAnsi"/>
          <w:sz w:val="20"/>
          <w:szCs w:val="20"/>
          <w:lang w:val="en-AU"/>
        </w:rPr>
        <w:t xml:space="preserve"> </w:t>
      </w:r>
      <w:r w:rsidR="00301126" w:rsidRPr="006C3DFF">
        <w:rPr>
          <w:rFonts w:cstheme="minorHAnsi"/>
          <w:sz w:val="20"/>
          <w:szCs w:val="20"/>
          <w:lang w:val="en-AU"/>
        </w:rPr>
        <w:t xml:space="preserve">Policy changes that students argued had been influenced by media and public opinion included responses to climate change and the treatment of refugees and asylum seekers. Contemporary foreign policy decisions and actions that students contended were </w:t>
      </w:r>
      <w:r w:rsidR="00E33815" w:rsidRPr="006C3DFF">
        <w:rPr>
          <w:rFonts w:cstheme="minorHAnsi"/>
          <w:sz w:val="20"/>
          <w:szCs w:val="20"/>
          <w:lang w:val="en-AU"/>
        </w:rPr>
        <w:t>not significantly influenced</w:t>
      </w:r>
      <w:r w:rsidR="00301126" w:rsidRPr="006C3DFF">
        <w:rPr>
          <w:rFonts w:cstheme="minorHAnsi"/>
          <w:sz w:val="20"/>
          <w:szCs w:val="20"/>
          <w:lang w:val="en-AU"/>
        </w:rPr>
        <w:t xml:space="preserve"> by media and public opinion included the reinvigoration of the Quad, the creation of AUKUS, and Australia’s support for Ukraine in the form of humanitarian aid, military hardware and military training.</w:t>
      </w:r>
    </w:p>
    <w:sectPr w:rsidR="00C43216" w:rsidRPr="006C3DFF"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1563CD" w:rsidRDefault="001563CD" w:rsidP="00304EA1">
      <w:pPr>
        <w:spacing w:after="0" w:line="240" w:lineRule="auto"/>
      </w:pPr>
      <w:r>
        <w:separator/>
      </w:r>
    </w:p>
  </w:endnote>
  <w:endnote w:type="continuationSeparator" w:id="0">
    <w:p w14:paraId="6C2FE3E4" w14:textId="77777777" w:rsidR="001563CD" w:rsidRDefault="001563C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563CD" w:rsidRPr="00D06414" w14:paraId="00D3EC34" w14:textId="77777777" w:rsidTr="00BB3BAB">
      <w:trPr>
        <w:trHeight w:val="476"/>
      </w:trPr>
      <w:tc>
        <w:tcPr>
          <w:tcW w:w="1667" w:type="pct"/>
          <w:tcMar>
            <w:left w:w="0" w:type="dxa"/>
            <w:right w:w="0" w:type="dxa"/>
          </w:tcMar>
        </w:tcPr>
        <w:p w14:paraId="4F062E5B" w14:textId="77777777" w:rsidR="001563CD" w:rsidRPr="00D06414" w:rsidRDefault="001563C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1563CD" w:rsidRPr="00D06414" w:rsidRDefault="001563C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6501A6C7" w:rsidR="001563CD" w:rsidRPr="00D06414" w:rsidRDefault="001563C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5D192EFA" w14:textId="77777777" w:rsidR="001563CD" w:rsidRPr="00D06414" w:rsidRDefault="001563C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563CD" w:rsidRPr="00D06414" w14:paraId="28670396" w14:textId="77777777" w:rsidTr="000F5AAF">
      <w:tc>
        <w:tcPr>
          <w:tcW w:w="1459" w:type="pct"/>
          <w:tcMar>
            <w:left w:w="0" w:type="dxa"/>
            <w:right w:w="0" w:type="dxa"/>
          </w:tcMar>
        </w:tcPr>
        <w:p w14:paraId="0BBE30B4" w14:textId="77777777" w:rsidR="001563CD" w:rsidRPr="00D06414" w:rsidRDefault="001563C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1563CD" w:rsidRPr="00D06414" w:rsidRDefault="001563C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1563CD" w:rsidRPr="00D06414" w:rsidRDefault="001563C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1563CD" w:rsidRPr="00D06414" w:rsidRDefault="001563C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1563CD" w:rsidRDefault="001563CD" w:rsidP="00304EA1">
      <w:pPr>
        <w:spacing w:after="0" w:line="240" w:lineRule="auto"/>
      </w:pPr>
      <w:r>
        <w:separator/>
      </w:r>
    </w:p>
  </w:footnote>
  <w:footnote w:type="continuationSeparator" w:id="0">
    <w:p w14:paraId="600CFD58" w14:textId="77777777" w:rsidR="001563CD" w:rsidRDefault="001563C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057EAE2" w:rsidR="001563CD" w:rsidRPr="00F44AFA" w:rsidRDefault="001563CD" w:rsidP="00F44AFA">
    <w:pPr>
      <w:pStyle w:val="VCAAcaptionsandfootnotes"/>
      <w:rPr>
        <w:rFonts w:ascii="Calibri" w:eastAsia="Times New Roman" w:hAnsi="Calibri" w:cs="Calibri"/>
        <w:color w:val="000000"/>
        <w:lang w:val="en-AU" w:eastAsia="en-AU"/>
      </w:rPr>
    </w:pPr>
    <w:r w:rsidRPr="00A35FB2">
      <w:t>2022 VCE Australian Politics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1563CD" w:rsidRPr="009370BC" w:rsidRDefault="001563C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F65"/>
    <w:multiLevelType w:val="hybridMultilevel"/>
    <w:tmpl w:val="238CF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8775F"/>
    <w:multiLevelType w:val="hybridMultilevel"/>
    <w:tmpl w:val="7380677C"/>
    <w:lvl w:ilvl="0" w:tplc="998E7BFA">
      <w:start w:val="1"/>
      <w:numFmt w:val="bullet"/>
      <w:lvlText w:val="•"/>
      <w:lvlJc w:val="left"/>
      <w:pPr>
        <w:tabs>
          <w:tab w:val="num" w:pos="720"/>
        </w:tabs>
        <w:ind w:left="720" w:hanging="360"/>
      </w:pPr>
      <w:rPr>
        <w:rFonts w:ascii="Arial" w:hAnsi="Arial" w:hint="default"/>
      </w:rPr>
    </w:lvl>
    <w:lvl w:ilvl="1" w:tplc="ACD86164" w:tentative="1">
      <w:start w:val="1"/>
      <w:numFmt w:val="bullet"/>
      <w:lvlText w:val="•"/>
      <w:lvlJc w:val="left"/>
      <w:pPr>
        <w:tabs>
          <w:tab w:val="num" w:pos="1440"/>
        </w:tabs>
        <w:ind w:left="1440" w:hanging="360"/>
      </w:pPr>
      <w:rPr>
        <w:rFonts w:ascii="Arial" w:hAnsi="Arial" w:hint="default"/>
      </w:rPr>
    </w:lvl>
    <w:lvl w:ilvl="2" w:tplc="C0C28438" w:tentative="1">
      <w:start w:val="1"/>
      <w:numFmt w:val="bullet"/>
      <w:lvlText w:val="•"/>
      <w:lvlJc w:val="left"/>
      <w:pPr>
        <w:tabs>
          <w:tab w:val="num" w:pos="2160"/>
        </w:tabs>
        <w:ind w:left="2160" w:hanging="360"/>
      </w:pPr>
      <w:rPr>
        <w:rFonts w:ascii="Arial" w:hAnsi="Arial" w:hint="default"/>
      </w:rPr>
    </w:lvl>
    <w:lvl w:ilvl="3" w:tplc="E27654F6" w:tentative="1">
      <w:start w:val="1"/>
      <w:numFmt w:val="bullet"/>
      <w:lvlText w:val="•"/>
      <w:lvlJc w:val="left"/>
      <w:pPr>
        <w:tabs>
          <w:tab w:val="num" w:pos="2880"/>
        </w:tabs>
        <w:ind w:left="2880" w:hanging="360"/>
      </w:pPr>
      <w:rPr>
        <w:rFonts w:ascii="Arial" w:hAnsi="Arial" w:hint="default"/>
      </w:rPr>
    </w:lvl>
    <w:lvl w:ilvl="4" w:tplc="E05261D4" w:tentative="1">
      <w:start w:val="1"/>
      <w:numFmt w:val="bullet"/>
      <w:lvlText w:val="•"/>
      <w:lvlJc w:val="left"/>
      <w:pPr>
        <w:tabs>
          <w:tab w:val="num" w:pos="3600"/>
        </w:tabs>
        <w:ind w:left="3600" w:hanging="360"/>
      </w:pPr>
      <w:rPr>
        <w:rFonts w:ascii="Arial" w:hAnsi="Arial" w:hint="default"/>
      </w:rPr>
    </w:lvl>
    <w:lvl w:ilvl="5" w:tplc="8766D30C" w:tentative="1">
      <w:start w:val="1"/>
      <w:numFmt w:val="bullet"/>
      <w:lvlText w:val="•"/>
      <w:lvlJc w:val="left"/>
      <w:pPr>
        <w:tabs>
          <w:tab w:val="num" w:pos="4320"/>
        </w:tabs>
        <w:ind w:left="4320" w:hanging="360"/>
      </w:pPr>
      <w:rPr>
        <w:rFonts w:ascii="Arial" w:hAnsi="Arial" w:hint="default"/>
      </w:rPr>
    </w:lvl>
    <w:lvl w:ilvl="6" w:tplc="221AC150" w:tentative="1">
      <w:start w:val="1"/>
      <w:numFmt w:val="bullet"/>
      <w:lvlText w:val="•"/>
      <w:lvlJc w:val="left"/>
      <w:pPr>
        <w:tabs>
          <w:tab w:val="num" w:pos="5040"/>
        </w:tabs>
        <w:ind w:left="5040" w:hanging="360"/>
      </w:pPr>
      <w:rPr>
        <w:rFonts w:ascii="Arial" w:hAnsi="Arial" w:hint="default"/>
      </w:rPr>
    </w:lvl>
    <w:lvl w:ilvl="7" w:tplc="9082419A" w:tentative="1">
      <w:start w:val="1"/>
      <w:numFmt w:val="bullet"/>
      <w:lvlText w:val="•"/>
      <w:lvlJc w:val="left"/>
      <w:pPr>
        <w:tabs>
          <w:tab w:val="num" w:pos="5760"/>
        </w:tabs>
        <w:ind w:left="5760" w:hanging="360"/>
      </w:pPr>
      <w:rPr>
        <w:rFonts w:ascii="Arial" w:hAnsi="Arial" w:hint="default"/>
      </w:rPr>
    </w:lvl>
    <w:lvl w:ilvl="8" w:tplc="0366AF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C76A6"/>
    <w:multiLevelType w:val="hybridMultilevel"/>
    <w:tmpl w:val="445C0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B37FE7"/>
    <w:multiLevelType w:val="hybridMultilevel"/>
    <w:tmpl w:val="1120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D45FF"/>
    <w:multiLevelType w:val="hybridMultilevel"/>
    <w:tmpl w:val="0C2EB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CA2198"/>
    <w:multiLevelType w:val="hybridMultilevel"/>
    <w:tmpl w:val="EB3A9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CE6BD0"/>
    <w:multiLevelType w:val="hybridMultilevel"/>
    <w:tmpl w:val="9306DA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22882"/>
    <w:multiLevelType w:val="hybridMultilevel"/>
    <w:tmpl w:val="7090D7E0"/>
    <w:lvl w:ilvl="0" w:tplc="33C20F0E">
      <w:start w:val="1"/>
      <w:numFmt w:val="bullet"/>
      <w:lvlText w:val=""/>
      <w:lvlJc w:val="left"/>
      <w:pPr>
        <w:tabs>
          <w:tab w:val="num" w:pos="720"/>
        </w:tabs>
        <w:ind w:left="720" w:hanging="360"/>
      </w:pPr>
      <w:rPr>
        <w:rFonts w:ascii="Wingdings 2" w:hAnsi="Wingdings 2" w:hint="default"/>
      </w:rPr>
    </w:lvl>
    <w:lvl w:ilvl="1" w:tplc="CFFC937A" w:tentative="1">
      <w:start w:val="1"/>
      <w:numFmt w:val="bullet"/>
      <w:lvlText w:val=""/>
      <w:lvlJc w:val="left"/>
      <w:pPr>
        <w:tabs>
          <w:tab w:val="num" w:pos="1440"/>
        </w:tabs>
        <w:ind w:left="1440" w:hanging="360"/>
      </w:pPr>
      <w:rPr>
        <w:rFonts w:ascii="Wingdings 2" w:hAnsi="Wingdings 2" w:hint="default"/>
      </w:rPr>
    </w:lvl>
    <w:lvl w:ilvl="2" w:tplc="5DA03B14" w:tentative="1">
      <w:start w:val="1"/>
      <w:numFmt w:val="bullet"/>
      <w:lvlText w:val=""/>
      <w:lvlJc w:val="left"/>
      <w:pPr>
        <w:tabs>
          <w:tab w:val="num" w:pos="2160"/>
        </w:tabs>
        <w:ind w:left="2160" w:hanging="360"/>
      </w:pPr>
      <w:rPr>
        <w:rFonts w:ascii="Wingdings 2" w:hAnsi="Wingdings 2" w:hint="default"/>
      </w:rPr>
    </w:lvl>
    <w:lvl w:ilvl="3" w:tplc="F82C5DFE" w:tentative="1">
      <w:start w:val="1"/>
      <w:numFmt w:val="bullet"/>
      <w:lvlText w:val=""/>
      <w:lvlJc w:val="left"/>
      <w:pPr>
        <w:tabs>
          <w:tab w:val="num" w:pos="2880"/>
        </w:tabs>
        <w:ind w:left="2880" w:hanging="360"/>
      </w:pPr>
      <w:rPr>
        <w:rFonts w:ascii="Wingdings 2" w:hAnsi="Wingdings 2" w:hint="default"/>
      </w:rPr>
    </w:lvl>
    <w:lvl w:ilvl="4" w:tplc="5F0E31AA" w:tentative="1">
      <w:start w:val="1"/>
      <w:numFmt w:val="bullet"/>
      <w:lvlText w:val=""/>
      <w:lvlJc w:val="left"/>
      <w:pPr>
        <w:tabs>
          <w:tab w:val="num" w:pos="3600"/>
        </w:tabs>
        <w:ind w:left="3600" w:hanging="360"/>
      </w:pPr>
      <w:rPr>
        <w:rFonts w:ascii="Wingdings 2" w:hAnsi="Wingdings 2" w:hint="default"/>
      </w:rPr>
    </w:lvl>
    <w:lvl w:ilvl="5" w:tplc="A630226C" w:tentative="1">
      <w:start w:val="1"/>
      <w:numFmt w:val="bullet"/>
      <w:lvlText w:val=""/>
      <w:lvlJc w:val="left"/>
      <w:pPr>
        <w:tabs>
          <w:tab w:val="num" w:pos="4320"/>
        </w:tabs>
        <w:ind w:left="4320" w:hanging="360"/>
      </w:pPr>
      <w:rPr>
        <w:rFonts w:ascii="Wingdings 2" w:hAnsi="Wingdings 2" w:hint="default"/>
      </w:rPr>
    </w:lvl>
    <w:lvl w:ilvl="6" w:tplc="043E2D78" w:tentative="1">
      <w:start w:val="1"/>
      <w:numFmt w:val="bullet"/>
      <w:lvlText w:val=""/>
      <w:lvlJc w:val="left"/>
      <w:pPr>
        <w:tabs>
          <w:tab w:val="num" w:pos="5040"/>
        </w:tabs>
        <w:ind w:left="5040" w:hanging="360"/>
      </w:pPr>
      <w:rPr>
        <w:rFonts w:ascii="Wingdings 2" w:hAnsi="Wingdings 2" w:hint="default"/>
      </w:rPr>
    </w:lvl>
    <w:lvl w:ilvl="7" w:tplc="DBA84492" w:tentative="1">
      <w:start w:val="1"/>
      <w:numFmt w:val="bullet"/>
      <w:lvlText w:val=""/>
      <w:lvlJc w:val="left"/>
      <w:pPr>
        <w:tabs>
          <w:tab w:val="num" w:pos="5760"/>
        </w:tabs>
        <w:ind w:left="5760" w:hanging="360"/>
      </w:pPr>
      <w:rPr>
        <w:rFonts w:ascii="Wingdings 2" w:hAnsi="Wingdings 2" w:hint="default"/>
      </w:rPr>
    </w:lvl>
    <w:lvl w:ilvl="8" w:tplc="2032A0C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27946D3"/>
    <w:multiLevelType w:val="hybridMultilevel"/>
    <w:tmpl w:val="9986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EC0C2C"/>
    <w:multiLevelType w:val="hybridMultilevel"/>
    <w:tmpl w:val="2C1EF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B75276"/>
    <w:multiLevelType w:val="hybridMultilevel"/>
    <w:tmpl w:val="9732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26068"/>
    <w:multiLevelType w:val="hybridMultilevel"/>
    <w:tmpl w:val="969A0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C15D58"/>
    <w:multiLevelType w:val="hybridMultilevel"/>
    <w:tmpl w:val="6EA2A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F92AE0"/>
    <w:multiLevelType w:val="hybridMultilevel"/>
    <w:tmpl w:val="1D908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1C7425"/>
    <w:multiLevelType w:val="hybridMultilevel"/>
    <w:tmpl w:val="1FC2A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6A1C77"/>
    <w:multiLevelType w:val="hybridMultilevel"/>
    <w:tmpl w:val="5E9049EA"/>
    <w:lvl w:ilvl="0" w:tplc="F12EF68E">
      <w:start w:val="1"/>
      <w:numFmt w:val="bullet"/>
      <w:lvlText w:val="•"/>
      <w:lvlJc w:val="left"/>
      <w:pPr>
        <w:tabs>
          <w:tab w:val="num" w:pos="720"/>
        </w:tabs>
        <w:ind w:left="720" w:hanging="360"/>
      </w:pPr>
      <w:rPr>
        <w:rFonts w:ascii="Arial" w:hAnsi="Arial" w:hint="default"/>
      </w:rPr>
    </w:lvl>
    <w:lvl w:ilvl="1" w:tplc="6B0AE7B4" w:tentative="1">
      <w:start w:val="1"/>
      <w:numFmt w:val="bullet"/>
      <w:lvlText w:val="•"/>
      <w:lvlJc w:val="left"/>
      <w:pPr>
        <w:tabs>
          <w:tab w:val="num" w:pos="1440"/>
        </w:tabs>
        <w:ind w:left="1440" w:hanging="360"/>
      </w:pPr>
      <w:rPr>
        <w:rFonts w:ascii="Arial" w:hAnsi="Arial" w:hint="default"/>
      </w:rPr>
    </w:lvl>
    <w:lvl w:ilvl="2" w:tplc="64080126" w:tentative="1">
      <w:start w:val="1"/>
      <w:numFmt w:val="bullet"/>
      <w:lvlText w:val="•"/>
      <w:lvlJc w:val="left"/>
      <w:pPr>
        <w:tabs>
          <w:tab w:val="num" w:pos="2160"/>
        </w:tabs>
        <w:ind w:left="2160" w:hanging="360"/>
      </w:pPr>
      <w:rPr>
        <w:rFonts w:ascii="Arial" w:hAnsi="Arial" w:hint="default"/>
      </w:rPr>
    </w:lvl>
    <w:lvl w:ilvl="3" w:tplc="8AD6D5E6" w:tentative="1">
      <w:start w:val="1"/>
      <w:numFmt w:val="bullet"/>
      <w:lvlText w:val="•"/>
      <w:lvlJc w:val="left"/>
      <w:pPr>
        <w:tabs>
          <w:tab w:val="num" w:pos="2880"/>
        </w:tabs>
        <w:ind w:left="2880" w:hanging="360"/>
      </w:pPr>
      <w:rPr>
        <w:rFonts w:ascii="Arial" w:hAnsi="Arial" w:hint="default"/>
      </w:rPr>
    </w:lvl>
    <w:lvl w:ilvl="4" w:tplc="55761854" w:tentative="1">
      <w:start w:val="1"/>
      <w:numFmt w:val="bullet"/>
      <w:lvlText w:val="•"/>
      <w:lvlJc w:val="left"/>
      <w:pPr>
        <w:tabs>
          <w:tab w:val="num" w:pos="3600"/>
        </w:tabs>
        <w:ind w:left="3600" w:hanging="360"/>
      </w:pPr>
      <w:rPr>
        <w:rFonts w:ascii="Arial" w:hAnsi="Arial" w:hint="default"/>
      </w:rPr>
    </w:lvl>
    <w:lvl w:ilvl="5" w:tplc="C3202684" w:tentative="1">
      <w:start w:val="1"/>
      <w:numFmt w:val="bullet"/>
      <w:lvlText w:val="•"/>
      <w:lvlJc w:val="left"/>
      <w:pPr>
        <w:tabs>
          <w:tab w:val="num" w:pos="4320"/>
        </w:tabs>
        <w:ind w:left="4320" w:hanging="360"/>
      </w:pPr>
      <w:rPr>
        <w:rFonts w:ascii="Arial" w:hAnsi="Arial" w:hint="default"/>
      </w:rPr>
    </w:lvl>
    <w:lvl w:ilvl="6" w:tplc="1C8EFB80" w:tentative="1">
      <w:start w:val="1"/>
      <w:numFmt w:val="bullet"/>
      <w:lvlText w:val="•"/>
      <w:lvlJc w:val="left"/>
      <w:pPr>
        <w:tabs>
          <w:tab w:val="num" w:pos="5040"/>
        </w:tabs>
        <w:ind w:left="5040" w:hanging="360"/>
      </w:pPr>
      <w:rPr>
        <w:rFonts w:ascii="Arial" w:hAnsi="Arial" w:hint="default"/>
      </w:rPr>
    </w:lvl>
    <w:lvl w:ilvl="7" w:tplc="19369B0C" w:tentative="1">
      <w:start w:val="1"/>
      <w:numFmt w:val="bullet"/>
      <w:lvlText w:val="•"/>
      <w:lvlJc w:val="left"/>
      <w:pPr>
        <w:tabs>
          <w:tab w:val="num" w:pos="5760"/>
        </w:tabs>
        <w:ind w:left="5760" w:hanging="360"/>
      </w:pPr>
      <w:rPr>
        <w:rFonts w:ascii="Arial" w:hAnsi="Arial" w:hint="default"/>
      </w:rPr>
    </w:lvl>
    <w:lvl w:ilvl="8" w:tplc="8AE63A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3B75A7"/>
    <w:multiLevelType w:val="hybridMultilevel"/>
    <w:tmpl w:val="9B741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90F12"/>
    <w:multiLevelType w:val="hybridMultilevel"/>
    <w:tmpl w:val="D0362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E644C7"/>
    <w:multiLevelType w:val="hybridMultilevel"/>
    <w:tmpl w:val="C51A26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28D6DE4"/>
    <w:multiLevelType w:val="hybridMultilevel"/>
    <w:tmpl w:val="40AC8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E7491C"/>
    <w:multiLevelType w:val="hybridMultilevel"/>
    <w:tmpl w:val="0A76A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B745DF"/>
    <w:multiLevelType w:val="hybridMultilevel"/>
    <w:tmpl w:val="9FEE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8206B5"/>
    <w:multiLevelType w:val="hybridMultilevel"/>
    <w:tmpl w:val="1AF6A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7EA7441"/>
    <w:multiLevelType w:val="hybridMultilevel"/>
    <w:tmpl w:val="55C4D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872B6C"/>
    <w:multiLevelType w:val="hybridMultilevel"/>
    <w:tmpl w:val="CE926886"/>
    <w:lvl w:ilvl="0" w:tplc="6EAE67B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69B02FD"/>
    <w:multiLevelType w:val="hybridMultilevel"/>
    <w:tmpl w:val="A5568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FC738D"/>
    <w:multiLevelType w:val="hybridMultilevel"/>
    <w:tmpl w:val="6C22D826"/>
    <w:lvl w:ilvl="0" w:tplc="E604AFD4">
      <w:start w:val="1"/>
      <w:numFmt w:val="bullet"/>
      <w:lvlText w:val=""/>
      <w:lvlJc w:val="left"/>
      <w:pPr>
        <w:tabs>
          <w:tab w:val="num" w:pos="720"/>
        </w:tabs>
        <w:ind w:left="720" w:hanging="360"/>
      </w:pPr>
      <w:rPr>
        <w:rFonts w:ascii="Wingdings 2" w:hAnsi="Wingdings 2" w:hint="default"/>
      </w:rPr>
    </w:lvl>
    <w:lvl w:ilvl="1" w:tplc="FD80CC3C" w:tentative="1">
      <w:start w:val="1"/>
      <w:numFmt w:val="bullet"/>
      <w:lvlText w:val=""/>
      <w:lvlJc w:val="left"/>
      <w:pPr>
        <w:tabs>
          <w:tab w:val="num" w:pos="1440"/>
        </w:tabs>
        <w:ind w:left="1440" w:hanging="360"/>
      </w:pPr>
      <w:rPr>
        <w:rFonts w:ascii="Wingdings 2" w:hAnsi="Wingdings 2" w:hint="default"/>
      </w:rPr>
    </w:lvl>
    <w:lvl w:ilvl="2" w:tplc="D610AB66" w:tentative="1">
      <w:start w:val="1"/>
      <w:numFmt w:val="bullet"/>
      <w:lvlText w:val=""/>
      <w:lvlJc w:val="left"/>
      <w:pPr>
        <w:tabs>
          <w:tab w:val="num" w:pos="2160"/>
        </w:tabs>
        <w:ind w:left="2160" w:hanging="360"/>
      </w:pPr>
      <w:rPr>
        <w:rFonts w:ascii="Wingdings 2" w:hAnsi="Wingdings 2" w:hint="default"/>
      </w:rPr>
    </w:lvl>
    <w:lvl w:ilvl="3" w:tplc="FEFA86EA" w:tentative="1">
      <w:start w:val="1"/>
      <w:numFmt w:val="bullet"/>
      <w:lvlText w:val=""/>
      <w:lvlJc w:val="left"/>
      <w:pPr>
        <w:tabs>
          <w:tab w:val="num" w:pos="2880"/>
        </w:tabs>
        <w:ind w:left="2880" w:hanging="360"/>
      </w:pPr>
      <w:rPr>
        <w:rFonts w:ascii="Wingdings 2" w:hAnsi="Wingdings 2" w:hint="default"/>
      </w:rPr>
    </w:lvl>
    <w:lvl w:ilvl="4" w:tplc="6A00E490" w:tentative="1">
      <w:start w:val="1"/>
      <w:numFmt w:val="bullet"/>
      <w:lvlText w:val=""/>
      <w:lvlJc w:val="left"/>
      <w:pPr>
        <w:tabs>
          <w:tab w:val="num" w:pos="3600"/>
        </w:tabs>
        <w:ind w:left="3600" w:hanging="360"/>
      </w:pPr>
      <w:rPr>
        <w:rFonts w:ascii="Wingdings 2" w:hAnsi="Wingdings 2" w:hint="default"/>
      </w:rPr>
    </w:lvl>
    <w:lvl w:ilvl="5" w:tplc="FFE46FC4" w:tentative="1">
      <w:start w:val="1"/>
      <w:numFmt w:val="bullet"/>
      <w:lvlText w:val=""/>
      <w:lvlJc w:val="left"/>
      <w:pPr>
        <w:tabs>
          <w:tab w:val="num" w:pos="4320"/>
        </w:tabs>
        <w:ind w:left="4320" w:hanging="360"/>
      </w:pPr>
      <w:rPr>
        <w:rFonts w:ascii="Wingdings 2" w:hAnsi="Wingdings 2" w:hint="default"/>
      </w:rPr>
    </w:lvl>
    <w:lvl w:ilvl="6" w:tplc="1D860D84" w:tentative="1">
      <w:start w:val="1"/>
      <w:numFmt w:val="bullet"/>
      <w:lvlText w:val=""/>
      <w:lvlJc w:val="left"/>
      <w:pPr>
        <w:tabs>
          <w:tab w:val="num" w:pos="5040"/>
        </w:tabs>
        <w:ind w:left="5040" w:hanging="360"/>
      </w:pPr>
      <w:rPr>
        <w:rFonts w:ascii="Wingdings 2" w:hAnsi="Wingdings 2" w:hint="default"/>
      </w:rPr>
    </w:lvl>
    <w:lvl w:ilvl="7" w:tplc="E3D89B66" w:tentative="1">
      <w:start w:val="1"/>
      <w:numFmt w:val="bullet"/>
      <w:lvlText w:val=""/>
      <w:lvlJc w:val="left"/>
      <w:pPr>
        <w:tabs>
          <w:tab w:val="num" w:pos="5760"/>
        </w:tabs>
        <w:ind w:left="5760" w:hanging="360"/>
      </w:pPr>
      <w:rPr>
        <w:rFonts w:ascii="Wingdings 2" w:hAnsi="Wingdings 2" w:hint="default"/>
      </w:rPr>
    </w:lvl>
    <w:lvl w:ilvl="8" w:tplc="07664D6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C04241E"/>
    <w:multiLevelType w:val="hybridMultilevel"/>
    <w:tmpl w:val="A7063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B774D72"/>
    <w:multiLevelType w:val="hybridMultilevel"/>
    <w:tmpl w:val="94225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121D37"/>
    <w:multiLevelType w:val="hybridMultilevel"/>
    <w:tmpl w:val="208CF580"/>
    <w:lvl w:ilvl="0" w:tplc="913ADD3E">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93135731">
    <w:abstractNumId w:val="30"/>
  </w:num>
  <w:num w:numId="2" w16cid:durableId="23675699">
    <w:abstractNumId w:val="27"/>
  </w:num>
  <w:num w:numId="3" w16cid:durableId="256792974">
    <w:abstractNumId w:val="20"/>
  </w:num>
  <w:num w:numId="4" w16cid:durableId="1249730428">
    <w:abstractNumId w:val="7"/>
  </w:num>
  <w:num w:numId="5" w16cid:durableId="714236447">
    <w:abstractNumId w:val="29"/>
  </w:num>
  <w:num w:numId="6" w16cid:durableId="1789623575">
    <w:abstractNumId w:val="35"/>
  </w:num>
  <w:num w:numId="7" w16cid:durableId="488833860">
    <w:abstractNumId w:val="38"/>
  </w:num>
  <w:num w:numId="8" w16cid:durableId="1515799569">
    <w:abstractNumId w:val="24"/>
  </w:num>
  <w:num w:numId="9" w16cid:durableId="248009487">
    <w:abstractNumId w:val="34"/>
  </w:num>
  <w:num w:numId="10" w16cid:durableId="1628854975">
    <w:abstractNumId w:val="26"/>
  </w:num>
  <w:num w:numId="11" w16cid:durableId="426509084">
    <w:abstractNumId w:val="4"/>
  </w:num>
  <w:num w:numId="12" w16cid:durableId="135538178">
    <w:abstractNumId w:val="13"/>
  </w:num>
  <w:num w:numId="13" w16cid:durableId="271327433">
    <w:abstractNumId w:val="0"/>
  </w:num>
  <w:num w:numId="14" w16cid:durableId="1187714347">
    <w:abstractNumId w:val="11"/>
  </w:num>
  <w:num w:numId="15" w16cid:durableId="1183012299">
    <w:abstractNumId w:val="31"/>
  </w:num>
  <w:num w:numId="16" w16cid:durableId="1001202720">
    <w:abstractNumId w:val="17"/>
  </w:num>
  <w:num w:numId="17" w16cid:durableId="299237923">
    <w:abstractNumId w:val="36"/>
  </w:num>
  <w:num w:numId="18" w16cid:durableId="1488324405">
    <w:abstractNumId w:val="28"/>
  </w:num>
  <w:num w:numId="19" w16cid:durableId="603731073">
    <w:abstractNumId w:val="12"/>
  </w:num>
  <w:num w:numId="20" w16cid:durableId="1645966759">
    <w:abstractNumId w:val="23"/>
  </w:num>
  <w:num w:numId="21" w16cid:durableId="1442795775">
    <w:abstractNumId w:val="3"/>
  </w:num>
  <w:num w:numId="22" w16cid:durableId="293367125">
    <w:abstractNumId w:val="9"/>
  </w:num>
  <w:num w:numId="23" w16cid:durableId="1594586112">
    <w:abstractNumId w:val="10"/>
  </w:num>
  <w:num w:numId="24" w16cid:durableId="752438698">
    <w:abstractNumId w:val="1"/>
  </w:num>
  <w:num w:numId="25" w16cid:durableId="1293440682">
    <w:abstractNumId w:val="2"/>
  </w:num>
  <w:num w:numId="26" w16cid:durableId="185365510">
    <w:abstractNumId w:val="16"/>
  </w:num>
  <w:num w:numId="27" w16cid:durableId="794713194">
    <w:abstractNumId w:val="14"/>
  </w:num>
  <w:num w:numId="28" w16cid:durableId="185756871">
    <w:abstractNumId w:val="18"/>
  </w:num>
  <w:num w:numId="29" w16cid:durableId="289559597">
    <w:abstractNumId w:val="37"/>
  </w:num>
  <w:num w:numId="30" w16cid:durableId="1675650151">
    <w:abstractNumId w:val="33"/>
  </w:num>
  <w:num w:numId="31" w16cid:durableId="1258977224">
    <w:abstractNumId w:val="25"/>
  </w:num>
  <w:num w:numId="32" w16cid:durableId="1348604615">
    <w:abstractNumId w:val="21"/>
  </w:num>
  <w:num w:numId="33" w16cid:durableId="8719345">
    <w:abstractNumId w:val="5"/>
  </w:num>
  <w:num w:numId="34" w16cid:durableId="95831263">
    <w:abstractNumId w:val="22"/>
  </w:num>
  <w:num w:numId="35" w16cid:durableId="2126846599">
    <w:abstractNumId w:val="15"/>
  </w:num>
  <w:num w:numId="36" w16cid:durableId="1594699178">
    <w:abstractNumId w:val="6"/>
  </w:num>
  <w:num w:numId="37" w16cid:durableId="1560510226">
    <w:abstractNumId w:val="19"/>
  </w:num>
  <w:num w:numId="38" w16cid:durableId="597905361">
    <w:abstractNumId w:val="32"/>
  </w:num>
  <w:num w:numId="39" w16cid:durableId="19303053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576"/>
    <w:rsid w:val="00003885"/>
    <w:rsid w:val="00015A66"/>
    <w:rsid w:val="000202B8"/>
    <w:rsid w:val="00024018"/>
    <w:rsid w:val="00056DF6"/>
    <w:rsid w:val="0005780E"/>
    <w:rsid w:val="00065CC6"/>
    <w:rsid w:val="00075061"/>
    <w:rsid w:val="00090D46"/>
    <w:rsid w:val="000A11B9"/>
    <w:rsid w:val="000A254D"/>
    <w:rsid w:val="000A33D3"/>
    <w:rsid w:val="000A71F7"/>
    <w:rsid w:val="000C1E18"/>
    <w:rsid w:val="000E0D77"/>
    <w:rsid w:val="000F09E4"/>
    <w:rsid w:val="000F16FD"/>
    <w:rsid w:val="000F5AAF"/>
    <w:rsid w:val="001173F0"/>
    <w:rsid w:val="00120DB9"/>
    <w:rsid w:val="00143520"/>
    <w:rsid w:val="00151574"/>
    <w:rsid w:val="00153205"/>
    <w:rsid w:val="00153AD2"/>
    <w:rsid w:val="001563CD"/>
    <w:rsid w:val="00165530"/>
    <w:rsid w:val="00171B2A"/>
    <w:rsid w:val="001779EA"/>
    <w:rsid w:val="00182027"/>
    <w:rsid w:val="00184297"/>
    <w:rsid w:val="00185CDF"/>
    <w:rsid w:val="001A1758"/>
    <w:rsid w:val="001A20D3"/>
    <w:rsid w:val="001A3514"/>
    <w:rsid w:val="001C28F0"/>
    <w:rsid w:val="001C3ED8"/>
    <w:rsid w:val="001C3EEA"/>
    <w:rsid w:val="001D3246"/>
    <w:rsid w:val="001D6D72"/>
    <w:rsid w:val="001E438C"/>
    <w:rsid w:val="001E7E66"/>
    <w:rsid w:val="00204E86"/>
    <w:rsid w:val="002076D3"/>
    <w:rsid w:val="002165E2"/>
    <w:rsid w:val="002279BA"/>
    <w:rsid w:val="002329F3"/>
    <w:rsid w:val="002400D4"/>
    <w:rsid w:val="00243F0D"/>
    <w:rsid w:val="00260767"/>
    <w:rsid w:val="002647BB"/>
    <w:rsid w:val="002708C6"/>
    <w:rsid w:val="00272551"/>
    <w:rsid w:val="002754C1"/>
    <w:rsid w:val="002841C8"/>
    <w:rsid w:val="002843A0"/>
    <w:rsid w:val="0028516B"/>
    <w:rsid w:val="0028774E"/>
    <w:rsid w:val="002879FB"/>
    <w:rsid w:val="00291C52"/>
    <w:rsid w:val="002B254A"/>
    <w:rsid w:val="002C6434"/>
    <w:rsid w:val="002C6F90"/>
    <w:rsid w:val="002D187F"/>
    <w:rsid w:val="002E4FB5"/>
    <w:rsid w:val="002F3693"/>
    <w:rsid w:val="00301126"/>
    <w:rsid w:val="00302FB8"/>
    <w:rsid w:val="00304EA1"/>
    <w:rsid w:val="00314D81"/>
    <w:rsid w:val="00322FC6"/>
    <w:rsid w:val="00332686"/>
    <w:rsid w:val="00342D9A"/>
    <w:rsid w:val="00350651"/>
    <w:rsid w:val="0035293F"/>
    <w:rsid w:val="00353BB7"/>
    <w:rsid w:val="0035476B"/>
    <w:rsid w:val="00385147"/>
    <w:rsid w:val="0038644E"/>
    <w:rsid w:val="00391936"/>
    <w:rsid w:val="00391986"/>
    <w:rsid w:val="003A00B4"/>
    <w:rsid w:val="003B2257"/>
    <w:rsid w:val="003B2C5D"/>
    <w:rsid w:val="003C5E71"/>
    <w:rsid w:val="003C6C6D"/>
    <w:rsid w:val="003D6CBD"/>
    <w:rsid w:val="003E0D9F"/>
    <w:rsid w:val="003E4CF7"/>
    <w:rsid w:val="003F2636"/>
    <w:rsid w:val="003F7A7A"/>
    <w:rsid w:val="00400537"/>
    <w:rsid w:val="00417AA3"/>
    <w:rsid w:val="00425DFE"/>
    <w:rsid w:val="00434EDB"/>
    <w:rsid w:val="00440B32"/>
    <w:rsid w:val="0044213C"/>
    <w:rsid w:val="0046078D"/>
    <w:rsid w:val="00463C8D"/>
    <w:rsid w:val="00473322"/>
    <w:rsid w:val="00490893"/>
    <w:rsid w:val="00493A67"/>
    <w:rsid w:val="00495C80"/>
    <w:rsid w:val="004A2ED8"/>
    <w:rsid w:val="004B2746"/>
    <w:rsid w:val="004B3CDC"/>
    <w:rsid w:val="004D68AC"/>
    <w:rsid w:val="004F5BDA"/>
    <w:rsid w:val="0051631E"/>
    <w:rsid w:val="00521EBA"/>
    <w:rsid w:val="00537A1F"/>
    <w:rsid w:val="005409A5"/>
    <w:rsid w:val="005570CF"/>
    <w:rsid w:val="00564C4D"/>
    <w:rsid w:val="00566029"/>
    <w:rsid w:val="00582DBC"/>
    <w:rsid w:val="00590856"/>
    <w:rsid w:val="005923CB"/>
    <w:rsid w:val="00594ACE"/>
    <w:rsid w:val="005B391B"/>
    <w:rsid w:val="005B7625"/>
    <w:rsid w:val="005B77B3"/>
    <w:rsid w:val="005C0EDE"/>
    <w:rsid w:val="005D3D78"/>
    <w:rsid w:val="005E2EF0"/>
    <w:rsid w:val="005E655C"/>
    <w:rsid w:val="005F0A7E"/>
    <w:rsid w:val="005F4092"/>
    <w:rsid w:val="00606920"/>
    <w:rsid w:val="0061177F"/>
    <w:rsid w:val="006133D8"/>
    <w:rsid w:val="00627E88"/>
    <w:rsid w:val="00630204"/>
    <w:rsid w:val="006532E1"/>
    <w:rsid w:val="006663C6"/>
    <w:rsid w:val="00673008"/>
    <w:rsid w:val="0068471E"/>
    <w:rsid w:val="00684F98"/>
    <w:rsid w:val="00693FFD"/>
    <w:rsid w:val="006B69AE"/>
    <w:rsid w:val="006B6D14"/>
    <w:rsid w:val="006C396C"/>
    <w:rsid w:val="006C3DFF"/>
    <w:rsid w:val="006D2159"/>
    <w:rsid w:val="006D7D46"/>
    <w:rsid w:val="006F787C"/>
    <w:rsid w:val="00702636"/>
    <w:rsid w:val="00703AA1"/>
    <w:rsid w:val="00724507"/>
    <w:rsid w:val="00747109"/>
    <w:rsid w:val="007504A3"/>
    <w:rsid w:val="00773E6C"/>
    <w:rsid w:val="00781FB1"/>
    <w:rsid w:val="007A0725"/>
    <w:rsid w:val="007A4B91"/>
    <w:rsid w:val="007B1A3A"/>
    <w:rsid w:val="007B3BF2"/>
    <w:rsid w:val="007C0650"/>
    <w:rsid w:val="007C468A"/>
    <w:rsid w:val="007C600D"/>
    <w:rsid w:val="007D1B6D"/>
    <w:rsid w:val="007D6A9B"/>
    <w:rsid w:val="007E13BB"/>
    <w:rsid w:val="00813C37"/>
    <w:rsid w:val="008154B5"/>
    <w:rsid w:val="008205AE"/>
    <w:rsid w:val="00823962"/>
    <w:rsid w:val="00833750"/>
    <w:rsid w:val="00834A47"/>
    <w:rsid w:val="00840492"/>
    <w:rsid w:val="008428B1"/>
    <w:rsid w:val="00845726"/>
    <w:rsid w:val="008468E3"/>
    <w:rsid w:val="00850410"/>
    <w:rsid w:val="00852719"/>
    <w:rsid w:val="00860115"/>
    <w:rsid w:val="0088783C"/>
    <w:rsid w:val="008965FF"/>
    <w:rsid w:val="008A129D"/>
    <w:rsid w:val="008B0816"/>
    <w:rsid w:val="008B4A40"/>
    <w:rsid w:val="008C6A2F"/>
    <w:rsid w:val="008F69AA"/>
    <w:rsid w:val="008F72DA"/>
    <w:rsid w:val="0091501D"/>
    <w:rsid w:val="00915FFD"/>
    <w:rsid w:val="00917526"/>
    <w:rsid w:val="00920182"/>
    <w:rsid w:val="0092221C"/>
    <w:rsid w:val="00930220"/>
    <w:rsid w:val="0093656E"/>
    <w:rsid w:val="009370BC"/>
    <w:rsid w:val="009403B9"/>
    <w:rsid w:val="00943F82"/>
    <w:rsid w:val="009467BF"/>
    <w:rsid w:val="00970580"/>
    <w:rsid w:val="0098739B"/>
    <w:rsid w:val="009906B5"/>
    <w:rsid w:val="009A117F"/>
    <w:rsid w:val="009B120D"/>
    <w:rsid w:val="009B1CF9"/>
    <w:rsid w:val="009B61E5"/>
    <w:rsid w:val="009B726D"/>
    <w:rsid w:val="009D0E9E"/>
    <w:rsid w:val="009D1E89"/>
    <w:rsid w:val="009E5707"/>
    <w:rsid w:val="009F3BCB"/>
    <w:rsid w:val="009F633D"/>
    <w:rsid w:val="009F646C"/>
    <w:rsid w:val="00A11ABF"/>
    <w:rsid w:val="00A17661"/>
    <w:rsid w:val="00A22EB4"/>
    <w:rsid w:val="00A24B2D"/>
    <w:rsid w:val="00A275F5"/>
    <w:rsid w:val="00A35212"/>
    <w:rsid w:val="00A35F22"/>
    <w:rsid w:val="00A35FB2"/>
    <w:rsid w:val="00A40966"/>
    <w:rsid w:val="00A43E1C"/>
    <w:rsid w:val="00A555AC"/>
    <w:rsid w:val="00A62F9F"/>
    <w:rsid w:val="00A708BF"/>
    <w:rsid w:val="00A843CF"/>
    <w:rsid w:val="00A921E0"/>
    <w:rsid w:val="00A922F4"/>
    <w:rsid w:val="00A92858"/>
    <w:rsid w:val="00AA239E"/>
    <w:rsid w:val="00AA388B"/>
    <w:rsid w:val="00AD72A8"/>
    <w:rsid w:val="00AE239C"/>
    <w:rsid w:val="00AE5526"/>
    <w:rsid w:val="00AF051B"/>
    <w:rsid w:val="00AF0F4F"/>
    <w:rsid w:val="00AF57B4"/>
    <w:rsid w:val="00B01578"/>
    <w:rsid w:val="00B03843"/>
    <w:rsid w:val="00B04155"/>
    <w:rsid w:val="00B063AD"/>
    <w:rsid w:val="00B063B6"/>
    <w:rsid w:val="00B0738F"/>
    <w:rsid w:val="00B13D3B"/>
    <w:rsid w:val="00B14410"/>
    <w:rsid w:val="00B20ABD"/>
    <w:rsid w:val="00B22B10"/>
    <w:rsid w:val="00B230DB"/>
    <w:rsid w:val="00B25416"/>
    <w:rsid w:val="00B26601"/>
    <w:rsid w:val="00B32830"/>
    <w:rsid w:val="00B41951"/>
    <w:rsid w:val="00B51618"/>
    <w:rsid w:val="00B53229"/>
    <w:rsid w:val="00B5443D"/>
    <w:rsid w:val="00B62480"/>
    <w:rsid w:val="00B717F4"/>
    <w:rsid w:val="00B81B70"/>
    <w:rsid w:val="00B942C4"/>
    <w:rsid w:val="00BA147C"/>
    <w:rsid w:val="00BB2BB7"/>
    <w:rsid w:val="00BB3BAB"/>
    <w:rsid w:val="00BB5DBD"/>
    <w:rsid w:val="00BC0001"/>
    <w:rsid w:val="00BC4697"/>
    <w:rsid w:val="00BD0724"/>
    <w:rsid w:val="00BD2B91"/>
    <w:rsid w:val="00BD3CF3"/>
    <w:rsid w:val="00BE3B89"/>
    <w:rsid w:val="00BE5521"/>
    <w:rsid w:val="00BF0BBA"/>
    <w:rsid w:val="00BF6C23"/>
    <w:rsid w:val="00C1102E"/>
    <w:rsid w:val="00C24FA4"/>
    <w:rsid w:val="00C252A7"/>
    <w:rsid w:val="00C308F3"/>
    <w:rsid w:val="00C35203"/>
    <w:rsid w:val="00C43216"/>
    <w:rsid w:val="00C43434"/>
    <w:rsid w:val="00C46509"/>
    <w:rsid w:val="00C4725B"/>
    <w:rsid w:val="00C521D3"/>
    <w:rsid w:val="00C53263"/>
    <w:rsid w:val="00C56C18"/>
    <w:rsid w:val="00C75F1D"/>
    <w:rsid w:val="00C95156"/>
    <w:rsid w:val="00CA0DC2"/>
    <w:rsid w:val="00CB68E8"/>
    <w:rsid w:val="00CB781D"/>
    <w:rsid w:val="00CC14BA"/>
    <w:rsid w:val="00CD744B"/>
    <w:rsid w:val="00CE3B00"/>
    <w:rsid w:val="00D04F01"/>
    <w:rsid w:val="00D06414"/>
    <w:rsid w:val="00D10AA4"/>
    <w:rsid w:val="00D10EF7"/>
    <w:rsid w:val="00D20ED9"/>
    <w:rsid w:val="00D24E5A"/>
    <w:rsid w:val="00D338E4"/>
    <w:rsid w:val="00D450E1"/>
    <w:rsid w:val="00D51947"/>
    <w:rsid w:val="00D51D0D"/>
    <w:rsid w:val="00D5288C"/>
    <w:rsid w:val="00D532F0"/>
    <w:rsid w:val="00D54642"/>
    <w:rsid w:val="00D56E0F"/>
    <w:rsid w:val="00D57282"/>
    <w:rsid w:val="00D76216"/>
    <w:rsid w:val="00D77413"/>
    <w:rsid w:val="00D8073E"/>
    <w:rsid w:val="00D81C70"/>
    <w:rsid w:val="00D82759"/>
    <w:rsid w:val="00D86DE4"/>
    <w:rsid w:val="00D971E4"/>
    <w:rsid w:val="00DA5EAC"/>
    <w:rsid w:val="00DD3679"/>
    <w:rsid w:val="00DE1909"/>
    <w:rsid w:val="00DE51DB"/>
    <w:rsid w:val="00DF4A82"/>
    <w:rsid w:val="00E00FF0"/>
    <w:rsid w:val="00E0427A"/>
    <w:rsid w:val="00E2090E"/>
    <w:rsid w:val="00E23F1D"/>
    <w:rsid w:val="00E24216"/>
    <w:rsid w:val="00E2545C"/>
    <w:rsid w:val="00E25D3E"/>
    <w:rsid w:val="00E30E05"/>
    <w:rsid w:val="00E33815"/>
    <w:rsid w:val="00E35622"/>
    <w:rsid w:val="00E36361"/>
    <w:rsid w:val="00E55AE9"/>
    <w:rsid w:val="00E60BA1"/>
    <w:rsid w:val="00E6782C"/>
    <w:rsid w:val="00E804B4"/>
    <w:rsid w:val="00E903B4"/>
    <w:rsid w:val="00EB0C84"/>
    <w:rsid w:val="00EB2489"/>
    <w:rsid w:val="00EB267F"/>
    <w:rsid w:val="00EC3A08"/>
    <w:rsid w:val="00ED18B8"/>
    <w:rsid w:val="00ED1D7A"/>
    <w:rsid w:val="00EF1172"/>
    <w:rsid w:val="00EF4188"/>
    <w:rsid w:val="00F025BB"/>
    <w:rsid w:val="00F06317"/>
    <w:rsid w:val="00F071B8"/>
    <w:rsid w:val="00F1508A"/>
    <w:rsid w:val="00F17FDE"/>
    <w:rsid w:val="00F24A9A"/>
    <w:rsid w:val="00F40D53"/>
    <w:rsid w:val="00F437C1"/>
    <w:rsid w:val="00F44AFA"/>
    <w:rsid w:val="00F4525C"/>
    <w:rsid w:val="00F50D86"/>
    <w:rsid w:val="00F8149F"/>
    <w:rsid w:val="00FA36B9"/>
    <w:rsid w:val="00FA5D86"/>
    <w:rsid w:val="00FD29D3"/>
    <w:rsid w:val="00FE3F0B"/>
    <w:rsid w:val="00FF58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B942C4"/>
    <w:pPr>
      <w:numPr>
        <w:numId w:val="1"/>
      </w:numPr>
      <w:tabs>
        <w:tab w:val="left" w:pos="425"/>
      </w:tabs>
      <w:spacing w:before="60" w:after="60"/>
      <w:ind w:left="432" w:hanging="432"/>
      <w:contextualSpacing/>
    </w:pPr>
    <w:rPr>
      <w:rFonts w:eastAsia="Arial"/>
      <w:iCs/>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ListParagraphChar">
    <w:name w:val="List Paragraph Char"/>
    <w:link w:val="ListParagraph"/>
    <w:uiPriority w:val="34"/>
    <w:locked/>
    <w:rsid w:val="00834A47"/>
    <w:rPr>
      <w:rFonts w:ascii="Calibri" w:hAnsi="Calibri"/>
      <w:szCs w:val="24"/>
    </w:rPr>
  </w:style>
  <w:style w:type="paragraph" w:styleId="ListParagraph">
    <w:name w:val="List Paragraph"/>
    <w:basedOn w:val="Normal"/>
    <w:link w:val="ListParagraphChar"/>
    <w:uiPriority w:val="34"/>
    <w:qFormat/>
    <w:rsid w:val="00834A47"/>
    <w:pPr>
      <w:spacing w:after="0" w:line="240" w:lineRule="auto"/>
      <w:ind w:left="720"/>
      <w:contextualSpacing/>
    </w:pPr>
    <w:rPr>
      <w:rFonts w:ascii="Calibri" w:hAnsi="Calibri"/>
      <w:szCs w:val="24"/>
    </w:rPr>
  </w:style>
  <w:style w:type="paragraph" w:customStyle="1" w:styleId="Default">
    <w:name w:val="Default"/>
    <w:rsid w:val="006B69AE"/>
    <w:pPr>
      <w:autoSpaceDE w:val="0"/>
      <w:autoSpaceDN w:val="0"/>
      <w:adjustRightInd w:val="0"/>
      <w:spacing w:after="0" w:line="240" w:lineRule="auto"/>
    </w:pPr>
    <w:rPr>
      <w:rFonts w:ascii="Arial" w:hAnsi="Arial" w:cs="Arial"/>
      <w:color w:val="000000"/>
      <w:sz w:val="24"/>
      <w:szCs w:val="24"/>
      <w:lang w:val="en-AU"/>
    </w:rPr>
  </w:style>
  <w:style w:type="character" w:customStyle="1" w:styleId="qowt-stl-vcaabold">
    <w:name w:val="qowt-stl-vcaabold"/>
    <w:basedOn w:val="DefaultParagraphFont"/>
    <w:rsid w:val="009B726D"/>
  </w:style>
  <w:style w:type="character" w:customStyle="1" w:styleId="qowt-stl-vcaaitalics">
    <w:name w:val="qowt-stl-vcaaitalics"/>
    <w:basedOn w:val="DefaultParagraphFont"/>
    <w:rsid w:val="009B726D"/>
  </w:style>
  <w:style w:type="paragraph" w:styleId="Revision">
    <w:name w:val="Revision"/>
    <w:hidden/>
    <w:uiPriority w:val="99"/>
    <w:semiHidden/>
    <w:rsid w:val="00D76216"/>
    <w:pPr>
      <w:spacing w:after="0" w:line="240" w:lineRule="auto"/>
    </w:pPr>
  </w:style>
  <w:style w:type="character" w:customStyle="1" w:styleId="UnresolvedMention1">
    <w:name w:val="Unresolved Mention1"/>
    <w:basedOn w:val="DefaultParagraphFont"/>
    <w:uiPriority w:val="99"/>
    <w:semiHidden/>
    <w:unhideWhenUsed/>
    <w:rsid w:val="00FA3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0827">
      <w:bodyDiv w:val="1"/>
      <w:marLeft w:val="0"/>
      <w:marRight w:val="0"/>
      <w:marTop w:val="0"/>
      <w:marBottom w:val="0"/>
      <w:divBdr>
        <w:top w:val="none" w:sz="0" w:space="0" w:color="auto"/>
        <w:left w:val="none" w:sz="0" w:space="0" w:color="auto"/>
        <w:bottom w:val="none" w:sz="0" w:space="0" w:color="auto"/>
        <w:right w:val="none" w:sz="0" w:space="0" w:color="auto"/>
      </w:divBdr>
    </w:div>
    <w:div w:id="269361734">
      <w:bodyDiv w:val="1"/>
      <w:marLeft w:val="0"/>
      <w:marRight w:val="0"/>
      <w:marTop w:val="0"/>
      <w:marBottom w:val="0"/>
      <w:divBdr>
        <w:top w:val="none" w:sz="0" w:space="0" w:color="auto"/>
        <w:left w:val="none" w:sz="0" w:space="0" w:color="auto"/>
        <w:bottom w:val="none" w:sz="0" w:space="0" w:color="auto"/>
        <w:right w:val="none" w:sz="0" w:space="0" w:color="auto"/>
      </w:divBdr>
    </w:div>
    <w:div w:id="291402850">
      <w:bodyDiv w:val="1"/>
      <w:marLeft w:val="0"/>
      <w:marRight w:val="0"/>
      <w:marTop w:val="0"/>
      <w:marBottom w:val="0"/>
      <w:divBdr>
        <w:top w:val="none" w:sz="0" w:space="0" w:color="auto"/>
        <w:left w:val="none" w:sz="0" w:space="0" w:color="auto"/>
        <w:bottom w:val="none" w:sz="0" w:space="0" w:color="auto"/>
        <w:right w:val="none" w:sz="0" w:space="0" w:color="auto"/>
      </w:divBdr>
      <w:divsChild>
        <w:div w:id="1051080742">
          <w:marLeft w:val="547"/>
          <w:marRight w:val="0"/>
          <w:marTop w:val="106"/>
          <w:marBottom w:val="0"/>
          <w:divBdr>
            <w:top w:val="none" w:sz="0" w:space="0" w:color="auto"/>
            <w:left w:val="none" w:sz="0" w:space="0" w:color="auto"/>
            <w:bottom w:val="none" w:sz="0" w:space="0" w:color="auto"/>
            <w:right w:val="none" w:sz="0" w:space="0" w:color="auto"/>
          </w:divBdr>
        </w:div>
      </w:divsChild>
    </w:div>
    <w:div w:id="355085481">
      <w:bodyDiv w:val="1"/>
      <w:marLeft w:val="0"/>
      <w:marRight w:val="0"/>
      <w:marTop w:val="0"/>
      <w:marBottom w:val="0"/>
      <w:divBdr>
        <w:top w:val="none" w:sz="0" w:space="0" w:color="auto"/>
        <w:left w:val="none" w:sz="0" w:space="0" w:color="auto"/>
        <w:bottom w:val="none" w:sz="0" w:space="0" w:color="auto"/>
        <w:right w:val="none" w:sz="0" w:space="0" w:color="auto"/>
      </w:divBdr>
    </w:div>
    <w:div w:id="513692754">
      <w:bodyDiv w:val="1"/>
      <w:marLeft w:val="0"/>
      <w:marRight w:val="0"/>
      <w:marTop w:val="0"/>
      <w:marBottom w:val="0"/>
      <w:divBdr>
        <w:top w:val="none" w:sz="0" w:space="0" w:color="auto"/>
        <w:left w:val="none" w:sz="0" w:space="0" w:color="auto"/>
        <w:bottom w:val="none" w:sz="0" w:space="0" w:color="auto"/>
        <w:right w:val="none" w:sz="0" w:space="0" w:color="auto"/>
      </w:divBdr>
    </w:div>
    <w:div w:id="571237853">
      <w:bodyDiv w:val="1"/>
      <w:marLeft w:val="0"/>
      <w:marRight w:val="0"/>
      <w:marTop w:val="0"/>
      <w:marBottom w:val="0"/>
      <w:divBdr>
        <w:top w:val="none" w:sz="0" w:space="0" w:color="auto"/>
        <w:left w:val="none" w:sz="0" w:space="0" w:color="auto"/>
        <w:bottom w:val="none" w:sz="0" w:space="0" w:color="auto"/>
        <w:right w:val="none" w:sz="0" w:space="0" w:color="auto"/>
      </w:divBdr>
    </w:div>
    <w:div w:id="624233865">
      <w:bodyDiv w:val="1"/>
      <w:marLeft w:val="0"/>
      <w:marRight w:val="0"/>
      <w:marTop w:val="0"/>
      <w:marBottom w:val="0"/>
      <w:divBdr>
        <w:top w:val="none" w:sz="0" w:space="0" w:color="auto"/>
        <w:left w:val="none" w:sz="0" w:space="0" w:color="auto"/>
        <w:bottom w:val="none" w:sz="0" w:space="0" w:color="auto"/>
        <w:right w:val="none" w:sz="0" w:space="0" w:color="auto"/>
      </w:divBdr>
    </w:div>
    <w:div w:id="799760877">
      <w:bodyDiv w:val="1"/>
      <w:marLeft w:val="0"/>
      <w:marRight w:val="0"/>
      <w:marTop w:val="0"/>
      <w:marBottom w:val="0"/>
      <w:divBdr>
        <w:top w:val="none" w:sz="0" w:space="0" w:color="auto"/>
        <w:left w:val="none" w:sz="0" w:space="0" w:color="auto"/>
        <w:bottom w:val="none" w:sz="0" w:space="0" w:color="auto"/>
        <w:right w:val="none" w:sz="0" w:space="0" w:color="auto"/>
      </w:divBdr>
      <w:divsChild>
        <w:div w:id="75833981">
          <w:marLeft w:val="288"/>
          <w:marRight w:val="0"/>
          <w:marTop w:val="240"/>
          <w:marBottom w:val="0"/>
          <w:divBdr>
            <w:top w:val="none" w:sz="0" w:space="0" w:color="auto"/>
            <w:left w:val="none" w:sz="0" w:space="0" w:color="auto"/>
            <w:bottom w:val="none" w:sz="0" w:space="0" w:color="auto"/>
            <w:right w:val="none" w:sz="0" w:space="0" w:color="auto"/>
          </w:divBdr>
        </w:div>
      </w:divsChild>
    </w:div>
    <w:div w:id="803625318">
      <w:bodyDiv w:val="1"/>
      <w:marLeft w:val="0"/>
      <w:marRight w:val="0"/>
      <w:marTop w:val="0"/>
      <w:marBottom w:val="0"/>
      <w:divBdr>
        <w:top w:val="none" w:sz="0" w:space="0" w:color="auto"/>
        <w:left w:val="none" w:sz="0" w:space="0" w:color="auto"/>
        <w:bottom w:val="none" w:sz="0" w:space="0" w:color="auto"/>
        <w:right w:val="none" w:sz="0" w:space="0" w:color="auto"/>
      </w:divBdr>
    </w:div>
    <w:div w:id="804347704">
      <w:bodyDiv w:val="1"/>
      <w:marLeft w:val="0"/>
      <w:marRight w:val="0"/>
      <w:marTop w:val="0"/>
      <w:marBottom w:val="0"/>
      <w:divBdr>
        <w:top w:val="none" w:sz="0" w:space="0" w:color="auto"/>
        <w:left w:val="none" w:sz="0" w:space="0" w:color="auto"/>
        <w:bottom w:val="none" w:sz="0" w:space="0" w:color="auto"/>
        <w:right w:val="none" w:sz="0" w:space="0" w:color="auto"/>
      </w:divBdr>
      <w:divsChild>
        <w:div w:id="113257165">
          <w:marLeft w:val="288"/>
          <w:marRight w:val="0"/>
          <w:marTop w:val="240"/>
          <w:marBottom w:val="0"/>
          <w:divBdr>
            <w:top w:val="none" w:sz="0" w:space="0" w:color="auto"/>
            <w:left w:val="none" w:sz="0" w:space="0" w:color="auto"/>
            <w:bottom w:val="none" w:sz="0" w:space="0" w:color="auto"/>
            <w:right w:val="none" w:sz="0" w:space="0" w:color="auto"/>
          </w:divBdr>
        </w:div>
        <w:div w:id="1354455394">
          <w:marLeft w:val="288"/>
          <w:marRight w:val="0"/>
          <w:marTop w:val="240"/>
          <w:marBottom w:val="0"/>
          <w:divBdr>
            <w:top w:val="none" w:sz="0" w:space="0" w:color="auto"/>
            <w:left w:val="none" w:sz="0" w:space="0" w:color="auto"/>
            <w:bottom w:val="none" w:sz="0" w:space="0" w:color="auto"/>
            <w:right w:val="none" w:sz="0" w:space="0" w:color="auto"/>
          </w:divBdr>
        </w:div>
      </w:divsChild>
    </w:div>
    <w:div w:id="853570177">
      <w:bodyDiv w:val="1"/>
      <w:marLeft w:val="0"/>
      <w:marRight w:val="0"/>
      <w:marTop w:val="0"/>
      <w:marBottom w:val="0"/>
      <w:divBdr>
        <w:top w:val="none" w:sz="0" w:space="0" w:color="auto"/>
        <w:left w:val="none" w:sz="0" w:space="0" w:color="auto"/>
        <w:bottom w:val="none" w:sz="0" w:space="0" w:color="auto"/>
        <w:right w:val="none" w:sz="0" w:space="0" w:color="auto"/>
      </w:divBdr>
    </w:div>
    <w:div w:id="883907970">
      <w:bodyDiv w:val="1"/>
      <w:marLeft w:val="0"/>
      <w:marRight w:val="0"/>
      <w:marTop w:val="0"/>
      <w:marBottom w:val="0"/>
      <w:divBdr>
        <w:top w:val="none" w:sz="0" w:space="0" w:color="auto"/>
        <w:left w:val="none" w:sz="0" w:space="0" w:color="auto"/>
        <w:bottom w:val="none" w:sz="0" w:space="0" w:color="auto"/>
        <w:right w:val="none" w:sz="0" w:space="0" w:color="auto"/>
      </w:divBdr>
    </w:div>
    <w:div w:id="900485073">
      <w:bodyDiv w:val="1"/>
      <w:marLeft w:val="0"/>
      <w:marRight w:val="0"/>
      <w:marTop w:val="0"/>
      <w:marBottom w:val="0"/>
      <w:divBdr>
        <w:top w:val="none" w:sz="0" w:space="0" w:color="auto"/>
        <w:left w:val="none" w:sz="0" w:space="0" w:color="auto"/>
        <w:bottom w:val="none" w:sz="0" w:space="0" w:color="auto"/>
        <w:right w:val="none" w:sz="0" w:space="0" w:color="auto"/>
      </w:divBdr>
    </w:div>
    <w:div w:id="926116428">
      <w:bodyDiv w:val="1"/>
      <w:marLeft w:val="0"/>
      <w:marRight w:val="0"/>
      <w:marTop w:val="0"/>
      <w:marBottom w:val="0"/>
      <w:divBdr>
        <w:top w:val="none" w:sz="0" w:space="0" w:color="auto"/>
        <w:left w:val="none" w:sz="0" w:space="0" w:color="auto"/>
        <w:bottom w:val="none" w:sz="0" w:space="0" w:color="auto"/>
        <w:right w:val="none" w:sz="0" w:space="0" w:color="auto"/>
      </w:divBdr>
    </w:div>
    <w:div w:id="1533156138">
      <w:bodyDiv w:val="1"/>
      <w:marLeft w:val="0"/>
      <w:marRight w:val="0"/>
      <w:marTop w:val="0"/>
      <w:marBottom w:val="0"/>
      <w:divBdr>
        <w:top w:val="none" w:sz="0" w:space="0" w:color="auto"/>
        <w:left w:val="none" w:sz="0" w:space="0" w:color="auto"/>
        <w:bottom w:val="none" w:sz="0" w:space="0" w:color="auto"/>
        <w:right w:val="none" w:sz="0" w:space="0" w:color="auto"/>
      </w:divBdr>
    </w:div>
    <w:div w:id="1550339400">
      <w:bodyDiv w:val="1"/>
      <w:marLeft w:val="0"/>
      <w:marRight w:val="0"/>
      <w:marTop w:val="0"/>
      <w:marBottom w:val="0"/>
      <w:divBdr>
        <w:top w:val="none" w:sz="0" w:space="0" w:color="auto"/>
        <w:left w:val="none" w:sz="0" w:space="0" w:color="auto"/>
        <w:bottom w:val="none" w:sz="0" w:space="0" w:color="auto"/>
        <w:right w:val="none" w:sz="0" w:space="0" w:color="auto"/>
      </w:divBdr>
    </w:div>
    <w:div w:id="1706251573">
      <w:bodyDiv w:val="1"/>
      <w:marLeft w:val="0"/>
      <w:marRight w:val="0"/>
      <w:marTop w:val="0"/>
      <w:marBottom w:val="0"/>
      <w:divBdr>
        <w:top w:val="none" w:sz="0" w:space="0" w:color="auto"/>
        <w:left w:val="none" w:sz="0" w:space="0" w:color="auto"/>
        <w:bottom w:val="none" w:sz="0" w:space="0" w:color="auto"/>
        <w:right w:val="none" w:sz="0" w:space="0" w:color="auto"/>
      </w:divBdr>
    </w:div>
    <w:div w:id="1779137813">
      <w:bodyDiv w:val="1"/>
      <w:marLeft w:val="0"/>
      <w:marRight w:val="0"/>
      <w:marTop w:val="0"/>
      <w:marBottom w:val="0"/>
      <w:divBdr>
        <w:top w:val="none" w:sz="0" w:space="0" w:color="auto"/>
        <w:left w:val="none" w:sz="0" w:space="0" w:color="auto"/>
        <w:bottom w:val="none" w:sz="0" w:space="0" w:color="auto"/>
        <w:right w:val="none" w:sz="0" w:space="0" w:color="auto"/>
      </w:divBdr>
    </w:div>
    <w:div w:id="1861043678">
      <w:bodyDiv w:val="1"/>
      <w:marLeft w:val="0"/>
      <w:marRight w:val="0"/>
      <w:marTop w:val="0"/>
      <w:marBottom w:val="0"/>
      <w:divBdr>
        <w:top w:val="none" w:sz="0" w:space="0" w:color="auto"/>
        <w:left w:val="none" w:sz="0" w:space="0" w:color="auto"/>
        <w:bottom w:val="none" w:sz="0" w:space="0" w:color="auto"/>
        <w:right w:val="none" w:sz="0" w:space="0" w:color="auto"/>
      </w:divBdr>
    </w:div>
    <w:div w:id="1866475357">
      <w:bodyDiv w:val="1"/>
      <w:marLeft w:val="0"/>
      <w:marRight w:val="0"/>
      <w:marTop w:val="0"/>
      <w:marBottom w:val="0"/>
      <w:divBdr>
        <w:top w:val="none" w:sz="0" w:space="0" w:color="auto"/>
        <w:left w:val="none" w:sz="0" w:space="0" w:color="auto"/>
        <w:bottom w:val="none" w:sz="0" w:space="0" w:color="auto"/>
        <w:right w:val="none" w:sz="0" w:space="0" w:color="auto"/>
      </w:divBdr>
    </w:div>
    <w:div w:id="1955597063">
      <w:bodyDiv w:val="1"/>
      <w:marLeft w:val="0"/>
      <w:marRight w:val="0"/>
      <w:marTop w:val="0"/>
      <w:marBottom w:val="0"/>
      <w:divBdr>
        <w:top w:val="none" w:sz="0" w:space="0" w:color="auto"/>
        <w:left w:val="none" w:sz="0" w:space="0" w:color="auto"/>
        <w:bottom w:val="none" w:sz="0" w:space="0" w:color="auto"/>
        <w:right w:val="none" w:sz="0" w:space="0" w:color="auto"/>
      </w:divBdr>
    </w:div>
    <w:div w:id="2064139707">
      <w:bodyDiv w:val="1"/>
      <w:marLeft w:val="0"/>
      <w:marRight w:val="0"/>
      <w:marTop w:val="0"/>
      <w:marBottom w:val="0"/>
      <w:divBdr>
        <w:top w:val="none" w:sz="0" w:space="0" w:color="auto"/>
        <w:left w:val="none" w:sz="0" w:space="0" w:color="auto"/>
        <w:bottom w:val="none" w:sz="0" w:space="0" w:color="auto"/>
        <w:right w:val="none" w:sz="0" w:space="0" w:color="auto"/>
      </w:divBdr>
      <w:divsChild>
        <w:div w:id="840698776">
          <w:marLeft w:val="547"/>
          <w:marRight w:val="0"/>
          <w:marTop w:val="106"/>
          <w:marBottom w:val="0"/>
          <w:divBdr>
            <w:top w:val="none" w:sz="0" w:space="0" w:color="auto"/>
            <w:left w:val="none" w:sz="0" w:space="0" w:color="auto"/>
            <w:bottom w:val="none" w:sz="0" w:space="0" w:color="auto"/>
            <w:right w:val="none" w:sz="0" w:space="0" w:color="auto"/>
          </w:divBdr>
        </w:div>
        <w:div w:id="129194054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GlossaryofCommandTer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6AE17BC-1E72-8D4E-9EFC-2EA5BA6F1BBC}">
  <ds:schemaRefs>
    <ds:schemaRef ds:uri="http://schemas.openxmlformats.org/officeDocument/2006/bibliography"/>
  </ds:schemaRefs>
</ds:datastoreItem>
</file>

<file path=customXml/itemProps2.xml><?xml version="1.0" encoding="utf-8"?>
<ds:datastoreItem xmlns:ds="http://schemas.openxmlformats.org/officeDocument/2006/customXml" ds:itemID="{30147212-4C4E-4236-B68A-EEE76C5E72B5}"/>
</file>

<file path=customXml/itemProps3.xml><?xml version="1.0" encoding="utf-8"?>
<ds:datastoreItem xmlns:ds="http://schemas.openxmlformats.org/officeDocument/2006/customXml" ds:itemID="{FB24A0AE-2793-4900-A97B-2C5B08C39245}"/>
</file>

<file path=customXml/itemProps4.xml><?xml version="1.0" encoding="utf-8"?>
<ds:datastoreItem xmlns:ds="http://schemas.openxmlformats.org/officeDocument/2006/customXml" ds:itemID="{FA84EE95-C7D0-4E28-9847-E82B4A6C8D06}"/>
</file>

<file path=docProps/app.xml><?xml version="1.0" encoding="utf-8"?>
<Properties xmlns="http://schemas.openxmlformats.org/officeDocument/2006/extended-properties" xmlns:vt="http://schemas.openxmlformats.org/officeDocument/2006/docPropsVTypes">
  <Template>Normal.dotm</Template>
  <TotalTime>0</TotalTime>
  <Pages>11</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Australian Politics external assessment report</dc:title>
  <dc:creator/>
  <cp:lastModifiedBy/>
  <cp:revision>1</cp:revision>
  <dcterms:created xsi:type="dcterms:W3CDTF">2023-05-02T00:17:00Z</dcterms:created>
  <dcterms:modified xsi:type="dcterms:W3CDTF">2023-05-02T00:17:00Z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