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4A47916" w:rsidR="00F4525C" w:rsidRPr="00A83314" w:rsidRDefault="00024018" w:rsidP="009B61E5">
      <w:pPr>
        <w:pStyle w:val="VCAADocumenttitle"/>
      </w:pPr>
      <w:r w:rsidRPr="00A83314">
        <w:t>202</w:t>
      </w:r>
      <w:r w:rsidR="008428B1" w:rsidRPr="00A83314">
        <w:t>1</w:t>
      </w:r>
      <w:r w:rsidRPr="00A83314">
        <w:t xml:space="preserve"> </w:t>
      </w:r>
      <w:r w:rsidR="005D3520" w:rsidRPr="00A83314">
        <w:t>VCE Sociology</w:t>
      </w:r>
      <w:r w:rsidRPr="00A83314">
        <w:t xml:space="preserve"> </w:t>
      </w:r>
      <w:r w:rsidR="00DB11A9" w:rsidRPr="00A83314">
        <w:t>external assessment</w:t>
      </w:r>
      <w:r w:rsidRPr="00A83314">
        <w:t xml:space="preserve"> report</w:t>
      </w:r>
    </w:p>
    <w:p w14:paraId="1F902DD4" w14:textId="77777777" w:rsidR="006663C6" w:rsidRPr="00A83314" w:rsidRDefault="00024018" w:rsidP="00C35203">
      <w:pPr>
        <w:pStyle w:val="VCAAHeading1"/>
      </w:pPr>
      <w:bookmarkStart w:id="0" w:name="TemplateOverview"/>
      <w:bookmarkEnd w:id="0"/>
      <w:r w:rsidRPr="00A83314">
        <w:t>General comments</w:t>
      </w:r>
    </w:p>
    <w:p w14:paraId="2132338C" w14:textId="6190FB77" w:rsidR="00F96FE2" w:rsidRPr="00A83314" w:rsidRDefault="00F96FE2" w:rsidP="000A19E7">
      <w:pPr>
        <w:pStyle w:val="VCAAbody"/>
      </w:pPr>
      <w:r w:rsidRPr="00A83314">
        <w:t>Responses to the 2021 Sociology examination paper</w:t>
      </w:r>
      <w:r w:rsidR="00716ECB" w:rsidRPr="00A83314">
        <w:t xml:space="preserve"> included </w:t>
      </w:r>
      <w:r w:rsidR="00421F44" w:rsidRPr="00A83314">
        <w:t>a range of</w:t>
      </w:r>
      <w:r w:rsidR="00716ECB" w:rsidRPr="00A83314">
        <w:t xml:space="preserve"> interesting case studies and issues. Students who </w:t>
      </w:r>
      <w:r w:rsidR="00165E14" w:rsidRPr="00A83314">
        <w:t xml:space="preserve">produced stronger responses </w:t>
      </w:r>
      <w:r w:rsidR="00716ECB" w:rsidRPr="00A83314">
        <w:t xml:space="preserve">drew upon representation </w:t>
      </w:r>
      <w:r w:rsidR="00165E14" w:rsidRPr="00A83314">
        <w:t xml:space="preserve">material </w:t>
      </w:r>
      <w:r w:rsidR="00716ECB" w:rsidRPr="00A83314">
        <w:t xml:space="preserve">and external evidence </w:t>
      </w:r>
      <w:r w:rsidR="00165E14" w:rsidRPr="00A83314">
        <w:t>as directed</w:t>
      </w:r>
      <w:r w:rsidR="00716ECB" w:rsidRPr="00A83314">
        <w:t xml:space="preserve">. </w:t>
      </w:r>
      <w:r w:rsidR="000A19E7" w:rsidRPr="00A83314">
        <w:t>Th</w:t>
      </w:r>
      <w:r w:rsidR="00EF1995" w:rsidRPr="00A83314">
        <w:t>e use of explicit</w:t>
      </w:r>
      <w:r w:rsidR="000A19E7" w:rsidRPr="00A83314">
        <w:t xml:space="preserve"> evidence </w:t>
      </w:r>
      <w:r w:rsidR="00EF1995" w:rsidRPr="00A83314">
        <w:t xml:space="preserve">assisted students to </w:t>
      </w:r>
      <w:r w:rsidR="00DD6752" w:rsidRPr="00A83314">
        <w:t>explore ideas in a meaningful rather than superficial manner</w:t>
      </w:r>
      <w:r w:rsidR="000A19E7" w:rsidRPr="00A83314">
        <w:t>.</w:t>
      </w:r>
    </w:p>
    <w:p w14:paraId="2DD49B7B" w14:textId="6CCF3FC6" w:rsidR="005C70E8" w:rsidRPr="00A83314" w:rsidRDefault="00716ECB" w:rsidP="000A19E7">
      <w:pPr>
        <w:pStyle w:val="VCAAbody"/>
      </w:pPr>
      <w:r w:rsidRPr="00A83314">
        <w:t xml:space="preserve">When exploring the Australian Indigenous culture </w:t>
      </w:r>
      <w:r w:rsidR="00DD6752" w:rsidRPr="00A83314">
        <w:t>‘</w:t>
      </w:r>
      <w:r w:rsidRPr="00A83314">
        <w:t>issue</w:t>
      </w:r>
      <w:r w:rsidR="00DD6752" w:rsidRPr="00A83314">
        <w:t>’</w:t>
      </w:r>
      <w:r w:rsidRPr="00A83314">
        <w:t xml:space="preserve"> and case study groups</w:t>
      </w:r>
      <w:r w:rsidR="00DD6752" w:rsidRPr="00A83314">
        <w:t>,</w:t>
      </w:r>
      <w:r w:rsidRPr="00A83314">
        <w:t xml:space="preserve"> it is important </w:t>
      </w:r>
      <w:r w:rsidR="00DD6752" w:rsidRPr="00A83314">
        <w:t xml:space="preserve">for </w:t>
      </w:r>
      <w:r w:rsidRPr="00A83314">
        <w:t xml:space="preserve">students </w:t>
      </w:r>
      <w:r w:rsidR="00DD6752" w:rsidRPr="00A83314">
        <w:t>to</w:t>
      </w:r>
      <w:r w:rsidRPr="00A83314">
        <w:t xml:space="preserve"> draw upon a range of </w:t>
      </w:r>
      <w:r w:rsidR="00DD6752" w:rsidRPr="00A83314">
        <w:t xml:space="preserve">carefully considered </w:t>
      </w:r>
      <w:r w:rsidRPr="00A83314">
        <w:t>sources of evidence.</w:t>
      </w:r>
      <w:r w:rsidR="004A3803" w:rsidRPr="00A83314">
        <w:t xml:space="preserve"> </w:t>
      </w:r>
      <w:r w:rsidRPr="00A83314">
        <w:t xml:space="preserve">For example, the exploration of racism in sport needs to go beyond watching </w:t>
      </w:r>
      <w:r w:rsidR="00DD6752" w:rsidRPr="00A83314">
        <w:t xml:space="preserve">a single </w:t>
      </w:r>
      <w:r w:rsidRPr="00A83314">
        <w:t>documentary</w:t>
      </w:r>
      <w:r w:rsidR="00165E14" w:rsidRPr="00A83314">
        <w:t>,</w:t>
      </w:r>
      <w:r w:rsidR="00DD6752" w:rsidRPr="00A83314">
        <w:t xml:space="preserve"> such as</w:t>
      </w:r>
      <w:r w:rsidRPr="00A83314">
        <w:t xml:space="preserve"> </w:t>
      </w:r>
      <w:r w:rsidRPr="00A83314">
        <w:rPr>
          <w:rStyle w:val="VCAAitalics"/>
        </w:rPr>
        <w:t>The Australian Dream</w:t>
      </w:r>
      <w:r w:rsidRPr="00A83314">
        <w:t xml:space="preserve">. </w:t>
      </w:r>
    </w:p>
    <w:p w14:paraId="0608444A" w14:textId="7467AD84" w:rsidR="000A19E7" w:rsidRPr="00A83314" w:rsidRDefault="000A19E7" w:rsidP="000A19E7">
      <w:pPr>
        <w:pStyle w:val="VCAAbody"/>
      </w:pPr>
      <w:r w:rsidRPr="00A83314">
        <w:t xml:space="preserve">Following are some important </w:t>
      </w:r>
      <w:r w:rsidR="00165E14" w:rsidRPr="00A83314">
        <w:t>features of</w:t>
      </w:r>
      <w:r w:rsidRPr="00A83314">
        <w:t xml:space="preserve"> the VCE Sociology Study Design that can assist students and teachers with examination preparation</w:t>
      </w:r>
      <w:r w:rsidR="00165E14" w:rsidRPr="00A83314">
        <w:t>.</w:t>
      </w:r>
    </w:p>
    <w:p w14:paraId="336E951C" w14:textId="013317E6" w:rsidR="000A19E7" w:rsidRPr="00A83314" w:rsidRDefault="000A19E7" w:rsidP="00070010">
      <w:pPr>
        <w:pStyle w:val="VCAAbullet"/>
      </w:pPr>
      <w:r w:rsidRPr="00A83314">
        <w:t>Definitions of key concepts and theories are outlined in the introduction to each area of study.</w:t>
      </w:r>
    </w:p>
    <w:p w14:paraId="20287D31" w14:textId="45FDB5D3" w:rsidR="000A19E7" w:rsidRPr="00A83314" w:rsidRDefault="000A19E7" w:rsidP="00070010">
      <w:pPr>
        <w:pStyle w:val="VCAAbullet"/>
      </w:pPr>
      <w:r w:rsidRPr="00A83314">
        <w:t xml:space="preserve">The Australian Indigenous culture issue explored needs to be </w:t>
      </w:r>
      <w:r w:rsidR="00DD6752" w:rsidRPr="00A83314">
        <w:t xml:space="preserve">examined using publicly accessible material produced in the last </w:t>
      </w:r>
      <w:r w:rsidR="00070010" w:rsidRPr="00A83314">
        <w:t xml:space="preserve">10 </w:t>
      </w:r>
      <w:r w:rsidR="00DD6752" w:rsidRPr="00A83314">
        <w:t xml:space="preserve">years. </w:t>
      </w:r>
    </w:p>
    <w:p w14:paraId="79203AA0" w14:textId="65E519BE" w:rsidR="000A19E7" w:rsidRPr="00A83314" w:rsidRDefault="000A19E7" w:rsidP="00070010">
      <w:pPr>
        <w:pStyle w:val="VCAAbullet"/>
      </w:pPr>
      <w:r w:rsidRPr="00A83314">
        <w:t>When guiding students to select an ethnic group case study, a religion should not be chosen.</w:t>
      </w:r>
    </w:p>
    <w:p w14:paraId="754BECE7" w14:textId="3583511E" w:rsidR="000A19E7" w:rsidRPr="00A83314" w:rsidRDefault="000A19E7" w:rsidP="00070010">
      <w:pPr>
        <w:pStyle w:val="VCAAbullet"/>
      </w:pPr>
      <w:r w:rsidRPr="00A83314">
        <w:t>The community group selected as a case study cannot be the same as the ethnic group case study.</w:t>
      </w:r>
    </w:p>
    <w:p w14:paraId="09CBC8D0" w14:textId="74DD0D41" w:rsidR="000A19E7" w:rsidRPr="00A83314" w:rsidRDefault="000A19E7" w:rsidP="00070010">
      <w:pPr>
        <w:pStyle w:val="VCAAbullet"/>
      </w:pPr>
      <w:r w:rsidRPr="00A83314">
        <w:t>When selecting a social movement case study</w:t>
      </w:r>
      <w:r w:rsidR="00DD6752" w:rsidRPr="00A83314">
        <w:t>,</w:t>
      </w:r>
      <w:r w:rsidRPr="00A83314">
        <w:t xml:space="preserve"> a specific movement rather than a broad</w:t>
      </w:r>
      <w:r w:rsidR="00DD6752" w:rsidRPr="00A83314">
        <w:t xml:space="preserve"> </w:t>
      </w:r>
      <w:r w:rsidRPr="00A83314">
        <w:t xml:space="preserve">category is required. For </w:t>
      </w:r>
      <w:proofErr w:type="gramStart"/>
      <w:r w:rsidRPr="00A83314">
        <w:t>example</w:t>
      </w:r>
      <w:proofErr w:type="gramEnd"/>
      <w:r w:rsidRPr="00A83314">
        <w:t xml:space="preserve"> LGBTI+ is a category</w:t>
      </w:r>
      <w:r w:rsidR="009A7838" w:rsidRPr="00A83314">
        <w:t>, but</w:t>
      </w:r>
      <w:r w:rsidRPr="00A83314">
        <w:t xml:space="preserve"> Australian Marriage Equality is </w:t>
      </w:r>
      <w:r w:rsidR="00DD6752" w:rsidRPr="00A83314">
        <w:t>a social</w:t>
      </w:r>
      <w:r w:rsidRPr="00A83314">
        <w:t xml:space="preserve"> movement. In addition, </w:t>
      </w:r>
      <w:r w:rsidR="009A7838" w:rsidRPr="00A83314">
        <w:t xml:space="preserve">the </w:t>
      </w:r>
      <w:r w:rsidRPr="00A83314">
        <w:t>select</w:t>
      </w:r>
      <w:r w:rsidR="009A7838" w:rsidRPr="00A83314">
        <w:t>ed</w:t>
      </w:r>
      <w:r w:rsidRPr="00A83314">
        <w:t xml:space="preserve"> movement needs to be studied in its current context.</w:t>
      </w:r>
    </w:p>
    <w:p w14:paraId="29027E3E" w14:textId="2708DF1E" w:rsidR="00B62480" w:rsidRPr="00A83314" w:rsidRDefault="00024018" w:rsidP="00350651">
      <w:pPr>
        <w:pStyle w:val="VCAAHeading1"/>
      </w:pPr>
      <w:r w:rsidRPr="00A83314">
        <w:t>Specific information</w:t>
      </w:r>
    </w:p>
    <w:p w14:paraId="7A32E514" w14:textId="77777777" w:rsidR="00185CB0" w:rsidRPr="00A83314" w:rsidRDefault="00185CB0" w:rsidP="00CD3FA8">
      <w:pPr>
        <w:pStyle w:val="VCAAbody"/>
      </w:pPr>
      <w:r w:rsidRPr="00A83314">
        <w:t>Note: Student responses reproduced in this report have not been corrected for grammar, spelling or factual information.</w:t>
      </w:r>
    </w:p>
    <w:p w14:paraId="4570CF80" w14:textId="337F619B" w:rsidR="00B5443D" w:rsidRPr="00A83314" w:rsidRDefault="00B5443D" w:rsidP="00B5443D">
      <w:pPr>
        <w:pStyle w:val="VCAAbody"/>
        <w:rPr>
          <w:lang w:val="en-AU"/>
        </w:rPr>
      </w:pPr>
      <w:r w:rsidRPr="00A83314">
        <w:rPr>
          <w:lang w:val="en-AU"/>
        </w:rPr>
        <w:t xml:space="preserve">This report provides sample answers or an indication of what answers may have included. Unless otherwise stated, these are not intended to be exemplary or complete responses. </w:t>
      </w:r>
    </w:p>
    <w:p w14:paraId="65B22DA8" w14:textId="27041134" w:rsidR="00A50852" w:rsidRDefault="00B5443D" w:rsidP="00B5443D">
      <w:pPr>
        <w:pStyle w:val="VCAAbody"/>
      </w:pPr>
      <w:r w:rsidRPr="00A83314">
        <w:t>The statistics in this report may be subject to rounding resulting in a total more or less than 100 per cent.</w:t>
      </w:r>
    </w:p>
    <w:p w14:paraId="6214B4CE" w14:textId="77777777" w:rsidR="00A50852" w:rsidRDefault="00A50852">
      <w:pPr>
        <w:rPr>
          <w:rFonts w:ascii="Arial" w:hAnsi="Arial" w:cs="Arial"/>
          <w:color w:val="000000" w:themeColor="text1"/>
          <w:sz w:val="20"/>
        </w:rPr>
      </w:pPr>
      <w:r>
        <w:br w:type="page"/>
      </w:r>
    </w:p>
    <w:p w14:paraId="600FCA11" w14:textId="13C537FC" w:rsidR="00172350" w:rsidRPr="00A83314" w:rsidRDefault="00172350" w:rsidP="00172350">
      <w:pPr>
        <w:pStyle w:val="VCAAHeading2"/>
        <w:rPr>
          <w:lang w:val="en-GB" w:eastAsia="ja-JP"/>
        </w:rPr>
      </w:pPr>
      <w:r w:rsidRPr="00A83314">
        <w:rPr>
          <w:lang w:val="en-GB" w:eastAsia="ja-JP"/>
        </w:rPr>
        <w:lastRenderedPageBreak/>
        <w:t>Section A</w:t>
      </w:r>
    </w:p>
    <w:p w14:paraId="02F32F5E" w14:textId="35E65320" w:rsidR="007F4D2F" w:rsidRPr="00A83314" w:rsidRDefault="007F4D2F" w:rsidP="00172350">
      <w:pPr>
        <w:pStyle w:val="VCAAHeading3"/>
        <w:rPr>
          <w:lang w:val="en-GB" w:eastAsia="ja-JP"/>
        </w:rPr>
      </w:pPr>
      <w:r w:rsidRPr="00A83314">
        <w:rPr>
          <w:lang w:val="en-GB" w:eastAsia="ja-JP"/>
        </w:rPr>
        <w:t>Question 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1008"/>
      </w:tblGrid>
      <w:tr w:rsidR="003F403A" w:rsidRPr="00A83314" w14:paraId="4695FB63"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hideMark/>
          </w:tcPr>
          <w:p w14:paraId="11C66F03" w14:textId="77777777" w:rsidR="003F403A" w:rsidRPr="00A83314" w:rsidRDefault="003F403A" w:rsidP="003F403A">
            <w:pPr>
              <w:pStyle w:val="VCAAtablecondensedheading"/>
            </w:pPr>
            <w:bookmarkStart w:id="1" w:name="_Hlk89780540"/>
            <w:r w:rsidRPr="00A83314">
              <w:t xml:space="preserve">Marks </w:t>
            </w:r>
          </w:p>
        </w:tc>
        <w:tc>
          <w:tcPr>
            <w:tcW w:w="432" w:type="dxa"/>
            <w:hideMark/>
          </w:tcPr>
          <w:p w14:paraId="049D93F2" w14:textId="77777777" w:rsidR="003F403A" w:rsidRPr="00A83314" w:rsidRDefault="003F403A" w:rsidP="003F403A">
            <w:pPr>
              <w:pStyle w:val="VCAAtablecondensedheading"/>
            </w:pPr>
            <w:r w:rsidRPr="00A83314">
              <w:t>0</w:t>
            </w:r>
          </w:p>
        </w:tc>
        <w:tc>
          <w:tcPr>
            <w:tcW w:w="432" w:type="dxa"/>
            <w:hideMark/>
          </w:tcPr>
          <w:p w14:paraId="2C4153D4" w14:textId="77777777" w:rsidR="003F403A" w:rsidRPr="00A83314" w:rsidRDefault="003F403A" w:rsidP="003F403A">
            <w:pPr>
              <w:pStyle w:val="VCAAtablecondensedheading"/>
            </w:pPr>
            <w:r w:rsidRPr="00A83314">
              <w:t>1</w:t>
            </w:r>
          </w:p>
        </w:tc>
        <w:tc>
          <w:tcPr>
            <w:tcW w:w="432" w:type="dxa"/>
            <w:hideMark/>
          </w:tcPr>
          <w:p w14:paraId="6139A63C" w14:textId="77777777" w:rsidR="003F403A" w:rsidRPr="00A83314" w:rsidRDefault="003F403A" w:rsidP="003F403A">
            <w:pPr>
              <w:pStyle w:val="VCAAtablecondensedheading"/>
            </w:pPr>
            <w:r w:rsidRPr="00A83314">
              <w:t>2</w:t>
            </w:r>
          </w:p>
        </w:tc>
        <w:tc>
          <w:tcPr>
            <w:tcW w:w="432" w:type="dxa"/>
            <w:hideMark/>
          </w:tcPr>
          <w:p w14:paraId="7BAB2ACD" w14:textId="77777777" w:rsidR="003F403A" w:rsidRPr="00A83314" w:rsidRDefault="003F403A" w:rsidP="003F403A">
            <w:pPr>
              <w:pStyle w:val="VCAAtablecondensedheading"/>
            </w:pPr>
            <w:r w:rsidRPr="00A83314">
              <w:t>3</w:t>
            </w:r>
          </w:p>
        </w:tc>
        <w:tc>
          <w:tcPr>
            <w:tcW w:w="1008" w:type="dxa"/>
            <w:hideMark/>
          </w:tcPr>
          <w:p w14:paraId="709606F6" w14:textId="77777777" w:rsidR="003F403A" w:rsidRPr="00A83314" w:rsidRDefault="003F403A" w:rsidP="003F403A">
            <w:pPr>
              <w:pStyle w:val="VCAAtablecondensedheading"/>
            </w:pPr>
            <w:r w:rsidRPr="00A83314">
              <w:t>Average</w:t>
            </w:r>
          </w:p>
        </w:tc>
      </w:tr>
      <w:tr w:rsidR="003F403A" w:rsidRPr="00A83314" w14:paraId="25797F29" w14:textId="77777777" w:rsidTr="006C2D4C">
        <w:tc>
          <w:tcPr>
            <w:tcW w:w="720" w:type="dxa"/>
            <w:hideMark/>
          </w:tcPr>
          <w:p w14:paraId="02D9CDB9" w14:textId="77777777" w:rsidR="003F403A" w:rsidRPr="00A83314" w:rsidRDefault="003F403A" w:rsidP="003F403A">
            <w:pPr>
              <w:pStyle w:val="VCAAtablecondensed"/>
            </w:pPr>
            <w:r w:rsidRPr="00A83314">
              <w:t>%</w:t>
            </w:r>
          </w:p>
        </w:tc>
        <w:tc>
          <w:tcPr>
            <w:tcW w:w="432" w:type="dxa"/>
          </w:tcPr>
          <w:p w14:paraId="78B5F3FE" w14:textId="10EED60C" w:rsidR="003F403A" w:rsidRPr="00A83314" w:rsidRDefault="00F25F94" w:rsidP="003F403A">
            <w:pPr>
              <w:pStyle w:val="VCAAtablecondensed"/>
            </w:pPr>
            <w:r w:rsidRPr="00A83314">
              <w:t>2</w:t>
            </w:r>
          </w:p>
        </w:tc>
        <w:tc>
          <w:tcPr>
            <w:tcW w:w="432" w:type="dxa"/>
          </w:tcPr>
          <w:p w14:paraId="775E438B" w14:textId="7A8ED4A6" w:rsidR="003F403A" w:rsidRPr="00A83314" w:rsidRDefault="00F25F94" w:rsidP="003F403A">
            <w:pPr>
              <w:pStyle w:val="VCAAtablecondensed"/>
            </w:pPr>
            <w:r w:rsidRPr="00A83314">
              <w:t>7</w:t>
            </w:r>
          </w:p>
        </w:tc>
        <w:tc>
          <w:tcPr>
            <w:tcW w:w="432" w:type="dxa"/>
          </w:tcPr>
          <w:p w14:paraId="76522E65" w14:textId="6E055E88" w:rsidR="003F403A" w:rsidRPr="00A83314" w:rsidRDefault="00F25F94" w:rsidP="003F403A">
            <w:pPr>
              <w:pStyle w:val="VCAAtablecondensed"/>
            </w:pPr>
            <w:r w:rsidRPr="00A83314">
              <w:t>29</w:t>
            </w:r>
          </w:p>
        </w:tc>
        <w:tc>
          <w:tcPr>
            <w:tcW w:w="432" w:type="dxa"/>
          </w:tcPr>
          <w:p w14:paraId="49CABF1E" w14:textId="72DF77FD" w:rsidR="003F403A" w:rsidRPr="00A83314" w:rsidRDefault="00F25F94" w:rsidP="003F403A">
            <w:pPr>
              <w:pStyle w:val="VCAAtablecondensed"/>
            </w:pPr>
            <w:r w:rsidRPr="00A83314">
              <w:t>62</w:t>
            </w:r>
          </w:p>
        </w:tc>
        <w:tc>
          <w:tcPr>
            <w:tcW w:w="1008" w:type="dxa"/>
          </w:tcPr>
          <w:p w14:paraId="0212C76E" w14:textId="196BF294" w:rsidR="003F403A" w:rsidRPr="00A83314" w:rsidRDefault="00F25F94" w:rsidP="003F403A">
            <w:pPr>
              <w:pStyle w:val="VCAAtablecondensed"/>
            </w:pPr>
            <w:r w:rsidRPr="00A83314">
              <w:t>2.5</w:t>
            </w:r>
          </w:p>
        </w:tc>
        <w:bookmarkEnd w:id="1"/>
      </w:tr>
    </w:tbl>
    <w:p w14:paraId="3A8648FA" w14:textId="5FBC864A" w:rsidR="00E868F6" w:rsidRPr="00A83314" w:rsidRDefault="002F0808" w:rsidP="00EE40E3">
      <w:pPr>
        <w:pStyle w:val="VCAAbody"/>
        <w:rPr>
          <w:lang w:val="en-GB" w:eastAsia="ja-JP"/>
        </w:rPr>
      </w:pPr>
      <w:r w:rsidRPr="00A83314">
        <w:rPr>
          <w:lang w:val="en-GB" w:eastAsia="ja-JP"/>
        </w:rPr>
        <w:t xml:space="preserve">This question required students to describe how </w:t>
      </w:r>
      <w:r w:rsidR="00E174B1" w:rsidRPr="00A83314">
        <w:rPr>
          <w:lang w:val="en-GB" w:eastAsia="ja-JP"/>
        </w:rPr>
        <w:t xml:space="preserve">the </w:t>
      </w:r>
      <w:r w:rsidRPr="00A83314">
        <w:rPr>
          <w:lang w:val="en-GB" w:eastAsia="ja-JP"/>
        </w:rPr>
        <w:t xml:space="preserve">change to the national anthem might support or limit public awareness of Australian Indigenous culture. </w:t>
      </w:r>
    </w:p>
    <w:p w14:paraId="3F3B6645" w14:textId="05FA5D26" w:rsidR="00E868F6" w:rsidRPr="00A83314" w:rsidRDefault="00E868F6" w:rsidP="00160509">
      <w:pPr>
        <w:pStyle w:val="VCAAbody"/>
      </w:pPr>
      <w:r w:rsidRPr="00A83314">
        <w:t>For full marks, students were required to:</w:t>
      </w:r>
    </w:p>
    <w:p w14:paraId="70D43BFD" w14:textId="355A806C" w:rsidR="00E868F6" w:rsidRPr="00A83314" w:rsidRDefault="00E868F6" w:rsidP="00070010">
      <w:pPr>
        <w:pStyle w:val="VCAAbullet"/>
      </w:pPr>
      <w:r w:rsidRPr="00A83314">
        <w:t>demonstrate an understanding of awareness (</w:t>
      </w:r>
      <w:proofErr w:type="gramStart"/>
      <w:r w:rsidRPr="00A83314">
        <w:t>i.e.</w:t>
      </w:r>
      <w:proofErr w:type="gramEnd"/>
      <w:r w:rsidRPr="00A83314">
        <w:t xml:space="preserve"> the information known about Australian Indigenous culture)</w:t>
      </w:r>
    </w:p>
    <w:p w14:paraId="4193F100" w14:textId="3C47C4A6" w:rsidR="00E868F6" w:rsidRPr="00A83314" w:rsidRDefault="00E868F6" w:rsidP="00070010">
      <w:pPr>
        <w:pStyle w:val="VCAAbullet"/>
      </w:pPr>
      <w:r w:rsidRPr="00A83314">
        <w:t>provide a description of how this change supports awareness of Australian Indigenous culture (</w:t>
      </w:r>
      <w:proofErr w:type="gramStart"/>
      <w:r w:rsidRPr="00A83314">
        <w:t>e.g.</w:t>
      </w:r>
      <w:proofErr w:type="gramEnd"/>
      <w:r w:rsidRPr="00A83314">
        <w:t xml:space="preserve"> the change acknowledges the history of Indigenous cultures in Australia </w:t>
      </w:r>
      <w:r w:rsidR="00362EAC" w:rsidRPr="00A83314">
        <w:t>[</w:t>
      </w:r>
      <w:r w:rsidRPr="00A83314">
        <w:t>60</w:t>
      </w:r>
      <w:r w:rsidR="00756DB5" w:rsidRPr="00A83314">
        <w:t> </w:t>
      </w:r>
      <w:r w:rsidRPr="00A83314">
        <w:t>000+ years</w:t>
      </w:r>
      <w:r w:rsidR="00362EAC" w:rsidRPr="00A83314">
        <w:t>]</w:t>
      </w:r>
      <w:r w:rsidRPr="00A83314">
        <w:t>)</w:t>
      </w:r>
      <w:r w:rsidR="00E174B1" w:rsidRPr="00A83314">
        <w:t xml:space="preserve">; </w:t>
      </w:r>
      <w:r w:rsidRPr="00A83314">
        <w:t xml:space="preserve">or provide a description of how this change </w:t>
      </w:r>
      <w:r w:rsidR="009E44A2" w:rsidRPr="00A83314">
        <w:t xml:space="preserve">limits awareness of Australian Indigenous culture </w:t>
      </w:r>
      <w:r w:rsidR="00C54EAE" w:rsidRPr="00A83314">
        <w:t xml:space="preserve">(e.g. the change may </w:t>
      </w:r>
      <w:r w:rsidR="00E174B1" w:rsidRPr="00A83314">
        <w:t>be viewed as tokenistic</w:t>
      </w:r>
      <w:r w:rsidR="00C54EAE" w:rsidRPr="00A83314">
        <w:t>)</w:t>
      </w:r>
    </w:p>
    <w:p w14:paraId="128634A5" w14:textId="6EAEA30A" w:rsidR="00C54EAE" w:rsidRPr="00A83314" w:rsidRDefault="00C54EAE" w:rsidP="00070010">
      <w:pPr>
        <w:pStyle w:val="VCAAbullet"/>
      </w:pPr>
      <w:r w:rsidRPr="00A83314">
        <w:t>make</w:t>
      </w:r>
      <w:r w:rsidR="00E174B1" w:rsidRPr="00A83314">
        <w:t xml:space="preserve"> a</w:t>
      </w:r>
      <w:r w:rsidRPr="00A83314">
        <w:t xml:space="preserve"> link to one of the representations to support </w:t>
      </w:r>
      <w:r w:rsidR="00EE40E3" w:rsidRPr="00A83314">
        <w:t xml:space="preserve">the </w:t>
      </w:r>
      <w:r w:rsidRPr="00A83314">
        <w:t>response</w:t>
      </w:r>
      <w:r w:rsidR="00EE40E3" w:rsidRPr="00A83314">
        <w:t>.</w:t>
      </w:r>
      <w:r w:rsidRPr="00A83314">
        <w:t xml:space="preserve"> </w:t>
      </w:r>
    </w:p>
    <w:p w14:paraId="3CB19A5D" w14:textId="31353E37" w:rsidR="00756DB5" w:rsidRPr="00A83314" w:rsidRDefault="00756DB5" w:rsidP="00CD3FA8">
      <w:pPr>
        <w:pStyle w:val="VCAAbody"/>
      </w:pPr>
      <w:r w:rsidRPr="00A83314">
        <w:t>This question was answered well by many students. Higher</w:t>
      </w:r>
      <w:r w:rsidR="00070010" w:rsidRPr="00A83314">
        <w:t>-</w:t>
      </w:r>
      <w:r w:rsidRPr="00A83314">
        <w:t>scoring responses explored awareness rather than misconceptions or views about Australian Indigenous culture.</w:t>
      </w:r>
    </w:p>
    <w:p w14:paraId="6AA7B63D" w14:textId="32968821" w:rsidR="007F4D2F" w:rsidRPr="00A83314" w:rsidRDefault="007F4D2F" w:rsidP="00172350">
      <w:pPr>
        <w:pStyle w:val="VCAAHeading3"/>
        <w:rPr>
          <w:lang w:val="en-GB" w:eastAsia="ja-JP"/>
        </w:rPr>
      </w:pPr>
      <w:r w:rsidRPr="00A83314">
        <w:rPr>
          <w:lang w:val="en-GB" w:eastAsia="ja-JP"/>
        </w:rPr>
        <w:t>Question 2</w:t>
      </w:r>
    </w:p>
    <w:tbl>
      <w:tblPr>
        <w:tblStyle w:val="VCAATableClosed"/>
        <w:tblW w:w="3456" w:type="dxa"/>
        <w:tblLook w:val="04A0" w:firstRow="1" w:lastRow="0" w:firstColumn="1" w:lastColumn="0" w:noHBand="0" w:noVBand="1"/>
        <w:tblCaption w:val="Table one"/>
        <w:tblDescription w:val="VCAA closed table style"/>
      </w:tblPr>
      <w:tblGrid>
        <w:gridCol w:w="720"/>
        <w:gridCol w:w="432"/>
        <w:gridCol w:w="432"/>
        <w:gridCol w:w="432"/>
        <w:gridCol w:w="432"/>
        <w:gridCol w:w="1008"/>
      </w:tblGrid>
      <w:tr w:rsidR="003F403A" w:rsidRPr="00A83314" w14:paraId="6632ED6F"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F1AD881"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53F0B6E3"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54A4FD21"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588FAC96"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1ADCC8EA" w14:textId="77777777" w:rsidR="003F403A" w:rsidRPr="00A83314" w:rsidRDefault="003F403A">
            <w:pPr>
              <w:pStyle w:val="VCAAtablecondensedheading"/>
            </w:pPr>
            <w:r w:rsidRPr="00A83314">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23148B5B" w14:textId="77777777" w:rsidR="003F403A" w:rsidRPr="00A83314" w:rsidRDefault="003F403A">
            <w:pPr>
              <w:pStyle w:val="VCAAtablecondensedheading"/>
            </w:pPr>
            <w:r w:rsidRPr="00A83314">
              <w:t>Average</w:t>
            </w:r>
          </w:p>
        </w:tc>
      </w:tr>
      <w:tr w:rsidR="003F403A" w:rsidRPr="00A83314" w14:paraId="2A09731E"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BB130"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94D91" w14:textId="630E9749" w:rsidR="003F403A" w:rsidRPr="00A83314" w:rsidRDefault="00F25F94">
            <w:pPr>
              <w:pStyle w:val="VCAAtablecondensed"/>
            </w:pPr>
            <w:r w:rsidRPr="00A83314">
              <w:t>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5FF6" w14:textId="2847DCE6" w:rsidR="003F403A" w:rsidRPr="00A83314" w:rsidRDefault="00F25F94">
            <w:pPr>
              <w:pStyle w:val="VCAAtablecondensed"/>
            </w:pPr>
            <w:r w:rsidRPr="00A83314">
              <w:t>22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B2142" w14:textId="6DA579CE" w:rsidR="003F403A" w:rsidRPr="00A83314" w:rsidRDefault="00F25F94">
            <w:pPr>
              <w:pStyle w:val="VCAAtablecondensed"/>
            </w:pPr>
            <w:r w:rsidRPr="00A83314">
              <w:t>30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79FFD" w14:textId="145A6989" w:rsidR="003F403A" w:rsidRPr="00A83314" w:rsidRDefault="00F25F94">
            <w:pPr>
              <w:pStyle w:val="VCAAtablecondensed"/>
            </w:pPr>
            <w:r w:rsidRPr="00A83314">
              <w:t>39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1A3E5" w14:textId="2E31D19D" w:rsidR="003F403A" w:rsidRPr="00A83314" w:rsidRDefault="00F25F94">
            <w:pPr>
              <w:pStyle w:val="VCAAtablecondensed"/>
            </w:pPr>
            <w:r w:rsidRPr="00A83314">
              <w:t>2.0</w:t>
            </w:r>
          </w:p>
        </w:tc>
      </w:tr>
    </w:tbl>
    <w:p w14:paraId="3AFF94DF" w14:textId="338A0E3E" w:rsidR="007F4D2F" w:rsidRPr="00A83314" w:rsidRDefault="00C54EAE" w:rsidP="00172350">
      <w:pPr>
        <w:pStyle w:val="VCAAbody"/>
        <w:rPr>
          <w:lang w:val="en-GB" w:eastAsia="ja-JP"/>
        </w:rPr>
      </w:pPr>
      <w:r w:rsidRPr="00A83314">
        <w:rPr>
          <w:lang w:val="en-GB" w:eastAsia="ja-JP"/>
        </w:rPr>
        <w:t xml:space="preserve">This question required students to explain one culturally relativistic Australian Indigenous response to the change to the national anthem. </w:t>
      </w:r>
    </w:p>
    <w:p w14:paraId="703B9621" w14:textId="5E614FE7" w:rsidR="00C54EAE" w:rsidRPr="00A83314" w:rsidRDefault="00C54EAE" w:rsidP="00172350">
      <w:pPr>
        <w:pStyle w:val="VCAAbody"/>
      </w:pPr>
      <w:r w:rsidRPr="00A83314">
        <w:t xml:space="preserve">For full marks, students </w:t>
      </w:r>
      <w:r w:rsidR="00E174B1" w:rsidRPr="00A83314">
        <w:t>needed</w:t>
      </w:r>
      <w:r w:rsidRPr="00A83314">
        <w:t xml:space="preserve"> to:</w:t>
      </w:r>
    </w:p>
    <w:p w14:paraId="0966F946" w14:textId="60D1F48C" w:rsidR="00C54EAE" w:rsidRPr="00A83314" w:rsidRDefault="00C54EAE" w:rsidP="00070010">
      <w:pPr>
        <w:pStyle w:val="VCAAbullet"/>
      </w:pPr>
      <w:r w:rsidRPr="00A83314">
        <w:t>demonstrate an understanding of cultural relativism. For example:</w:t>
      </w:r>
    </w:p>
    <w:p w14:paraId="00463CF1" w14:textId="7BC387D5" w:rsidR="00C54EAE" w:rsidRPr="00A83314" w:rsidRDefault="00C54EAE" w:rsidP="00070010">
      <w:pPr>
        <w:pStyle w:val="VCAAbulletlevel2"/>
      </w:pPr>
      <w:r w:rsidRPr="00A83314">
        <w:t>Cultural relativism refers to the practice of understanding a culture by its own standards. It refers to the idea that a person</w:t>
      </w:r>
      <w:r w:rsidR="00070010" w:rsidRPr="00A83314">
        <w:t>’</w:t>
      </w:r>
      <w:r w:rsidRPr="00A83314">
        <w:t>s beliefs, values and practices should be understood based on that person</w:t>
      </w:r>
      <w:r w:rsidR="00070010" w:rsidRPr="00A83314">
        <w:t>’</w:t>
      </w:r>
      <w:r w:rsidRPr="00A83314">
        <w:t>s own culture, rather than be judged against the criteria of another.</w:t>
      </w:r>
    </w:p>
    <w:p w14:paraId="48CDDCEF" w14:textId="6201A1A5" w:rsidR="00C54EAE" w:rsidRPr="00A83314" w:rsidRDefault="00206004" w:rsidP="00070010">
      <w:pPr>
        <w:pStyle w:val="VCAAbullet"/>
      </w:pPr>
      <w:r w:rsidRPr="00A83314">
        <w:t>i</w:t>
      </w:r>
      <w:r w:rsidR="00C54EAE" w:rsidRPr="00A83314">
        <w:t>dentify one Australian Indigenous response to the change. For example:</w:t>
      </w:r>
    </w:p>
    <w:p w14:paraId="4265CE8D" w14:textId="124AE4B7" w:rsidR="00C54EAE" w:rsidRPr="00A83314" w:rsidRDefault="00C54EAE" w:rsidP="00070010">
      <w:pPr>
        <w:pStyle w:val="VCAAbulletlevel2"/>
      </w:pPr>
      <w:r w:rsidRPr="00A83314">
        <w:t>Representation 1</w:t>
      </w:r>
      <w:r w:rsidR="009E60B2" w:rsidRPr="00A83314">
        <w:t xml:space="preserve">: Peter Vickery – </w:t>
      </w:r>
      <w:r w:rsidR="00206004" w:rsidRPr="00A83314">
        <w:t>‘</w:t>
      </w:r>
      <w:r w:rsidR="009E60B2" w:rsidRPr="00A83314">
        <w:t>Frankly I’m elated</w:t>
      </w:r>
      <w:r w:rsidR="00206004" w:rsidRPr="00A83314">
        <w:t>’</w:t>
      </w:r>
      <w:r w:rsidR="009E60B2" w:rsidRPr="00A83314">
        <w:t xml:space="preserve">, Anthony Mundine – </w:t>
      </w:r>
      <w:r w:rsidR="00206004" w:rsidRPr="00A83314">
        <w:t>‘</w:t>
      </w:r>
      <w:r w:rsidR="009E60B2" w:rsidRPr="00A83314">
        <w:t>the old song should be scrapped altogether</w:t>
      </w:r>
      <w:r w:rsidR="00206004" w:rsidRPr="00A83314">
        <w:t>’</w:t>
      </w:r>
      <w:r w:rsidR="009E60B2" w:rsidRPr="00A83314">
        <w:t xml:space="preserve">, Ian Hamm – </w:t>
      </w:r>
      <w:r w:rsidR="00206004" w:rsidRPr="00A83314">
        <w:t>‘</w:t>
      </w:r>
      <w:r w:rsidR="009E60B2" w:rsidRPr="00A83314">
        <w:t>a good step … it’s just one step</w:t>
      </w:r>
      <w:r w:rsidR="00206004" w:rsidRPr="00A83314">
        <w:t>’</w:t>
      </w:r>
    </w:p>
    <w:p w14:paraId="3B231D81" w14:textId="314346E2" w:rsidR="00C54EAE" w:rsidRPr="00A83314" w:rsidRDefault="00C54EAE" w:rsidP="00070010">
      <w:pPr>
        <w:pStyle w:val="VCAAbulletlevel2"/>
      </w:pPr>
      <w:r w:rsidRPr="00A83314">
        <w:t>Representation 2</w:t>
      </w:r>
      <w:r w:rsidR="009E60B2" w:rsidRPr="00A83314">
        <w:t xml:space="preserve">: Ken Wyatt – </w:t>
      </w:r>
      <w:r w:rsidR="00206004" w:rsidRPr="00A83314">
        <w:t>‘</w:t>
      </w:r>
      <w:r w:rsidR="009E60B2" w:rsidRPr="00A83314">
        <w:t>real reconciliation … acknowledgement of shared histories</w:t>
      </w:r>
      <w:r w:rsidR="00206004" w:rsidRPr="00A83314">
        <w:t>’</w:t>
      </w:r>
    </w:p>
    <w:p w14:paraId="5170CFC2" w14:textId="2C7F7DFC" w:rsidR="00A50852" w:rsidRDefault="00206004" w:rsidP="00070010">
      <w:pPr>
        <w:pStyle w:val="VCAAbullet"/>
      </w:pPr>
      <w:r w:rsidRPr="00A83314">
        <w:t>e</w:t>
      </w:r>
      <w:r w:rsidR="009E60B2" w:rsidRPr="00A83314">
        <w:t>xplain how the Australian Indigenous response connects to cultural relativism or show</w:t>
      </w:r>
      <w:r w:rsidR="00027C72" w:rsidRPr="00A83314">
        <w:t xml:space="preserve"> how</w:t>
      </w:r>
      <w:r w:rsidR="009E60B2" w:rsidRPr="00A83314">
        <w:t xml:space="preserve"> Indigenous Australians </w:t>
      </w:r>
      <w:r w:rsidR="00027C72" w:rsidRPr="00A83314">
        <w:t>demonstrated cultural relativism in their response to the change.</w:t>
      </w:r>
      <w:r w:rsidR="009E60B2" w:rsidRPr="00A83314">
        <w:t xml:space="preserve"> </w:t>
      </w:r>
    </w:p>
    <w:p w14:paraId="30B1FD6D" w14:textId="4ECB1D31" w:rsidR="007F4D2F" w:rsidRPr="00A83314" w:rsidRDefault="007F4D2F" w:rsidP="00172350">
      <w:pPr>
        <w:pStyle w:val="VCAAHeading3"/>
        <w:rPr>
          <w:lang w:val="en-GB" w:eastAsia="ja-JP"/>
        </w:rPr>
      </w:pPr>
      <w:r w:rsidRPr="00A83314">
        <w:rPr>
          <w:lang w:val="en-GB" w:eastAsia="ja-JP"/>
        </w:rPr>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1008"/>
      </w:tblGrid>
      <w:tr w:rsidR="003F403A" w:rsidRPr="00A83314" w14:paraId="0D81E7D5"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hideMark/>
          </w:tcPr>
          <w:p w14:paraId="3BE8EE60" w14:textId="77777777" w:rsidR="003F403A" w:rsidRPr="00A83314" w:rsidRDefault="003F403A" w:rsidP="003F403A">
            <w:pPr>
              <w:pStyle w:val="VCAAtablecondensedheading"/>
            </w:pPr>
            <w:bookmarkStart w:id="2" w:name="_Hlk90055525"/>
            <w:r w:rsidRPr="00A83314">
              <w:t xml:space="preserve">Marks </w:t>
            </w:r>
          </w:p>
        </w:tc>
        <w:tc>
          <w:tcPr>
            <w:tcW w:w="432" w:type="dxa"/>
            <w:hideMark/>
          </w:tcPr>
          <w:p w14:paraId="720DB901" w14:textId="77777777" w:rsidR="003F403A" w:rsidRPr="00A83314" w:rsidRDefault="003F403A" w:rsidP="003F403A">
            <w:pPr>
              <w:pStyle w:val="VCAAtablecondensedheading"/>
            </w:pPr>
            <w:r w:rsidRPr="00A83314">
              <w:t>0</w:t>
            </w:r>
          </w:p>
        </w:tc>
        <w:tc>
          <w:tcPr>
            <w:tcW w:w="432" w:type="dxa"/>
            <w:hideMark/>
          </w:tcPr>
          <w:p w14:paraId="137F5D4B" w14:textId="77777777" w:rsidR="003F403A" w:rsidRPr="00A83314" w:rsidRDefault="003F403A" w:rsidP="003F403A">
            <w:pPr>
              <w:pStyle w:val="VCAAtablecondensedheading"/>
            </w:pPr>
            <w:r w:rsidRPr="00A83314">
              <w:t>1</w:t>
            </w:r>
          </w:p>
        </w:tc>
        <w:tc>
          <w:tcPr>
            <w:tcW w:w="432" w:type="dxa"/>
            <w:hideMark/>
          </w:tcPr>
          <w:p w14:paraId="182AB887" w14:textId="77777777" w:rsidR="003F403A" w:rsidRPr="00A83314" w:rsidRDefault="003F403A" w:rsidP="003F403A">
            <w:pPr>
              <w:pStyle w:val="VCAAtablecondensedheading"/>
            </w:pPr>
            <w:r w:rsidRPr="00A83314">
              <w:t>2</w:t>
            </w:r>
          </w:p>
        </w:tc>
        <w:tc>
          <w:tcPr>
            <w:tcW w:w="432" w:type="dxa"/>
            <w:hideMark/>
          </w:tcPr>
          <w:p w14:paraId="39F5C1F3" w14:textId="77777777" w:rsidR="003F403A" w:rsidRPr="00A83314" w:rsidRDefault="003F403A" w:rsidP="003F403A">
            <w:pPr>
              <w:pStyle w:val="VCAAtablecondensedheading"/>
            </w:pPr>
            <w:r w:rsidRPr="00A83314">
              <w:t>3</w:t>
            </w:r>
          </w:p>
        </w:tc>
        <w:tc>
          <w:tcPr>
            <w:tcW w:w="432" w:type="dxa"/>
            <w:hideMark/>
          </w:tcPr>
          <w:p w14:paraId="241E55E1" w14:textId="77777777" w:rsidR="003F403A" w:rsidRPr="00A83314" w:rsidRDefault="003F403A" w:rsidP="003F403A">
            <w:pPr>
              <w:pStyle w:val="VCAAtablecondensedheading"/>
            </w:pPr>
            <w:r w:rsidRPr="00A83314">
              <w:t>4</w:t>
            </w:r>
          </w:p>
        </w:tc>
        <w:tc>
          <w:tcPr>
            <w:tcW w:w="1008" w:type="dxa"/>
            <w:hideMark/>
          </w:tcPr>
          <w:p w14:paraId="3AD160F8" w14:textId="77777777" w:rsidR="003F403A" w:rsidRPr="00A83314" w:rsidRDefault="003F403A" w:rsidP="003F403A">
            <w:pPr>
              <w:pStyle w:val="VCAAtablecondensedheading"/>
            </w:pPr>
            <w:r w:rsidRPr="00A83314">
              <w:t>Average</w:t>
            </w:r>
          </w:p>
        </w:tc>
      </w:tr>
      <w:tr w:rsidR="003F403A" w:rsidRPr="00A83314" w14:paraId="27027339" w14:textId="77777777" w:rsidTr="006C2D4C">
        <w:tc>
          <w:tcPr>
            <w:tcW w:w="720" w:type="dxa"/>
            <w:hideMark/>
          </w:tcPr>
          <w:p w14:paraId="4BA792C5" w14:textId="77777777" w:rsidR="003F403A" w:rsidRPr="00A83314" w:rsidRDefault="003F403A" w:rsidP="003F403A">
            <w:pPr>
              <w:pStyle w:val="VCAAtablecondensed"/>
            </w:pPr>
            <w:r w:rsidRPr="00A83314">
              <w:t>%</w:t>
            </w:r>
          </w:p>
        </w:tc>
        <w:tc>
          <w:tcPr>
            <w:tcW w:w="432" w:type="dxa"/>
          </w:tcPr>
          <w:p w14:paraId="76B678D6" w14:textId="72B94D73" w:rsidR="003F403A" w:rsidRPr="00A83314" w:rsidRDefault="00F25F94" w:rsidP="003F403A">
            <w:pPr>
              <w:pStyle w:val="VCAAtablecondensed"/>
            </w:pPr>
            <w:r w:rsidRPr="00A83314">
              <w:t>4</w:t>
            </w:r>
          </w:p>
        </w:tc>
        <w:tc>
          <w:tcPr>
            <w:tcW w:w="432" w:type="dxa"/>
            <w:hideMark/>
          </w:tcPr>
          <w:p w14:paraId="5146B1D0" w14:textId="0F4B3F8C" w:rsidR="003F403A" w:rsidRPr="00A83314" w:rsidRDefault="00F25F94" w:rsidP="003F403A">
            <w:pPr>
              <w:pStyle w:val="VCAAtablecondensed"/>
            </w:pPr>
            <w:r w:rsidRPr="00A83314">
              <w:t>8</w:t>
            </w:r>
            <w:r w:rsidR="003F403A" w:rsidRPr="00A83314">
              <w:t xml:space="preserve"> </w:t>
            </w:r>
          </w:p>
        </w:tc>
        <w:tc>
          <w:tcPr>
            <w:tcW w:w="432" w:type="dxa"/>
          </w:tcPr>
          <w:p w14:paraId="20204D02" w14:textId="31555525" w:rsidR="003F403A" w:rsidRPr="00A83314" w:rsidRDefault="00F25F94" w:rsidP="003F403A">
            <w:pPr>
              <w:pStyle w:val="VCAAtablecondensed"/>
            </w:pPr>
            <w:r w:rsidRPr="00A83314">
              <w:t>25</w:t>
            </w:r>
          </w:p>
        </w:tc>
        <w:tc>
          <w:tcPr>
            <w:tcW w:w="432" w:type="dxa"/>
          </w:tcPr>
          <w:p w14:paraId="12371468" w14:textId="18617EE8" w:rsidR="003F403A" w:rsidRPr="00A83314" w:rsidRDefault="00F25F94" w:rsidP="003F403A">
            <w:pPr>
              <w:pStyle w:val="VCAAtablecondensed"/>
            </w:pPr>
            <w:r w:rsidRPr="00A83314">
              <w:t>36</w:t>
            </w:r>
          </w:p>
        </w:tc>
        <w:tc>
          <w:tcPr>
            <w:tcW w:w="432" w:type="dxa"/>
          </w:tcPr>
          <w:p w14:paraId="6616829D" w14:textId="15E420B6" w:rsidR="003F403A" w:rsidRPr="00A83314" w:rsidRDefault="00F25F94" w:rsidP="003F403A">
            <w:pPr>
              <w:pStyle w:val="VCAAtablecondensed"/>
            </w:pPr>
            <w:r w:rsidRPr="00A83314">
              <w:t>27</w:t>
            </w:r>
          </w:p>
        </w:tc>
        <w:tc>
          <w:tcPr>
            <w:tcW w:w="1008" w:type="dxa"/>
          </w:tcPr>
          <w:p w14:paraId="089DC104" w14:textId="70C9E8F0" w:rsidR="003F403A" w:rsidRPr="00A83314" w:rsidRDefault="00F25F94" w:rsidP="003F403A">
            <w:pPr>
              <w:pStyle w:val="VCAAtablecondensed"/>
            </w:pPr>
            <w:r w:rsidRPr="00A83314">
              <w:t>2.8</w:t>
            </w:r>
          </w:p>
        </w:tc>
        <w:bookmarkEnd w:id="2"/>
      </w:tr>
    </w:tbl>
    <w:p w14:paraId="612BC0B5" w14:textId="0B1C35EE" w:rsidR="009E60B2" w:rsidRPr="00A83314" w:rsidRDefault="00EE40E3" w:rsidP="00172350">
      <w:pPr>
        <w:pStyle w:val="VCAAbody"/>
        <w:rPr>
          <w:lang w:val="en-GB" w:eastAsia="ja-JP"/>
        </w:rPr>
      </w:pPr>
      <w:r w:rsidRPr="00A83314">
        <w:rPr>
          <w:lang w:val="en-GB" w:eastAsia="ja-JP"/>
        </w:rPr>
        <w:t xml:space="preserve">This </w:t>
      </w:r>
      <w:r w:rsidRPr="00A83314">
        <w:t>question</w:t>
      </w:r>
      <w:r w:rsidRPr="00A83314">
        <w:rPr>
          <w:lang w:val="en-GB" w:eastAsia="ja-JP"/>
        </w:rPr>
        <w:t xml:space="preserve"> was answered well by many students. It </w:t>
      </w:r>
      <w:r w:rsidR="00027C72" w:rsidRPr="00A83314">
        <w:rPr>
          <w:lang w:val="en-GB" w:eastAsia="ja-JP"/>
        </w:rPr>
        <w:t xml:space="preserve">involved </w:t>
      </w:r>
      <w:r w:rsidRPr="00A83314">
        <w:rPr>
          <w:lang w:val="en-GB" w:eastAsia="ja-JP"/>
        </w:rPr>
        <w:t xml:space="preserve">an exploration </w:t>
      </w:r>
      <w:r w:rsidR="00027C72" w:rsidRPr="00A83314">
        <w:rPr>
          <w:lang w:val="en-GB" w:eastAsia="ja-JP"/>
        </w:rPr>
        <w:t>of</w:t>
      </w:r>
      <w:r w:rsidR="009E60B2" w:rsidRPr="00A83314">
        <w:rPr>
          <w:lang w:val="en-GB" w:eastAsia="ja-JP"/>
        </w:rPr>
        <w:t xml:space="preserve"> how the change to the national anthem </w:t>
      </w:r>
      <w:r w:rsidR="00027C72" w:rsidRPr="00A83314">
        <w:rPr>
          <w:lang w:val="en-GB" w:eastAsia="ja-JP"/>
        </w:rPr>
        <w:t>relates to</w:t>
      </w:r>
      <w:r w:rsidR="009E60B2" w:rsidRPr="00A83314">
        <w:rPr>
          <w:lang w:val="en-GB" w:eastAsia="ja-JP"/>
        </w:rPr>
        <w:t xml:space="preserve"> reconciliation. </w:t>
      </w:r>
    </w:p>
    <w:p w14:paraId="13ED30CC" w14:textId="5AC31FB2" w:rsidR="007F4D2F" w:rsidRPr="00A83314" w:rsidRDefault="009E60B2" w:rsidP="00172350">
      <w:pPr>
        <w:pStyle w:val="VCAAbody"/>
      </w:pPr>
      <w:r w:rsidRPr="00A83314">
        <w:lastRenderedPageBreak/>
        <w:t>For full marks, students needed to:</w:t>
      </w:r>
    </w:p>
    <w:p w14:paraId="0AA3CB61" w14:textId="297C736C" w:rsidR="009E60B2" w:rsidRPr="00A83314" w:rsidRDefault="0031623C" w:rsidP="00070010">
      <w:pPr>
        <w:pStyle w:val="VCAAbullet"/>
      </w:pPr>
      <w:r w:rsidRPr="00A83314">
        <w:t>identify the change to the national anthem as a form of symbolic reconciliation (</w:t>
      </w:r>
      <w:proofErr w:type="gramStart"/>
      <w:r w:rsidRPr="00A83314">
        <w:t>i.e.</w:t>
      </w:r>
      <w:proofErr w:type="gramEnd"/>
      <w:r w:rsidRPr="00A83314">
        <w:t xml:space="preserve"> use of gestures and symbols)</w:t>
      </w:r>
    </w:p>
    <w:p w14:paraId="2037CDFB" w14:textId="36C44367" w:rsidR="0031623C" w:rsidRPr="00A83314" w:rsidRDefault="0031623C" w:rsidP="00070010">
      <w:pPr>
        <w:pStyle w:val="VCAAbullet"/>
      </w:pPr>
      <w:r w:rsidRPr="00A83314">
        <w:t>identify an example of reconciliation from Representation 1. For example:</w:t>
      </w:r>
    </w:p>
    <w:p w14:paraId="225A9279" w14:textId="4EBBC159" w:rsidR="0031623C" w:rsidRPr="00A83314" w:rsidRDefault="0031623C" w:rsidP="00070010">
      <w:pPr>
        <w:pStyle w:val="VCAAbulletlevel2"/>
      </w:pPr>
      <w:r w:rsidRPr="00A83314">
        <w:t xml:space="preserve">Scott Morrison – </w:t>
      </w:r>
      <w:r w:rsidR="00206004" w:rsidRPr="00A83314">
        <w:t>‘</w:t>
      </w:r>
      <w:r w:rsidRPr="00A83314">
        <w:t>I believe it adds much</w:t>
      </w:r>
      <w:r w:rsidR="00206004" w:rsidRPr="00A83314">
        <w:t>’</w:t>
      </w:r>
      <w:r w:rsidRPr="00A83314">
        <w:t xml:space="preserve">, </w:t>
      </w:r>
      <w:r w:rsidR="00206004" w:rsidRPr="00A83314">
        <w:t>‘</w:t>
      </w:r>
      <w:r w:rsidRPr="00A83314">
        <w:t>the stories of the many First Nations people whose stewardship we rightly acknowledge and respect</w:t>
      </w:r>
      <w:r w:rsidR="00206004" w:rsidRPr="00A83314">
        <w:t>’</w:t>
      </w:r>
      <w:r w:rsidRPr="00A83314">
        <w:t xml:space="preserve">; Peter Vickery – </w:t>
      </w:r>
      <w:r w:rsidR="00206004" w:rsidRPr="00A83314">
        <w:t>‘</w:t>
      </w:r>
      <w:r w:rsidRPr="00A83314">
        <w:t>words of inclusion</w:t>
      </w:r>
      <w:r w:rsidR="00206004" w:rsidRPr="00A83314">
        <w:t>’</w:t>
      </w:r>
      <w:r w:rsidRPr="00A83314">
        <w:t xml:space="preserve">; Andrea Romano – </w:t>
      </w:r>
      <w:r w:rsidR="00206004" w:rsidRPr="00A83314">
        <w:t>‘</w:t>
      </w:r>
      <w:r w:rsidRPr="00A83314">
        <w:t>still working for awareness, inclusivity and equality</w:t>
      </w:r>
      <w:r w:rsidR="00206004" w:rsidRPr="00A83314">
        <w:t>’</w:t>
      </w:r>
    </w:p>
    <w:p w14:paraId="4C4B87E4" w14:textId="40366B07" w:rsidR="0031623C" w:rsidRPr="00A83314" w:rsidRDefault="0031623C" w:rsidP="00070010">
      <w:pPr>
        <w:pStyle w:val="VCAAbullet"/>
      </w:pPr>
      <w:r w:rsidRPr="00A83314">
        <w:t>identify an example of reconciliation from Representation 2. For example:</w:t>
      </w:r>
    </w:p>
    <w:p w14:paraId="02B4B9FF" w14:textId="41FB0C2A" w:rsidR="0031623C" w:rsidRPr="00A83314" w:rsidRDefault="0031623C" w:rsidP="00070010">
      <w:pPr>
        <w:pStyle w:val="VCAAbulletlevel2"/>
      </w:pPr>
      <w:r w:rsidRPr="00A83314">
        <w:t xml:space="preserve">Ken Wyatt </w:t>
      </w:r>
      <w:r w:rsidR="00206004" w:rsidRPr="00A83314">
        <w:t>–</w:t>
      </w:r>
      <w:r w:rsidRPr="00A83314">
        <w:t xml:space="preserve"> </w:t>
      </w:r>
      <w:r w:rsidR="00206004" w:rsidRPr="00A83314">
        <w:t>‘</w:t>
      </w:r>
      <w:r w:rsidRPr="00A83314">
        <w:t>a call to look forward in unity</w:t>
      </w:r>
      <w:r w:rsidR="00206004" w:rsidRPr="00A83314">
        <w:t>’</w:t>
      </w:r>
      <w:r w:rsidRPr="00A83314">
        <w:t xml:space="preserve">, </w:t>
      </w:r>
      <w:r w:rsidR="00206004" w:rsidRPr="00A83314">
        <w:t>‘</w:t>
      </w:r>
      <w:r w:rsidRPr="00A83314">
        <w:t>is real reconciliation</w:t>
      </w:r>
      <w:r w:rsidR="00206004" w:rsidRPr="00A83314">
        <w:t>’</w:t>
      </w:r>
      <w:r w:rsidRPr="00A83314">
        <w:t xml:space="preserve">, </w:t>
      </w:r>
      <w:r w:rsidR="00206004" w:rsidRPr="00A83314">
        <w:t>‘</w:t>
      </w:r>
      <w:r w:rsidRPr="00A83314">
        <w:t>we as a nation stand more united and together today</w:t>
      </w:r>
      <w:r w:rsidR="00206004" w:rsidRPr="00A83314">
        <w:t>’</w:t>
      </w:r>
      <w:r w:rsidRPr="00A83314">
        <w:t xml:space="preserve">, </w:t>
      </w:r>
      <w:r w:rsidR="00206004" w:rsidRPr="00A83314">
        <w:t>‘</w:t>
      </w:r>
      <w:r w:rsidRPr="00A83314">
        <w:t>it acknowledges the sorrow</w:t>
      </w:r>
      <w:r w:rsidR="00206004" w:rsidRPr="00A83314">
        <w:t>’</w:t>
      </w:r>
      <w:r w:rsidRPr="00A83314">
        <w:t xml:space="preserve">, </w:t>
      </w:r>
      <w:r w:rsidR="00206004" w:rsidRPr="00A83314">
        <w:t>‘</w:t>
      </w:r>
      <w:r w:rsidRPr="00A83314">
        <w:t xml:space="preserve">being </w:t>
      </w:r>
      <w:r w:rsidR="00206004" w:rsidRPr="00A83314">
        <w:t>“</w:t>
      </w:r>
      <w:r w:rsidRPr="00A83314">
        <w:t>one</w:t>
      </w:r>
      <w:r w:rsidR="00206004" w:rsidRPr="00A83314">
        <w:t>”</w:t>
      </w:r>
      <w:r w:rsidRPr="00A83314">
        <w:t xml:space="preserve"> reflects who we are as a nation and as a people</w:t>
      </w:r>
      <w:r w:rsidR="00206004" w:rsidRPr="00A83314">
        <w:t>’</w:t>
      </w:r>
      <w:r w:rsidRPr="00A83314">
        <w:t xml:space="preserve">, </w:t>
      </w:r>
      <w:r w:rsidR="00206004" w:rsidRPr="00A83314">
        <w:t>‘</w:t>
      </w:r>
      <w:r w:rsidRPr="00A83314">
        <w:t>One demonstrates the hope</w:t>
      </w:r>
      <w:r w:rsidR="00206004" w:rsidRPr="00A83314">
        <w:t xml:space="preserve"> </w:t>
      </w:r>
      <w:r w:rsidRPr="00A83314">
        <w:t>…</w:t>
      </w:r>
      <w:r w:rsidR="00206004" w:rsidRPr="00A83314">
        <w:t xml:space="preserve"> </w:t>
      </w:r>
      <w:r w:rsidRPr="00A83314">
        <w:t>one signals our genuine commitment to ensure that no Australian is left behind</w:t>
      </w:r>
      <w:r w:rsidR="00206004" w:rsidRPr="00A83314">
        <w:t>’</w:t>
      </w:r>
      <w:r w:rsidRPr="00A83314">
        <w:t xml:space="preserve"> or </w:t>
      </w:r>
      <w:r w:rsidR="00206004" w:rsidRPr="00A83314">
        <w:t>‘</w:t>
      </w:r>
      <w:r w:rsidRPr="00A83314">
        <w:t>commit to the journey as we continue to walk together</w:t>
      </w:r>
      <w:r w:rsidR="00206004" w:rsidRPr="00A83314">
        <w:t>’</w:t>
      </w:r>
    </w:p>
    <w:p w14:paraId="24BA2953" w14:textId="243AF861" w:rsidR="0031623C" w:rsidRPr="00A83314" w:rsidRDefault="0031623C" w:rsidP="00070010">
      <w:pPr>
        <w:pStyle w:val="VCAAbullet"/>
      </w:pPr>
      <w:r w:rsidRPr="00A83314">
        <w:t>explain how the act of chang</w:t>
      </w:r>
      <w:r w:rsidR="00027C72" w:rsidRPr="00A83314">
        <w:t>ing</w:t>
      </w:r>
      <w:r w:rsidRPr="00A83314">
        <w:t xml:space="preserve"> the lyrics demonstrates an act of reconciliation (</w:t>
      </w:r>
      <w:proofErr w:type="gramStart"/>
      <w:r w:rsidRPr="00A83314">
        <w:t>e.g.</w:t>
      </w:r>
      <w:proofErr w:type="gramEnd"/>
      <w:r w:rsidRPr="00A83314">
        <w:t xml:space="preserve"> recognising injustice and </w:t>
      </w:r>
      <w:r w:rsidR="000F335B" w:rsidRPr="00A83314">
        <w:t>inequity or</w:t>
      </w:r>
      <w:r w:rsidR="00027C72" w:rsidRPr="00A83314">
        <w:t xml:space="preserve"> </w:t>
      </w:r>
      <w:r w:rsidRPr="00A83314">
        <w:t>improving relationships).</w:t>
      </w:r>
    </w:p>
    <w:p w14:paraId="58AF31B0" w14:textId="77777777" w:rsidR="00BA3C97" w:rsidRPr="00A83314" w:rsidRDefault="00BA3C97" w:rsidP="00A83314">
      <w:pPr>
        <w:pStyle w:val="VCAAbody"/>
      </w:pPr>
      <w:bookmarkStart w:id="3" w:name="_Hlk97665103"/>
      <w:r w:rsidRPr="00A83314">
        <w:t>The following is an excerpt from a high-scoring response.</w:t>
      </w:r>
    </w:p>
    <w:bookmarkEnd w:id="3"/>
    <w:p w14:paraId="5412129D" w14:textId="77777777" w:rsidR="00BA3C97" w:rsidRPr="00A83314" w:rsidRDefault="00BA3C97" w:rsidP="00A83314">
      <w:pPr>
        <w:pStyle w:val="VCAAstudentresponse"/>
      </w:pPr>
      <w:r w:rsidRPr="00A83314">
        <w:t>The change to the national anthem can be identified as symbolic reconciliation as the ‘significant tweak … [acknowledging] the country’s ancient past’ is a gesture focusing on the rights of Indigenous Australians through actions and gestures with the aim to achieve equality.</w:t>
      </w:r>
    </w:p>
    <w:p w14:paraId="4688CE58" w14:textId="5DF7C7BD" w:rsidR="007F4D2F" w:rsidRPr="00A83314" w:rsidRDefault="007F4D2F" w:rsidP="00172350">
      <w:pPr>
        <w:pStyle w:val="VCAAHeading3"/>
        <w:rPr>
          <w:lang w:val="en-GB" w:eastAsia="ja-JP"/>
        </w:rPr>
      </w:pPr>
      <w:r w:rsidRPr="00A83314">
        <w:rPr>
          <w:lang w:val="en-GB" w:eastAsia="ja-JP"/>
        </w:rPr>
        <w:t>Question 4</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1008"/>
      </w:tblGrid>
      <w:tr w:rsidR="003F403A" w:rsidRPr="00A83314" w14:paraId="748A89A2"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9B96789"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38C5DA52"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195556AE"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79EB1159"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4A056FC1"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4D9D12A8" w14:textId="77777777" w:rsidR="003F403A" w:rsidRPr="00A83314" w:rsidRDefault="003F403A">
            <w:pPr>
              <w:pStyle w:val="VCAAtablecondensedheading"/>
            </w:pPr>
            <w:r w:rsidRPr="00A83314">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1DE1A52E" w14:textId="77777777" w:rsidR="003F403A" w:rsidRPr="00A83314" w:rsidRDefault="003F403A">
            <w:pPr>
              <w:pStyle w:val="VCAAtablecondensedheading"/>
            </w:pPr>
            <w:r w:rsidRPr="00A83314">
              <w:t>Average</w:t>
            </w:r>
          </w:p>
        </w:tc>
      </w:tr>
      <w:tr w:rsidR="003F403A" w:rsidRPr="00A83314" w14:paraId="2A4C0C0D"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F0756"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2EE7" w14:textId="440A56F8" w:rsidR="003F403A" w:rsidRPr="00A83314" w:rsidRDefault="00F25F94">
            <w:pPr>
              <w:pStyle w:val="VCAAtablecondensed"/>
            </w:pPr>
            <w:r w:rsidRPr="00A83314">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94AC2" w14:textId="4C84C650" w:rsidR="003F403A" w:rsidRPr="00A83314" w:rsidRDefault="00F25F94">
            <w:pPr>
              <w:pStyle w:val="VCAAtablecondensed"/>
            </w:pPr>
            <w:r w:rsidRPr="00A83314">
              <w:t>16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5C22D" w14:textId="3E9CBA9D" w:rsidR="003F403A" w:rsidRPr="00A83314" w:rsidRDefault="00F25F94">
            <w:pPr>
              <w:pStyle w:val="VCAAtablecondensed"/>
            </w:pPr>
            <w:r w:rsidRPr="00A83314">
              <w:t>21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200D" w14:textId="5C33ACD0" w:rsidR="003F403A" w:rsidRPr="00A83314" w:rsidRDefault="00F25F94">
            <w:pPr>
              <w:pStyle w:val="VCAAtablecondensed"/>
            </w:pPr>
            <w:r w:rsidRPr="00A83314">
              <w:t>42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5552F" w14:textId="791998F3" w:rsidR="003F403A" w:rsidRPr="00A83314" w:rsidRDefault="00F25F94">
            <w:pPr>
              <w:pStyle w:val="VCAAtablecondensed"/>
            </w:pPr>
            <w:r w:rsidRPr="00A83314">
              <w:t>10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1CA56" w14:textId="497A3823" w:rsidR="003F403A" w:rsidRPr="00A83314" w:rsidRDefault="00F25F94">
            <w:pPr>
              <w:pStyle w:val="VCAAtablecondensed"/>
            </w:pPr>
            <w:r w:rsidRPr="00A83314">
              <w:t>2.3</w:t>
            </w:r>
          </w:p>
        </w:tc>
      </w:tr>
    </w:tbl>
    <w:p w14:paraId="2542D851" w14:textId="3EA1F48B" w:rsidR="005C70E8" w:rsidRPr="00A83314" w:rsidRDefault="0031623C" w:rsidP="00172350">
      <w:pPr>
        <w:pStyle w:val="VCAAbody"/>
        <w:rPr>
          <w:lang w:val="en-GB" w:eastAsia="ja-JP"/>
        </w:rPr>
      </w:pPr>
      <w:r w:rsidRPr="00A83314">
        <w:rPr>
          <w:lang w:val="en-GB" w:eastAsia="ja-JP"/>
        </w:rPr>
        <w:t xml:space="preserve">This question </w:t>
      </w:r>
      <w:r w:rsidR="00E4038F" w:rsidRPr="00A83314">
        <w:rPr>
          <w:lang w:val="en-GB" w:eastAsia="ja-JP"/>
        </w:rPr>
        <w:t xml:space="preserve">asked </w:t>
      </w:r>
      <w:r w:rsidRPr="00A83314">
        <w:rPr>
          <w:lang w:val="en-GB" w:eastAsia="ja-JP"/>
        </w:rPr>
        <w:t xml:space="preserve">students to compare Australia’s current ethnic diversity to </w:t>
      </w:r>
      <w:r w:rsidR="00A0716E" w:rsidRPr="00A83314">
        <w:rPr>
          <w:lang w:val="en-GB" w:eastAsia="ja-JP"/>
        </w:rPr>
        <w:t xml:space="preserve">that of </w:t>
      </w:r>
      <w:r w:rsidRPr="00A83314">
        <w:rPr>
          <w:lang w:val="en-GB" w:eastAsia="ja-JP"/>
        </w:rPr>
        <w:t xml:space="preserve">another developed country. </w:t>
      </w:r>
    </w:p>
    <w:p w14:paraId="747AFB3D" w14:textId="523BEBCD" w:rsidR="0031623C" w:rsidRPr="00A83314" w:rsidRDefault="0031623C" w:rsidP="00172350">
      <w:pPr>
        <w:pStyle w:val="VCAAbody"/>
      </w:pPr>
      <w:r w:rsidRPr="00A83314">
        <w:t>Students were required to:</w:t>
      </w:r>
    </w:p>
    <w:p w14:paraId="6C07BD93" w14:textId="0D496A57" w:rsidR="00BC6188" w:rsidRPr="00A83314" w:rsidRDefault="0031623C" w:rsidP="00070010">
      <w:pPr>
        <w:pStyle w:val="VCAAbullet"/>
      </w:pPr>
      <w:r w:rsidRPr="00A83314">
        <w:t>provide an example of Australia</w:t>
      </w:r>
      <w:r w:rsidR="000F335B" w:rsidRPr="00A83314">
        <w:t>’s</w:t>
      </w:r>
      <w:r w:rsidRPr="00A83314">
        <w:t xml:space="preserve"> ethnic diversity (</w:t>
      </w:r>
      <w:proofErr w:type="gramStart"/>
      <w:r w:rsidRPr="00A83314">
        <w:t>e.g.</w:t>
      </w:r>
      <w:proofErr w:type="gramEnd"/>
      <w:r w:rsidRPr="00A83314">
        <w:t xml:space="preserve"> </w:t>
      </w:r>
      <w:r w:rsidR="00BC6188" w:rsidRPr="00A83314">
        <w:t>net migration rate, languages spoken</w:t>
      </w:r>
      <w:r w:rsidR="000F335B" w:rsidRPr="00A83314">
        <w:t xml:space="preserve"> or</w:t>
      </w:r>
      <w:r w:rsidR="00BC6188" w:rsidRPr="00A83314">
        <w:t xml:space="preserve"> religions practi</w:t>
      </w:r>
      <w:r w:rsidR="00070010" w:rsidRPr="00A83314">
        <w:t>s</w:t>
      </w:r>
      <w:r w:rsidR="00BC6188" w:rsidRPr="00A83314">
        <w:t>ed)</w:t>
      </w:r>
    </w:p>
    <w:p w14:paraId="0AF5DC35" w14:textId="77777777" w:rsidR="00BC6188" w:rsidRPr="00A83314" w:rsidRDefault="00BC6188" w:rsidP="00070010">
      <w:pPr>
        <w:pStyle w:val="VCAAbullet"/>
      </w:pPr>
      <w:r w:rsidRPr="00A83314">
        <w:t xml:space="preserve">provide an example of another developed country’s ethnic diversity </w:t>
      </w:r>
    </w:p>
    <w:p w14:paraId="67A65BA6" w14:textId="77777777" w:rsidR="00BC6188" w:rsidRPr="00A83314" w:rsidRDefault="00BC6188" w:rsidP="00070010">
      <w:pPr>
        <w:pStyle w:val="VCAAbullet"/>
      </w:pPr>
      <w:r w:rsidRPr="00A83314">
        <w:t>explore one or more differences in ethnic diversity between the two developed countries</w:t>
      </w:r>
    </w:p>
    <w:p w14:paraId="791A4F2D" w14:textId="4A8D8630" w:rsidR="007F4D2F" w:rsidRPr="00A83314" w:rsidRDefault="00BC6188" w:rsidP="00070010">
      <w:pPr>
        <w:pStyle w:val="VCAAbullet"/>
      </w:pPr>
      <w:r w:rsidRPr="00A83314">
        <w:t>explore one or more similarit</w:t>
      </w:r>
      <w:r w:rsidR="000F335B" w:rsidRPr="00A83314">
        <w:t>ies</w:t>
      </w:r>
      <w:r w:rsidRPr="00A83314">
        <w:t xml:space="preserve"> in ethnic diversity between the two developed countries (</w:t>
      </w:r>
      <w:proofErr w:type="gramStart"/>
      <w:r w:rsidRPr="00A83314">
        <w:t>e.g.</w:t>
      </w:r>
      <w:proofErr w:type="gramEnd"/>
      <w:r w:rsidRPr="00A83314">
        <w:t xml:space="preserve"> number of official languages spoken or government policy impacting </w:t>
      </w:r>
      <w:r w:rsidR="000F335B" w:rsidRPr="00A83314">
        <w:t xml:space="preserve">on </w:t>
      </w:r>
      <w:r w:rsidRPr="00A83314">
        <w:t>diversity)</w:t>
      </w:r>
      <w:r w:rsidR="000F335B" w:rsidRPr="00A83314">
        <w:t>.</w:t>
      </w:r>
      <w:r w:rsidRPr="00A83314">
        <w:t xml:space="preserve"> </w:t>
      </w:r>
    </w:p>
    <w:p w14:paraId="54E28E85" w14:textId="548137E3" w:rsidR="00E4038F" w:rsidRPr="00A83314" w:rsidRDefault="00E4038F" w:rsidP="00CD3FA8">
      <w:pPr>
        <w:pStyle w:val="VCAAbody"/>
      </w:pPr>
      <w:r w:rsidRPr="00A83314">
        <w:t>Higher</w:t>
      </w:r>
      <w:r w:rsidR="00070010" w:rsidRPr="00A83314">
        <w:t>-</w:t>
      </w:r>
      <w:r w:rsidRPr="00A83314">
        <w:t xml:space="preserve">scoring responses accurately </w:t>
      </w:r>
      <w:r w:rsidR="00A37F06" w:rsidRPr="00A83314">
        <w:t>addressed the command term ‘</w:t>
      </w:r>
      <w:r w:rsidRPr="00A83314">
        <w:t>compare</w:t>
      </w:r>
      <w:r w:rsidR="00A37F06" w:rsidRPr="00A83314">
        <w:t>’</w:t>
      </w:r>
      <w:r w:rsidRPr="00A83314">
        <w:t xml:space="preserve">. Specifically, they explored both the similarities and differences in ethnic diversity between the two developed countries. </w:t>
      </w:r>
    </w:p>
    <w:p w14:paraId="0A605185"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2C2417EF" w14:textId="034A448E" w:rsidR="009A38B0" w:rsidRDefault="00BA3C97" w:rsidP="00A83314">
      <w:pPr>
        <w:pStyle w:val="VCAAstudentresponse"/>
      </w:pPr>
      <w:r w:rsidRPr="00A83314">
        <w:t>Canada, a developed country in North America ha</w:t>
      </w:r>
      <w:r w:rsidR="006C2D4C">
        <w:t>s</w:t>
      </w:r>
      <w:r w:rsidRPr="00A83314">
        <w:t xml:space="preserve"> a similar ethnic diversity with 24.1% of their population being migrants (CIA World Factbook) … is similar to Australia. However, whilst very similar there is a difference as Canada has two official languages (French and English) whereas Australia only has one (English).</w:t>
      </w:r>
    </w:p>
    <w:p w14:paraId="5334AF5C" w14:textId="77777777" w:rsidR="009A38B0" w:rsidRDefault="009A38B0">
      <w:pPr>
        <w:rPr>
          <w:rFonts w:ascii="Arial" w:hAnsi="Arial" w:cs="Arial"/>
          <w:i/>
          <w:iCs/>
          <w:color w:val="000000" w:themeColor="text1"/>
          <w:sz w:val="20"/>
        </w:rPr>
      </w:pPr>
      <w:r>
        <w:br w:type="page"/>
      </w:r>
    </w:p>
    <w:p w14:paraId="2EC53210" w14:textId="07B73274" w:rsidR="007F4D2F" w:rsidRPr="00A83314" w:rsidRDefault="007F4D2F" w:rsidP="00172350">
      <w:pPr>
        <w:pStyle w:val="VCAAHeading3"/>
        <w:rPr>
          <w:lang w:val="en-GB" w:eastAsia="ja-JP"/>
        </w:rPr>
      </w:pPr>
      <w:r w:rsidRPr="00A83314">
        <w:rPr>
          <w:lang w:val="en-GB" w:eastAsia="ja-JP"/>
        </w:rPr>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1008"/>
      </w:tblGrid>
      <w:tr w:rsidR="003F403A" w:rsidRPr="00A83314" w14:paraId="1099A1FD"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hideMark/>
          </w:tcPr>
          <w:p w14:paraId="08CD6963" w14:textId="77777777" w:rsidR="003F403A" w:rsidRPr="00A83314" w:rsidRDefault="003F403A" w:rsidP="003F403A">
            <w:pPr>
              <w:pStyle w:val="VCAAtablecondensedheading"/>
            </w:pPr>
            <w:bookmarkStart w:id="4" w:name="_Hlk90222896"/>
            <w:r w:rsidRPr="00A83314">
              <w:t xml:space="preserve">Marks </w:t>
            </w:r>
          </w:p>
        </w:tc>
        <w:tc>
          <w:tcPr>
            <w:tcW w:w="432" w:type="dxa"/>
            <w:hideMark/>
          </w:tcPr>
          <w:p w14:paraId="4B50BCAD" w14:textId="77777777" w:rsidR="003F403A" w:rsidRPr="00A83314" w:rsidRDefault="003F403A" w:rsidP="003F403A">
            <w:pPr>
              <w:pStyle w:val="VCAAtablecondensedheading"/>
            </w:pPr>
            <w:r w:rsidRPr="00A83314">
              <w:t>0</w:t>
            </w:r>
          </w:p>
        </w:tc>
        <w:tc>
          <w:tcPr>
            <w:tcW w:w="432" w:type="dxa"/>
            <w:hideMark/>
          </w:tcPr>
          <w:p w14:paraId="73631E26" w14:textId="77777777" w:rsidR="003F403A" w:rsidRPr="00A83314" w:rsidRDefault="003F403A" w:rsidP="003F403A">
            <w:pPr>
              <w:pStyle w:val="VCAAtablecondensedheading"/>
            </w:pPr>
            <w:r w:rsidRPr="00A83314">
              <w:t>1</w:t>
            </w:r>
          </w:p>
        </w:tc>
        <w:tc>
          <w:tcPr>
            <w:tcW w:w="432" w:type="dxa"/>
            <w:hideMark/>
          </w:tcPr>
          <w:p w14:paraId="3C8887D3" w14:textId="77777777" w:rsidR="003F403A" w:rsidRPr="00A83314" w:rsidRDefault="003F403A" w:rsidP="003F403A">
            <w:pPr>
              <w:pStyle w:val="VCAAtablecondensedheading"/>
            </w:pPr>
            <w:r w:rsidRPr="00A83314">
              <w:t>2</w:t>
            </w:r>
          </w:p>
        </w:tc>
        <w:tc>
          <w:tcPr>
            <w:tcW w:w="432" w:type="dxa"/>
            <w:hideMark/>
          </w:tcPr>
          <w:p w14:paraId="5CCF7268" w14:textId="77777777" w:rsidR="003F403A" w:rsidRPr="00A83314" w:rsidRDefault="003F403A" w:rsidP="003F403A">
            <w:pPr>
              <w:pStyle w:val="VCAAtablecondensedheading"/>
            </w:pPr>
            <w:r w:rsidRPr="00A83314">
              <w:t>3</w:t>
            </w:r>
          </w:p>
        </w:tc>
        <w:tc>
          <w:tcPr>
            <w:tcW w:w="432" w:type="dxa"/>
            <w:hideMark/>
          </w:tcPr>
          <w:p w14:paraId="1D64E7EF" w14:textId="77777777" w:rsidR="003F403A" w:rsidRPr="00A83314" w:rsidRDefault="003F403A" w:rsidP="003F403A">
            <w:pPr>
              <w:pStyle w:val="VCAAtablecondensedheading"/>
            </w:pPr>
            <w:r w:rsidRPr="00A83314">
              <w:t>4</w:t>
            </w:r>
          </w:p>
        </w:tc>
        <w:tc>
          <w:tcPr>
            <w:tcW w:w="432" w:type="dxa"/>
            <w:hideMark/>
          </w:tcPr>
          <w:p w14:paraId="432281BC" w14:textId="77777777" w:rsidR="003F403A" w:rsidRPr="00A83314" w:rsidRDefault="003F403A" w:rsidP="003F403A">
            <w:pPr>
              <w:pStyle w:val="VCAAtablecondensedheading"/>
            </w:pPr>
            <w:r w:rsidRPr="00A83314">
              <w:t>5</w:t>
            </w:r>
          </w:p>
        </w:tc>
        <w:tc>
          <w:tcPr>
            <w:tcW w:w="432" w:type="dxa"/>
            <w:hideMark/>
          </w:tcPr>
          <w:p w14:paraId="1DD7CED5" w14:textId="77777777" w:rsidR="003F403A" w:rsidRPr="00A83314" w:rsidRDefault="003F403A" w:rsidP="003F403A">
            <w:pPr>
              <w:pStyle w:val="VCAAtablecondensedheading"/>
            </w:pPr>
            <w:r w:rsidRPr="00A83314">
              <w:t>6</w:t>
            </w:r>
          </w:p>
        </w:tc>
        <w:tc>
          <w:tcPr>
            <w:tcW w:w="1008" w:type="dxa"/>
            <w:hideMark/>
          </w:tcPr>
          <w:p w14:paraId="7B268A6E" w14:textId="77777777" w:rsidR="003F403A" w:rsidRPr="00A83314" w:rsidRDefault="003F403A" w:rsidP="003F403A">
            <w:pPr>
              <w:pStyle w:val="VCAAtablecondensedheading"/>
            </w:pPr>
            <w:r w:rsidRPr="00A83314">
              <w:t>Average</w:t>
            </w:r>
          </w:p>
        </w:tc>
      </w:tr>
      <w:tr w:rsidR="003F403A" w:rsidRPr="00A83314" w14:paraId="18C8B62D" w14:textId="77777777" w:rsidTr="006C2D4C">
        <w:tc>
          <w:tcPr>
            <w:tcW w:w="720" w:type="dxa"/>
            <w:hideMark/>
          </w:tcPr>
          <w:p w14:paraId="70E81C7B" w14:textId="77777777" w:rsidR="003F403A" w:rsidRPr="00A83314" w:rsidRDefault="003F403A" w:rsidP="003F403A">
            <w:pPr>
              <w:pStyle w:val="VCAAtablecondensed"/>
            </w:pPr>
            <w:r w:rsidRPr="00A83314">
              <w:t>%</w:t>
            </w:r>
          </w:p>
        </w:tc>
        <w:tc>
          <w:tcPr>
            <w:tcW w:w="432" w:type="dxa"/>
          </w:tcPr>
          <w:p w14:paraId="13999605" w14:textId="55140A8B" w:rsidR="003F403A" w:rsidRPr="00A83314" w:rsidRDefault="00F25F94" w:rsidP="003F403A">
            <w:pPr>
              <w:pStyle w:val="VCAAtablecondensed"/>
            </w:pPr>
            <w:r w:rsidRPr="00A83314">
              <w:t>8</w:t>
            </w:r>
          </w:p>
        </w:tc>
        <w:tc>
          <w:tcPr>
            <w:tcW w:w="432" w:type="dxa"/>
          </w:tcPr>
          <w:p w14:paraId="061CF0B2" w14:textId="4D8ADA93" w:rsidR="003F403A" w:rsidRPr="00A83314" w:rsidRDefault="00F25F94" w:rsidP="003F403A">
            <w:pPr>
              <w:pStyle w:val="VCAAtablecondensed"/>
            </w:pPr>
            <w:r w:rsidRPr="00A83314">
              <w:t>9</w:t>
            </w:r>
          </w:p>
        </w:tc>
        <w:tc>
          <w:tcPr>
            <w:tcW w:w="432" w:type="dxa"/>
          </w:tcPr>
          <w:p w14:paraId="1F4A9CF4" w14:textId="70EB9ED2" w:rsidR="003F403A" w:rsidRPr="00A83314" w:rsidRDefault="00F25F94" w:rsidP="003F403A">
            <w:pPr>
              <w:pStyle w:val="VCAAtablecondensed"/>
            </w:pPr>
            <w:r w:rsidRPr="00A83314">
              <w:t>17</w:t>
            </w:r>
          </w:p>
        </w:tc>
        <w:tc>
          <w:tcPr>
            <w:tcW w:w="432" w:type="dxa"/>
          </w:tcPr>
          <w:p w14:paraId="0C7410A4" w14:textId="15A6547C" w:rsidR="003F403A" w:rsidRPr="00A83314" w:rsidRDefault="00F25F94" w:rsidP="003F403A">
            <w:pPr>
              <w:pStyle w:val="VCAAtablecondensed"/>
            </w:pPr>
            <w:r w:rsidRPr="00A83314">
              <w:t>19</w:t>
            </w:r>
          </w:p>
        </w:tc>
        <w:tc>
          <w:tcPr>
            <w:tcW w:w="432" w:type="dxa"/>
          </w:tcPr>
          <w:p w14:paraId="5BAF0871" w14:textId="35B6A8FA" w:rsidR="003F403A" w:rsidRPr="00A83314" w:rsidRDefault="00F25F94" w:rsidP="003F403A">
            <w:pPr>
              <w:pStyle w:val="VCAAtablecondensed"/>
            </w:pPr>
            <w:r w:rsidRPr="00A83314">
              <w:t>21</w:t>
            </w:r>
          </w:p>
        </w:tc>
        <w:tc>
          <w:tcPr>
            <w:tcW w:w="432" w:type="dxa"/>
          </w:tcPr>
          <w:p w14:paraId="64E3BEF9" w14:textId="3B705989" w:rsidR="003F403A" w:rsidRPr="00A83314" w:rsidRDefault="00F25F94" w:rsidP="003F403A">
            <w:pPr>
              <w:pStyle w:val="VCAAtablecondensed"/>
            </w:pPr>
            <w:r w:rsidRPr="00A83314">
              <w:t>13</w:t>
            </w:r>
          </w:p>
        </w:tc>
        <w:tc>
          <w:tcPr>
            <w:tcW w:w="432" w:type="dxa"/>
          </w:tcPr>
          <w:p w14:paraId="10225431" w14:textId="46C4FEEF" w:rsidR="003F403A" w:rsidRPr="00A83314" w:rsidRDefault="00F25F94" w:rsidP="003F403A">
            <w:pPr>
              <w:pStyle w:val="VCAAtablecondensed"/>
            </w:pPr>
            <w:r w:rsidRPr="00A83314">
              <w:t>13</w:t>
            </w:r>
          </w:p>
        </w:tc>
        <w:tc>
          <w:tcPr>
            <w:tcW w:w="1008" w:type="dxa"/>
          </w:tcPr>
          <w:p w14:paraId="10048756" w14:textId="4A90DAA5" w:rsidR="003F403A" w:rsidRPr="00A83314" w:rsidRDefault="00F25F94" w:rsidP="003F403A">
            <w:pPr>
              <w:pStyle w:val="VCAAtablecondensed"/>
            </w:pPr>
            <w:r w:rsidRPr="00A83314">
              <w:t>3.3</w:t>
            </w:r>
          </w:p>
        </w:tc>
        <w:bookmarkEnd w:id="4"/>
      </w:tr>
    </w:tbl>
    <w:p w14:paraId="66A5B3FA" w14:textId="04E459A0" w:rsidR="007F4D2F" w:rsidRPr="00A83314" w:rsidRDefault="00BC6188" w:rsidP="00172350">
      <w:pPr>
        <w:pStyle w:val="VCAAbody"/>
        <w:rPr>
          <w:lang w:val="en-GB" w:eastAsia="ja-JP"/>
        </w:rPr>
      </w:pPr>
      <w:r w:rsidRPr="00A83314">
        <w:rPr>
          <w:lang w:val="en-GB" w:eastAsia="ja-JP"/>
        </w:rPr>
        <w:lastRenderedPageBreak/>
        <w:t>This question required students to demonstrate how the concepts of ethnocentrism and the ‘other’ related to the experience of ethnicity</w:t>
      </w:r>
      <w:r w:rsidR="00A37F06" w:rsidRPr="00A83314">
        <w:rPr>
          <w:lang w:val="en-GB" w:eastAsia="ja-JP"/>
        </w:rPr>
        <w:t>.</w:t>
      </w:r>
    </w:p>
    <w:p w14:paraId="2C7B0A4D" w14:textId="5961EF1B" w:rsidR="00BC6188" w:rsidRPr="00A83314" w:rsidRDefault="00BC6188" w:rsidP="00172350">
      <w:pPr>
        <w:pStyle w:val="VCAAbody"/>
      </w:pPr>
      <w:r w:rsidRPr="00A83314">
        <w:t>For full marks, students needed to:</w:t>
      </w:r>
    </w:p>
    <w:p w14:paraId="1D1EC1DE" w14:textId="3BA6EEBC" w:rsidR="00BC6188" w:rsidRPr="00A83314" w:rsidRDefault="00BC6188" w:rsidP="00070010">
      <w:pPr>
        <w:pStyle w:val="VCAAbullet"/>
      </w:pPr>
      <w:r w:rsidRPr="00A83314">
        <w:t>demonstrate an understanding of the concept of ethnocentrism. For example:</w:t>
      </w:r>
    </w:p>
    <w:p w14:paraId="0E2172D9" w14:textId="024263ED" w:rsidR="00BC6188" w:rsidRPr="00A83314" w:rsidRDefault="00C512AA" w:rsidP="00070010">
      <w:pPr>
        <w:pStyle w:val="VCAAbulletlevel2"/>
      </w:pPr>
      <w:r w:rsidRPr="00A83314">
        <w:t>Ethnocentrism refers to the practice of judging another culture by the standards of one’s own culture.</w:t>
      </w:r>
    </w:p>
    <w:p w14:paraId="64E8B8A9" w14:textId="7F798183" w:rsidR="00BC6188" w:rsidRPr="00A83314" w:rsidRDefault="00BC6188" w:rsidP="00070010">
      <w:pPr>
        <w:pStyle w:val="VCAAbullet"/>
      </w:pPr>
      <w:r w:rsidRPr="00A83314">
        <w:t>demonstrate an understanding of the concept of the ‘other’. For example:</w:t>
      </w:r>
    </w:p>
    <w:p w14:paraId="736A71E7" w14:textId="2AAE4E6F" w:rsidR="00BC6188" w:rsidRPr="00A83314" w:rsidRDefault="00BC6188" w:rsidP="00070010">
      <w:pPr>
        <w:pStyle w:val="VCAAbulletlevel2"/>
      </w:pPr>
      <w:r w:rsidRPr="00A83314">
        <w:t xml:space="preserve">The ‘other’ is a construction of fundamental difference between people or groups. Often this difference is more perceived </w:t>
      </w:r>
      <w:r w:rsidR="00C512AA" w:rsidRPr="00A83314">
        <w:t xml:space="preserve">than real because judgements are projected onto different groups from one cultural viewpoint. </w:t>
      </w:r>
    </w:p>
    <w:p w14:paraId="1D66C023" w14:textId="77777777" w:rsidR="00A37F06" w:rsidRPr="00A83314" w:rsidRDefault="00C512AA" w:rsidP="00070010">
      <w:pPr>
        <w:pStyle w:val="VCAAbullet"/>
      </w:pPr>
      <w:r w:rsidRPr="00A83314">
        <w:t>identify and connect an example of ethnocentrism to the experience of ethnicity</w:t>
      </w:r>
      <w:r w:rsidR="003E2026" w:rsidRPr="00A83314">
        <w:t>. For example</w:t>
      </w:r>
      <w:r w:rsidR="00A37F06" w:rsidRPr="00A83314">
        <w:t>:</w:t>
      </w:r>
    </w:p>
    <w:p w14:paraId="4C1E3706" w14:textId="3E62B143" w:rsidR="00C512AA" w:rsidRPr="00A83314" w:rsidRDefault="00A37F06" w:rsidP="00070010">
      <w:pPr>
        <w:pStyle w:val="VCAAbulletlevel2"/>
      </w:pPr>
      <w:r w:rsidRPr="00A83314">
        <w:t>E</w:t>
      </w:r>
      <w:r w:rsidR="003E2026" w:rsidRPr="00A83314">
        <w:t>thnocentric thinking prompted racist behaviour towards a specific ethnic group, thus leading to a negative experience of ethnicity.</w:t>
      </w:r>
    </w:p>
    <w:p w14:paraId="1496FFDA" w14:textId="6B3733A6" w:rsidR="00A37F06" w:rsidRPr="00A83314" w:rsidRDefault="00C512AA" w:rsidP="00070010">
      <w:pPr>
        <w:pStyle w:val="VCAAbullet"/>
      </w:pPr>
      <w:r w:rsidRPr="00A83314">
        <w:t>identify and connect an example of othering to the experience of ethnicity</w:t>
      </w:r>
      <w:r w:rsidR="003E2026" w:rsidRPr="00A83314">
        <w:t>. For example</w:t>
      </w:r>
      <w:r w:rsidR="00A37F06" w:rsidRPr="00A83314">
        <w:t>:</w:t>
      </w:r>
    </w:p>
    <w:p w14:paraId="1782373E" w14:textId="7C49E6B6" w:rsidR="00C512AA" w:rsidRPr="00A83314" w:rsidRDefault="00A37F06" w:rsidP="00070010">
      <w:pPr>
        <w:pStyle w:val="VCAAbulletlevel2"/>
      </w:pPr>
      <w:r w:rsidRPr="00A83314">
        <w:t>F</w:t>
      </w:r>
      <w:r w:rsidR="003E2026" w:rsidRPr="00A83314">
        <w:t xml:space="preserve">eeling othered led members of a specific ethnic group to feel alienated and therefore </w:t>
      </w:r>
      <w:r w:rsidR="00EC76EE" w:rsidRPr="00A83314">
        <w:t xml:space="preserve">tainted </w:t>
      </w:r>
      <w:r w:rsidR="003E2026" w:rsidRPr="00A83314">
        <w:t xml:space="preserve">their experience of ethnicity. </w:t>
      </w:r>
    </w:p>
    <w:p w14:paraId="181A4DD8" w14:textId="022D8E5E" w:rsidR="00C512AA" w:rsidRPr="00A83314" w:rsidRDefault="00C512AA" w:rsidP="00070010">
      <w:pPr>
        <w:pStyle w:val="VCAAbullet"/>
      </w:pPr>
      <w:r w:rsidRPr="00A83314">
        <w:t>support their response with evidence studied this year.</w:t>
      </w:r>
    </w:p>
    <w:p w14:paraId="28BB5476" w14:textId="3A24DFDC" w:rsidR="00A37F06" w:rsidRPr="00A83314" w:rsidRDefault="00A37F06" w:rsidP="00CD3FA8">
      <w:pPr>
        <w:pStyle w:val="VCAAbody"/>
      </w:pPr>
      <w:r w:rsidRPr="00A83314">
        <w:rPr>
          <w:lang w:val="en-GB" w:eastAsia="ja-JP"/>
        </w:rPr>
        <w:t>Higher</w:t>
      </w:r>
      <w:r w:rsidR="00EC76EE" w:rsidRPr="00A83314">
        <w:rPr>
          <w:lang w:val="en-GB" w:eastAsia="ja-JP"/>
        </w:rPr>
        <w:t>-</w:t>
      </w:r>
      <w:r w:rsidRPr="00A83314">
        <w:rPr>
          <w:lang w:val="en-GB" w:eastAsia="ja-JP"/>
        </w:rPr>
        <w:t>scoring responses made explicit links between the concepts and</w:t>
      </w:r>
      <w:r w:rsidR="004C473D" w:rsidRPr="00A83314">
        <w:rPr>
          <w:lang w:val="en-GB" w:eastAsia="ja-JP"/>
        </w:rPr>
        <w:t xml:space="preserve"> the negative experiences of</w:t>
      </w:r>
      <w:r w:rsidR="004A3803" w:rsidRPr="00A83314">
        <w:rPr>
          <w:lang w:val="en-GB" w:eastAsia="ja-JP"/>
        </w:rPr>
        <w:t xml:space="preserve"> </w:t>
      </w:r>
      <w:r w:rsidRPr="00A83314">
        <w:rPr>
          <w:lang w:val="en-GB" w:eastAsia="ja-JP"/>
        </w:rPr>
        <w:t>individuals or groups.</w:t>
      </w:r>
    </w:p>
    <w:p w14:paraId="2D1A571E"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668CF2FC" w14:textId="77777777" w:rsidR="00BA3C97" w:rsidRPr="00A83314" w:rsidRDefault="00BA3C97" w:rsidP="00A83314">
      <w:pPr>
        <w:pStyle w:val="VCAAstudentresponse"/>
      </w:pPr>
      <w:r w:rsidRPr="00A83314">
        <w:t xml:space="preserve">Another example of ethnocentrism was experienced by Hazara teenager Emma who says at work she “often has customers who say racist things to [her]” as they have ethnocentric views of certain ethnic groups, which creates ‘the other’ in society … Emma may feel </w:t>
      </w:r>
      <w:proofErr w:type="spellStart"/>
      <w:r w:rsidRPr="00A83314">
        <w:t>marginalised</w:t>
      </w:r>
      <w:proofErr w:type="spellEnd"/>
      <w:r w:rsidRPr="00A83314">
        <w:t xml:space="preserve"> … </w:t>
      </w:r>
    </w:p>
    <w:p w14:paraId="5B8A4ABD" w14:textId="45F48CEF" w:rsidR="007F4D2F" w:rsidRPr="00A83314" w:rsidRDefault="007F4D2F" w:rsidP="00172350">
      <w:pPr>
        <w:pStyle w:val="VCAAHeading3"/>
        <w:rPr>
          <w:lang w:val="en-GB" w:eastAsia="ja-JP"/>
        </w:rPr>
      </w:pPr>
      <w:r w:rsidRPr="00A83314">
        <w:rPr>
          <w:lang w:val="en-GB" w:eastAsia="ja-JP"/>
        </w:rPr>
        <w:t>Question 6</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1008"/>
      </w:tblGrid>
      <w:tr w:rsidR="003F403A" w:rsidRPr="00A83314" w14:paraId="328D17DC"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A799B3B"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0645140F"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231F2CF6"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7E0CA4F7"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4621A27F"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1363CB44" w14:textId="77777777" w:rsidR="003F403A" w:rsidRPr="00A83314" w:rsidRDefault="003F403A">
            <w:pPr>
              <w:pStyle w:val="VCAAtablecondensedheading"/>
            </w:pPr>
            <w:r w:rsidRPr="00A83314">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76799D1B" w14:textId="77777777" w:rsidR="003F403A" w:rsidRPr="00A83314" w:rsidRDefault="003F403A">
            <w:pPr>
              <w:pStyle w:val="VCAAtablecondensedheading"/>
            </w:pPr>
            <w:r w:rsidRPr="00A83314">
              <w:t>Average</w:t>
            </w:r>
          </w:p>
        </w:tc>
      </w:tr>
      <w:tr w:rsidR="003F403A" w:rsidRPr="00A83314" w14:paraId="5CFCECF5"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920EC"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0DAF2" w14:textId="1138B670" w:rsidR="003F403A" w:rsidRPr="00A83314" w:rsidRDefault="00F25F94">
            <w:pPr>
              <w:pStyle w:val="VCAAtablecondensed"/>
            </w:pPr>
            <w:r w:rsidRPr="00A83314">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C4E41" w14:textId="59D9102F" w:rsidR="003F403A" w:rsidRPr="00A83314" w:rsidRDefault="00F25F94">
            <w:pPr>
              <w:pStyle w:val="VCAAtablecondensed"/>
            </w:pPr>
            <w:r w:rsidRPr="00A83314">
              <w:t>4</w:t>
            </w:r>
            <w:r w:rsidR="003F403A" w:rsidRPr="00A83314">
              <w:t xml:space="preserve"> </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2F360" w14:textId="4A268118" w:rsidR="003F403A" w:rsidRPr="00A83314" w:rsidRDefault="00F25F94">
            <w:pPr>
              <w:pStyle w:val="VCAAtablecondensed"/>
            </w:pPr>
            <w:r w:rsidRPr="00A83314">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F62C0" w14:textId="05E901E9" w:rsidR="003F403A" w:rsidRPr="00A83314" w:rsidRDefault="00F25F94">
            <w:pPr>
              <w:pStyle w:val="VCAAtablecondensed"/>
            </w:pPr>
            <w:r w:rsidRPr="00A83314">
              <w:t>25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0E0F" w14:textId="1D3E69F1" w:rsidR="003F403A" w:rsidRPr="00A83314" w:rsidRDefault="00F25F94">
            <w:pPr>
              <w:pStyle w:val="VCAAtablecondensed"/>
            </w:pPr>
            <w:r w:rsidRPr="00A83314">
              <w:t>60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12AB" w14:textId="73FD9B42" w:rsidR="003F403A" w:rsidRPr="00A83314" w:rsidRDefault="00F25F94">
            <w:pPr>
              <w:pStyle w:val="VCAAtablecondensed"/>
            </w:pPr>
            <w:r w:rsidRPr="00A83314">
              <w:t>3.4</w:t>
            </w:r>
          </w:p>
        </w:tc>
      </w:tr>
    </w:tbl>
    <w:p w14:paraId="12504E90" w14:textId="06B15D32" w:rsidR="000421EB" w:rsidRPr="00A83314" w:rsidRDefault="00C512AA" w:rsidP="00172350">
      <w:pPr>
        <w:pStyle w:val="VCAAbody"/>
        <w:rPr>
          <w:lang w:val="en-GB" w:eastAsia="ja-JP"/>
        </w:rPr>
      </w:pPr>
      <w:r w:rsidRPr="00A83314">
        <w:rPr>
          <w:lang w:val="en-GB" w:eastAsia="ja-JP"/>
        </w:rPr>
        <w:t xml:space="preserve">This question was answered well by many students. They were required to use the material from Representation 3 to explain </w:t>
      </w:r>
      <w:r w:rsidR="00A57139" w:rsidRPr="00A83314">
        <w:rPr>
          <w:lang w:val="en-GB" w:eastAsia="ja-JP"/>
        </w:rPr>
        <w:t>why</w:t>
      </w:r>
      <w:r w:rsidRPr="00A83314">
        <w:rPr>
          <w:lang w:val="en-GB" w:eastAsia="ja-JP"/>
        </w:rPr>
        <w:t xml:space="preserve"> the group Fab </w:t>
      </w:r>
      <w:r w:rsidR="00A57139" w:rsidRPr="00A83314">
        <w:rPr>
          <w:lang w:val="en-GB" w:eastAsia="ja-JP"/>
        </w:rPr>
        <w:t>and</w:t>
      </w:r>
      <w:r w:rsidRPr="00A83314">
        <w:rPr>
          <w:lang w:val="en-GB" w:eastAsia="ja-JP"/>
        </w:rPr>
        <w:t xml:space="preserve"> Forty Female Outdoor Adventures is a community.</w:t>
      </w:r>
    </w:p>
    <w:p w14:paraId="5BD3B28B" w14:textId="2BEE247D" w:rsidR="00C512AA" w:rsidRPr="00A83314" w:rsidRDefault="00C512AA" w:rsidP="00172350">
      <w:pPr>
        <w:pStyle w:val="VCAAbody"/>
        <w:rPr>
          <w:lang w:val="en-GB" w:eastAsia="ja-JP"/>
        </w:rPr>
      </w:pPr>
      <w:r w:rsidRPr="00A83314">
        <w:rPr>
          <w:lang w:val="en-GB" w:eastAsia="ja-JP"/>
        </w:rPr>
        <w:t>For full marks, students needed to:</w:t>
      </w:r>
    </w:p>
    <w:p w14:paraId="6B78B4B8" w14:textId="04125F89" w:rsidR="00C512AA" w:rsidRPr="00A83314" w:rsidRDefault="00C512AA" w:rsidP="00070010">
      <w:pPr>
        <w:pStyle w:val="VCAAbullet"/>
      </w:pPr>
      <w:r w:rsidRPr="00A83314">
        <w:t>demonstrate an understanding of the concept of community. For example:</w:t>
      </w:r>
    </w:p>
    <w:p w14:paraId="3B965CEC" w14:textId="4B386E49" w:rsidR="00C512AA" w:rsidRPr="00A83314" w:rsidRDefault="005647A6" w:rsidP="00070010">
      <w:pPr>
        <w:pStyle w:val="VCAAbulletlevel2"/>
      </w:pPr>
      <w:r w:rsidRPr="00A83314">
        <w:t>Sociologists refer to the concept of community as a group of people who share social relationships through being geographically close to each other and/or being in regular contact with each other, and through having similarities such as mutual interests and/or shared ideology</w:t>
      </w:r>
      <w:r w:rsidR="004C473D" w:rsidRPr="00A83314">
        <w:t>.</w:t>
      </w:r>
    </w:p>
    <w:p w14:paraId="3C83F288" w14:textId="58738734" w:rsidR="005647A6" w:rsidRPr="00A83314" w:rsidRDefault="005647A6" w:rsidP="00070010">
      <w:pPr>
        <w:pStyle w:val="VCAAbullet"/>
      </w:pPr>
      <w:r w:rsidRPr="00A83314">
        <w:t xml:space="preserve">relate </w:t>
      </w:r>
      <w:r w:rsidR="00A57139" w:rsidRPr="00A83314">
        <w:t xml:space="preserve">two or more features of the </w:t>
      </w:r>
      <w:r w:rsidRPr="00A83314">
        <w:t>group to characteristic</w:t>
      </w:r>
      <w:r w:rsidR="00A57139" w:rsidRPr="00A83314">
        <w:t>s</w:t>
      </w:r>
      <w:r w:rsidRPr="00A83314">
        <w:t xml:space="preserve"> of the concept of community</w:t>
      </w:r>
      <w:r w:rsidR="004A3803" w:rsidRPr="00A83314">
        <w:t xml:space="preserve"> </w:t>
      </w:r>
    </w:p>
    <w:p w14:paraId="76E205B4" w14:textId="0027E856" w:rsidR="005647A6" w:rsidRPr="00A83314" w:rsidRDefault="005647A6" w:rsidP="00070010">
      <w:pPr>
        <w:pStyle w:val="VCAAbullet"/>
      </w:pPr>
      <w:r w:rsidRPr="00A83314">
        <w:t>refer to Representation 3 to provide evidence. For example:</w:t>
      </w:r>
    </w:p>
    <w:p w14:paraId="43A14130" w14:textId="753B5A6D" w:rsidR="00A50852" w:rsidRDefault="00A57139" w:rsidP="00070010">
      <w:pPr>
        <w:pStyle w:val="VCAAbulletlevel2"/>
      </w:pPr>
      <w:r w:rsidRPr="00A83314">
        <w:t>‘</w:t>
      </w:r>
      <w:r w:rsidR="005647A6" w:rsidRPr="00A83314">
        <w:t>1500 members</w:t>
      </w:r>
      <w:r w:rsidRPr="00A83314">
        <w:t>’</w:t>
      </w:r>
      <w:r w:rsidR="005647A6" w:rsidRPr="00A83314">
        <w:t xml:space="preserve">, </w:t>
      </w:r>
      <w:r w:rsidRPr="00A83314">
        <w:t>‘</w:t>
      </w:r>
      <w:r w:rsidR="005647A6" w:rsidRPr="00A83314">
        <w:t>private</w:t>
      </w:r>
      <w:r w:rsidRPr="00A83314">
        <w:t>’</w:t>
      </w:r>
      <w:r w:rsidR="005647A6" w:rsidRPr="00A83314">
        <w:t xml:space="preserve"> online group, </w:t>
      </w:r>
      <w:r w:rsidRPr="00A83314">
        <w:t>‘</w:t>
      </w:r>
      <w:r w:rsidR="005647A6" w:rsidRPr="00A83314">
        <w:t>women aged over 40 years</w:t>
      </w:r>
      <w:r w:rsidRPr="00A83314">
        <w:t>’</w:t>
      </w:r>
      <w:r w:rsidR="005647A6" w:rsidRPr="00A83314">
        <w:t xml:space="preserve">, share </w:t>
      </w:r>
      <w:r w:rsidR="004C473D" w:rsidRPr="00A83314">
        <w:t>‘</w:t>
      </w:r>
      <w:r w:rsidR="005647A6" w:rsidRPr="00A83314">
        <w:t>love of nature and adventure</w:t>
      </w:r>
      <w:r w:rsidR="004C473D" w:rsidRPr="00A83314">
        <w:t>’</w:t>
      </w:r>
      <w:r w:rsidR="005647A6" w:rsidRPr="00A83314">
        <w:t xml:space="preserve">, provide </w:t>
      </w:r>
      <w:r w:rsidRPr="00A83314">
        <w:t>‘</w:t>
      </w:r>
      <w:r w:rsidR="005647A6" w:rsidRPr="00A83314">
        <w:t>support and assistance</w:t>
      </w:r>
      <w:r w:rsidRPr="00A83314">
        <w:t>’.</w:t>
      </w:r>
    </w:p>
    <w:p w14:paraId="6B7E5722" w14:textId="3A413056" w:rsidR="007F4D2F" w:rsidRPr="00A83314" w:rsidRDefault="007F4D2F" w:rsidP="00172350">
      <w:pPr>
        <w:pStyle w:val="VCAAHeading3"/>
        <w:rPr>
          <w:lang w:val="en-GB" w:eastAsia="ja-JP"/>
        </w:rPr>
      </w:pPr>
      <w:r w:rsidRPr="00A83314">
        <w:rPr>
          <w:lang w:val="en-GB" w:eastAsia="ja-JP"/>
        </w:rPr>
        <w:t>Question 7</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1008"/>
      </w:tblGrid>
      <w:tr w:rsidR="003F403A" w:rsidRPr="00A83314" w14:paraId="7E1B6EB2"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7A4F46B"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2E416A9D"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1EA3D64A"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0E6092C7"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29EB911E"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4D2B07E9" w14:textId="77777777" w:rsidR="003F403A" w:rsidRPr="00A83314" w:rsidRDefault="003F403A">
            <w:pPr>
              <w:pStyle w:val="VCAAtablecondensedheading"/>
            </w:pPr>
            <w:r w:rsidRPr="00A83314">
              <w:t>4</w:t>
            </w:r>
          </w:p>
        </w:tc>
        <w:tc>
          <w:tcPr>
            <w:tcW w:w="432" w:type="dxa"/>
            <w:tcBorders>
              <w:top w:val="single" w:sz="4" w:space="0" w:color="000000" w:themeColor="text1"/>
              <w:bottom w:val="single" w:sz="4" w:space="0" w:color="000000" w:themeColor="text1"/>
            </w:tcBorders>
            <w:hideMark/>
          </w:tcPr>
          <w:p w14:paraId="06DB5196" w14:textId="77777777" w:rsidR="003F403A" w:rsidRPr="00A83314" w:rsidRDefault="003F403A">
            <w:pPr>
              <w:pStyle w:val="VCAAtablecondensedheading"/>
            </w:pPr>
            <w:r w:rsidRPr="00A83314">
              <w:t>5</w:t>
            </w:r>
          </w:p>
        </w:tc>
        <w:tc>
          <w:tcPr>
            <w:tcW w:w="432" w:type="dxa"/>
            <w:tcBorders>
              <w:top w:val="single" w:sz="4" w:space="0" w:color="000000" w:themeColor="text1"/>
              <w:bottom w:val="single" w:sz="4" w:space="0" w:color="000000" w:themeColor="text1"/>
            </w:tcBorders>
            <w:hideMark/>
          </w:tcPr>
          <w:p w14:paraId="26D59619" w14:textId="77777777" w:rsidR="003F403A" w:rsidRPr="00A83314" w:rsidRDefault="003F403A">
            <w:pPr>
              <w:pStyle w:val="VCAAtablecondensedheading"/>
            </w:pPr>
            <w:r w:rsidRPr="00A83314">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6AEC162B" w14:textId="77777777" w:rsidR="003F403A" w:rsidRPr="00A83314" w:rsidRDefault="003F403A">
            <w:pPr>
              <w:pStyle w:val="VCAAtablecondensedheading"/>
            </w:pPr>
            <w:r w:rsidRPr="00A83314">
              <w:t>Average</w:t>
            </w:r>
          </w:p>
        </w:tc>
      </w:tr>
      <w:tr w:rsidR="003F403A" w:rsidRPr="00A83314" w14:paraId="72BBCD01"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2A543"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AEC42" w14:textId="4B1932EC" w:rsidR="003F403A" w:rsidRPr="00A83314" w:rsidRDefault="00F25F94">
            <w:pPr>
              <w:pStyle w:val="VCAAtablecondensed"/>
            </w:pPr>
            <w:r w:rsidRPr="00A83314">
              <w:t>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6FA1" w14:textId="3AFF0247" w:rsidR="003F403A" w:rsidRPr="00A83314" w:rsidRDefault="00F25F94">
            <w:pPr>
              <w:pStyle w:val="VCAAtablecondensed"/>
            </w:pPr>
            <w:r w:rsidRPr="00A83314">
              <w:t>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2A2F" w14:textId="436FC497" w:rsidR="003F403A" w:rsidRPr="00A83314" w:rsidRDefault="00A33CCD">
            <w:pPr>
              <w:pStyle w:val="VCAAtablecondensed"/>
            </w:pPr>
            <w:r w:rsidRPr="00A83314">
              <w:t>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03DD8" w14:textId="321E807A" w:rsidR="003F403A" w:rsidRPr="00A83314" w:rsidRDefault="00A33CCD">
            <w:pPr>
              <w:pStyle w:val="VCAAtablecondensed"/>
            </w:pPr>
            <w:r w:rsidRPr="00A83314">
              <w:t>13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1491B" w14:textId="6BEB10E7" w:rsidR="003F403A" w:rsidRPr="00A83314" w:rsidRDefault="00A33CCD">
            <w:pPr>
              <w:pStyle w:val="VCAAtablecondensed"/>
            </w:pPr>
            <w:r w:rsidRPr="00A83314">
              <w:t>28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6F25" w14:textId="5ED7B7F7" w:rsidR="003F403A" w:rsidRPr="00A83314" w:rsidRDefault="00A33CCD">
            <w:pPr>
              <w:pStyle w:val="VCAAtablecondensed"/>
            </w:pPr>
            <w:r w:rsidRPr="00A83314">
              <w:t>24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AAC38" w14:textId="3D60F051" w:rsidR="003F403A" w:rsidRPr="00A83314" w:rsidRDefault="00A33CCD">
            <w:pPr>
              <w:pStyle w:val="VCAAtablecondensed"/>
            </w:pPr>
            <w:r w:rsidRPr="00A83314">
              <w:t>25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A8A6" w14:textId="4860E2CC" w:rsidR="003F403A" w:rsidRPr="00A83314" w:rsidRDefault="00A33CCD">
            <w:pPr>
              <w:pStyle w:val="VCAAtablecondensed"/>
            </w:pPr>
            <w:r w:rsidRPr="00A83314">
              <w:t>4.4</w:t>
            </w:r>
          </w:p>
        </w:tc>
      </w:tr>
    </w:tbl>
    <w:p w14:paraId="7B349D92" w14:textId="092EB82A" w:rsidR="00EE40E3" w:rsidRPr="00A83314" w:rsidRDefault="005647A6" w:rsidP="00172350">
      <w:pPr>
        <w:pStyle w:val="VCAAbody"/>
        <w:rPr>
          <w:lang w:val="en-GB" w:eastAsia="ja-JP"/>
        </w:rPr>
      </w:pPr>
      <w:r w:rsidRPr="00A83314">
        <w:rPr>
          <w:lang w:val="en-GB" w:eastAsia="ja-JP"/>
        </w:rPr>
        <w:t xml:space="preserve">This question required students to explain how two factors might influence feelings of exclusion within the Fab </w:t>
      </w:r>
      <w:r w:rsidR="00A57139" w:rsidRPr="00A83314">
        <w:rPr>
          <w:lang w:val="en-GB" w:eastAsia="ja-JP"/>
        </w:rPr>
        <w:t>and</w:t>
      </w:r>
      <w:r w:rsidRPr="00A83314">
        <w:rPr>
          <w:lang w:val="en-GB" w:eastAsia="ja-JP"/>
        </w:rPr>
        <w:t xml:space="preserve"> Forty Female </w:t>
      </w:r>
      <w:r w:rsidRPr="00A83314">
        <w:t>Outdoor</w:t>
      </w:r>
      <w:r w:rsidRPr="00A83314">
        <w:rPr>
          <w:lang w:val="en-GB" w:eastAsia="ja-JP"/>
        </w:rPr>
        <w:t xml:space="preserve"> Adventures group.</w:t>
      </w:r>
      <w:r w:rsidR="004A3803" w:rsidRPr="00A83314">
        <w:rPr>
          <w:lang w:val="en-GB" w:eastAsia="ja-JP"/>
        </w:rPr>
        <w:t xml:space="preserve"> </w:t>
      </w:r>
    </w:p>
    <w:p w14:paraId="2EBC828C" w14:textId="01ECF9B7" w:rsidR="005647A6" w:rsidRPr="00A83314" w:rsidRDefault="005647A6" w:rsidP="00172350">
      <w:pPr>
        <w:pStyle w:val="VCAAbody"/>
      </w:pPr>
      <w:r w:rsidRPr="00A83314">
        <w:t>For full marks, students needed to:</w:t>
      </w:r>
    </w:p>
    <w:p w14:paraId="318319C6" w14:textId="3663A485" w:rsidR="004A2C0B" w:rsidRPr="00A83314" w:rsidRDefault="004A2C0B" w:rsidP="00070010">
      <w:pPr>
        <w:pStyle w:val="VCAAbullet"/>
      </w:pPr>
      <w:r w:rsidRPr="00A83314">
        <w:t>demonstrate an understanding of the concept of exclusion. For example:</w:t>
      </w:r>
    </w:p>
    <w:p w14:paraId="27AB40BC" w14:textId="21BCFBBC" w:rsidR="004A2C0B" w:rsidRPr="00A83314" w:rsidRDefault="004A2C0B" w:rsidP="00070010">
      <w:pPr>
        <w:pStyle w:val="VCAAbulletlevel2"/>
      </w:pPr>
      <w:r w:rsidRPr="00A83314">
        <w:t>Exclusion occurs when a group or a person has been left out or prohibited from participating in something</w:t>
      </w:r>
      <w:r w:rsidR="00BB7CF9" w:rsidRPr="00A83314">
        <w:t>.</w:t>
      </w:r>
      <w:r w:rsidRPr="00A83314">
        <w:t xml:space="preserve"> When members feel excluded, they tend to experience isolation, alienation and</w:t>
      </w:r>
      <w:r w:rsidR="00BB7CF9" w:rsidRPr="00A83314">
        <w:t>,</w:t>
      </w:r>
      <w:r w:rsidRPr="00A83314">
        <w:t xml:space="preserve"> in many cases, anger, frustration and resentment. They generally feel as though they have been left out or prohibited from participating in the community. </w:t>
      </w:r>
    </w:p>
    <w:p w14:paraId="10A67EAF" w14:textId="4B86E841" w:rsidR="005647A6" w:rsidRPr="00A83314" w:rsidRDefault="004A2C0B" w:rsidP="00070010">
      <w:pPr>
        <w:pStyle w:val="VCAAbullet"/>
      </w:pPr>
      <w:r w:rsidRPr="00A83314">
        <w:t>i</w:t>
      </w:r>
      <w:r w:rsidR="005647A6" w:rsidRPr="00A83314">
        <w:t xml:space="preserve">dentify and explain how </w:t>
      </w:r>
      <w:r w:rsidR="00A57139" w:rsidRPr="00A83314">
        <w:t>two factors may lead to</w:t>
      </w:r>
      <w:r w:rsidR="005647A6" w:rsidRPr="00A83314">
        <w:t xml:space="preserve"> feelings of exclusion. </w:t>
      </w:r>
      <w:r w:rsidRPr="00A83314">
        <w:t>For example:</w:t>
      </w:r>
    </w:p>
    <w:p w14:paraId="52110E9F" w14:textId="605BC63F" w:rsidR="004A2C0B" w:rsidRPr="00A83314" w:rsidRDefault="00A57139" w:rsidP="00070010">
      <w:pPr>
        <w:pStyle w:val="VCAAbulletlevel2"/>
      </w:pPr>
      <w:r w:rsidRPr="00A83314">
        <w:t>T</w:t>
      </w:r>
      <w:r w:rsidR="004A2C0B" w:rsidRPr="00A83314">
        <w:t>he inability to afford the appropriate equipment for the outdoor activities may result in some of the members missing out and feeling disappointed.</w:t>
      </w:r>
    </w:p>
    <w:p w14:paraId="5F9DA0E5" w14:textId="77777777" w:rsidR="004A2C0B" w:rsidRPr="00A83314" w:rsidRDefault="004A2C0B" w:rsidP="00070010">
      <w:pPr>
        <w:pStyle w:val="VCAAbullet"/>
      </w:pPr>
      <w:r w:rsidRPr="00A83314">
        <w:t>refer to Representation 3 to support their response.</w:t>
      </w:r>
    </w:p>
    <w:p w14:paraId="279AA871" w14:textId="33ACCB9F" w:rsidR="00BB7CF9" w:rsidRPr="00A83314" w:rsidRDefault="00BB7CF9" w:rsidP="00172350">
      <w:pPr>
        <w:pStyle w:val="VCAAbody"/>
        <w:rPr>
          <w:lang w:val="en-GB" w:eastAsia="ja-JP"/>
        </w:rPr>
      </w:pPr>
      <w:r w:rsidRPr="00A83314">
        <w:rPr>
          <w:lang w:val="en-GB" w:eastAsia="ja-JP"/>
        </w:rPr>
        <w:t>Higher</w:t>
      </w:r>
      <w:r w:rsidR="00EC76EE" w:rsidRPr="00A83314">
        <w:rPr>
          <w:lang w:val="en-GB" w:eastAsia="ja-JP"/>
        </w:rPr>
        <w:t>-</w:t>
      </w:r>
      <w:r w:rsidRPr="00A83314">
        <w:rPr>
          <w:lang w:val="en-GB" w:eastAsia="ja-JP"/>
        </w:rPr>
        <w:t>scoring responses linked the factor identified to specific feelings. For example, economic resources might prevent members from joining or fully participating in the community. As a result, people may feel isolated, ashamed or disconnected.</w:t>
      </w:r>
      <w:r w:rsidR="00752F94" w:rsidRPr="00A83314">
        <w:rPr>
          <w:lang w:val="en-GB" w:eastAsia="ja-JP"/>
        </w:rPr>
        <w:t xml:space="preserve"> Responses that did not score well did not link the</w:t>
      </w:r>
      <w:r w:rsidR="004A3803" w:rsidRPr="00A83314">
        <w:rPr>
          <w:lang w:val="en-GB" w:eastAsia="ja-JP"/>
        </w:rPr>
        <w:t xml:space="preserve"> factors to feelings.</w:t>
      </w:r>
    </w:p>
    <w:p w14:paraId="2372B6C8" w14:textId="7F8A9DC8" w:rsidR="004A2C0B" w:rsidRPr="00A83314" w:rsidRDefault="004A2C0B" w:rsidP="00172350">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r w:rsidR="00BB7CF9" w:rsidRPr="00A83314">
        <w:rPr>
          <w:lang w:val="en-GB" w:eastAsia="ja-JP"/>
        </w:rPr>
        <w:t>.</w:t>
      </w:r>
    </w:p>
    <w:p w14:paraId="72827DB8" w14:textId="03D40516" w:rsidR="00160509" w:rsidRPr="00A83314" w:rsidRDefault="003E2026" w:rsidP="00160509">
      <w:pPr>
        <w:pStyle w:val="VCAAstudentresponse"/>
      </w:pPr>
      <w:r w:rsidRPr="00A83314">
        <w:t>… in the case of ‘Fab and Forty Female outdoor Adventures’, the members must be ‘female’ or essentially identify as ‘a woman’. This limitation excludes males and those with other gender identities from participating which can again influence feelings of not being welcomed</w:t>
      </w:r>
      <w:r w:rsidR="004D7D5F" w:rsidRPr="00A83314">
        <w:t>.</w:t>
      </w:r>
    </w:p>
    <w:p w14:paraId="7E5B4391" w14:textId="02DAD54D" w:rsidR="007F4D2F" w:rsidRPr="00A83314" w:rsidRDefault="007F4D2F" w:rsidP="00172350">
      <w:pPr>
        <w:pStyle w:val="VCAAHeading3"/>
        <w:rPr>
          <w:lang w:val="en-GB" w:eastAsia="ja-JP"/>
        </w:rPr>
      </w:pPr>
      <w:r w:rsidRPr="00A83314">
        <w:rPr>
          <w:lang w:val="en-GB" w:eastAsia="ja-JP"/>
        </w:rPr>
        <w:t>Question 8</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1008"/>
      </w:tblGrid>
      <w:tr w:rsidR="003F403A" w:rsidRPr="00A83314" w14:paraId="43FB35B4"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68D7E84"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6D3B4C11"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16E21845"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7AC9DEB6"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2D71EF8B"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06FF720E" w14:textId="77777777" w:rsidR="003F403A" w:rsidRPr="00A83314" w:rsidRDefault="003F403A">
            <w:pPr>
              <w:pStyle w:val="VCAAtablecondensedheading"/>
            </w:pPr>
            <w:r w:rsidRPr="00A83314">
              <w:t>4</w:t>
            </w:r>
          </w:p>
        </w:tc>
        <w:tc>
          <w:tcPr>
            <w:tcW w:w="1008" w:type="dxa"/>
            <w:tcBorders>
              <w:top w:val="single" w:sz="4" w:space="0" w:color="000000" w:themeColor="text1"/>
              <w:bottom w:val="single" w:sz="4" w:space="0" w:color="000000" w:themeColor="text1"/>
              <w:right w:val="single" w:sz="4" w:space="0" w:color="000000" w:themeColor="text1"/>
            </w:tcBorders>
            <w:hideMark/>
          </w:tcPr>
          <w:p w14:paraId="10C72C4D" w14:textId="77777777" w:rsidR="003F403A" w:rsidRPr="00A83314" w:rsidRDefault="003F403A">
            <w:pPr>
              <w:pStyle w:val="VCAAtablecondensedheading"/>
            </w:pPr>
            <w:r w:rsidRPr="00A83314">
              <w:t>Average</w:t>
            </w:r>
          </w:p>
        </w:tc>
      </w:tr>
      <w:tr w:rsidR="003F403A" w:rsidRPr="00A83314" w14:paraId="4B590BDB"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808EB"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AE0A2" w14:textId="202DB32A" w:rsidR="003F403A" w:rsidRPr="00A83314" w:rsidRDefault="00A33CCD">
            <w:pPr>
              <w:pStyle w:val="VCAAtablecondensed"/>
            </w:pPr>
            <w:r w:rsidRPr="00A83314">
              <w:t>12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888B6" w14:textId="51D12A7B" w:rsidR="003F403A" w:rsidRPr="00A83314" w:rsidRDefault="00A33CCD">
            <w:pPr>
              <w:pStyle w:val="VCAAtablecondensed"/>
            </w:pPr>
            <w:r w:rsidRPr="00A83314">
              <w:t>32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16A23" w14:textId="2EC8AA24" w:rsidR="003F403A" w:rsidRPr="00A83314" w:rsidRDefault="00A33CCD">
            <w:pPr>
              <w:pStyle w:val="VCAAtablecondensed"/>
            </w:pPr>
            <w:r w:rsidRPr="00A83314">
              <w:t>24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18725" w14:textId="2D3D6D96" w:rsidR="003F403A" w:rsidRPr="00A83314" w:rsidRDefault="00A33CCD">
            <w:pPr>
              <w:pStyle w:val="VCAAtablecondensed"/>
            </w:pPr>
            <w:r w:rsidRPr="00A83314">
              <w:t>16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A8CC0" w14:textId="3E246AA0" w:rsidR="003F403A" w:rsidRPr="00A83314" w:rsidRDefault="00A33CCD">
            <w:pPr>
              <w:pStyle w:val="VCAAtablecondensed"/>
            </w:pPr>
            <w:r w:rsidRPr="00A83314">
              <w:t>16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69AAF" w14:textId="672300FB" w:rsidR="003F403A" w:rsidRPr="00A83314" w:rsidRDefault="00A33CCD">
            <w:pPr>
              <w:pStyle w:val="VCAAtablecondensed"/>
            </w:pPr>
            <w:r w:rsidRPr="00A83314">
              <w:t>2.0</w:t>
            </w:r>
          </w:p>
        </w:tc>
      </w:tr>
    </w:tbl>
    <w:p w14:paraId="355C1A08" w14:textId="5BA598D2" w:rsidR="00D67BFB" w:rsidRPr="00A83314" w:rsidRDefault="004A2C0B" w:rsidP="00172350">
      <w:pPr>
        <w:pStyle w:val="VCAAbody"/>
      </w:pPr>
      <w:r w:rsidRPr="00A83314">
        <w:t>This question required students to examine how a social movement was formed</w:t>
      </w:r>
      <w:r w:rsidR="000761A6" w:rsidRPr="00A83314">
        <w:t>, with reference to new social movements (NSMs)</w:t>
      </w:r>
      <w:r w:rsidR="004A3803" w:rsidRPr="00A83314">
        <w:t xml:space="preserve"> </w:t>
      </w:r>
      <w:r w:rsidR="000761A6" w:rsidRPr="00A83314">
        <w:t>theory</w:t>
      </w:r>
      <w:r w:rsidRPr="00A83314">
        <w:t xml:space="preserve">. </w:t>
      </w:r>
    </w:p>
    <w:p w14:paraId="472F2085" w14:textId="2C99C084" w:rsidR="004A2C0B" w:rsidRPr="00A83314" w:rsidRDefault="000761A6" w:rsidP="00172350">
      <w:pPr>
        <w:pStyle w:val="VCAAbody"/>
        <w:rPr>
          <w:lang w:val="en-GB" w:eastAsia="ja-JP"/>
        </w:rPr>
      </w:pPr>
      <w:r w:rsidRPr="00A83314">
        <w:rPr>
          <w:lang w:val="en-GB" w:eastAsia="ja-JP"/>
        </w:rPr>
        <w:t>For full marks, students needed</w:t>
      </w:r>
      <w:r w:rsidR="004A2C0B" w:rsidRPr="00A83314">
        <w:rPr>
          <w:lang w:val="en-GB" w:eastAsia="ja-JP"/>
        </w:rPr>
        <w:t xml:space="preserve"> to:</w:t>
      </w:r>
    </w:p>
    <w:p w14:paraId="277020FE" w14:textId="67E120D6" w:rsidR="004A2C0B" w:rsidRPr="00A83314" w:rsidRDefault="004A2C0B" w:rsidP="00070010">
      <w:pPr>
        <w:pStyle w:val="VCAAbullet"/>
      </w:pPr>
      <w:r w:rsidRPr="00A83314">
        <w:t xml:space="preserve">identify a social movement whose emergence could be explained by </w:t>
      </w:r>
      <w:r w:rsidR="000761A6" w:rsidRPr="00A83314">
        <w:t>NSMs</w:t>
      </w:r>
      <w:r w:rsidRPr="00A83314">
        <w:t xml:space="preserve"> theory</w:t>
      </w:r>
    </w:p>
    <w:p w14:paraId="4014DB8E" w14:textId="37FCC4F9" w:rsidR="004A2C0B" w:rsidRPr="00A83314" w:rsidRDefault="004A2C0B" w:rsidP="00070010">
      <w:pPr>
        <w:pStyle w:val="VCAAbullet"/>
      </w:pPr>
      <w:r w:rsidRPr="00A83314">
        <w:t>demonstrate an understanding of</w:t>
      </w:r>
      <w:r w:rsidR="000761A6" w:rsidRPr="00A83314">
        <w:t xml:space="preserve"> </w:t>
      </w:r>
      <w:r w:rsidRPr="00A83314">
        <w:t>NSMs theory. For example:</w:t>
      </w:r>
    </w:p>
    <w:p w14:paraId="50164151" w14:textId="233C7B5C" w:rsidR="004A2C0B" w:rsidRPr="00A83314" w:rsidRDefault="004A2C0B" w:rsidP="00070010">
      <w:pPr>
        <w:pStyle w:val="VCAAbulletlevel2"/>
      </w:pPr>
      <w:r w:rsidRPr="00A83314">
        <w:t>New social movements theory asserts that people who join social movements are motivated by quality</w:t>
      </w:r>
      <w:r w:rsidR="00A83314">
        <w:t>-</w:t>
      </w:r>
      <w:r w:rsidRPr="00A83314">
        <w:t>of</w:t>
      </w:r>
      <w:r w:rsidR="00A83314">
        <w:t>-</w:t>
      </w:r>
      <w:r w:rsidRPr="00A83314">
        <w:t>life issues rather than economic concerns.</w:t>
      </w:r>
    </w:p>
    <w:p w14:paraId="20A8C978" w14:textId="77777777" w:rsidR="004A3803" w:rsidRPr="00A83314" w:rsidRDefault="000761A6" w:rsidP="00070010">
      <w:pPr>
        <w:pStyle w:val="VCAAbullet"/>
        <w:rPr>
          <w:rFonts w:eastAsia="Times New Roman"/>
        </w:rPr>
      </w:pPr>
      <w:r w:rsidRPr="00A83314">
        <w:t>l</w:t>
      </w:r>
      <w:r w:rsidR="007A4274" w:rsidRPr="00A83314">
        <w:t>ink</w:t>
      </w:r>
      <w:r w:rsidRPr="00A83314">
        <w:t xml:space="preserve"> features of</w:t>
      </w:r>
      <w:r w:rsidR="007A4274" w:rsidRPr="00A83314">
        <w:t xml:space="preserve"> the NSMs theory to the </w:t>
      </w:r>
      <w:r w:rsidRPr="00A83314">
        <w:t xml:space="preserve">emergence of the </w:t>
      </w:r>
      <w:r w:rsidR="007A4274" w:rsidRPr="00A83314">
        <w:t xml:space="preserve">social movement </w:t>
      </w:r>
      <w:r w:rsidRPr="00A83314">
        <w:t>examined.</w:t>
      </w:r>
      <w:r w:rsidR="004A3803" w:rsidRPr="00A83314">
        <w:t xml:space="preserve"> </w:t>
      </w:r>
    </w:p>
    <w:p w14:paraId="0A24026A" w14:textId="070C5E4B" w:rsidR="007A4274" w:rsidRPr="00A83314" w:rsidRDefault="004A3803" w:rsidP="00CD3FA8">
      <w:pPr>
        <w:pStyle w:val="VCAAbody"/>
      </w:pPr>
      <w:r w:rsidRPr="00A83314">
        <w:t>Higher</w:t>
      </w:r>
      <w:r w:rsidR="00EC76EE" w:rsidRPr="00A83314">
        <w:t>-</w:t>
      </w:r>
      <w:r w:rsidRPr="00A83314">
        <w:t>scoring responses avoided movements whose emergence is best explained by relative deprivation theory.</w:t>
      </w:r>
    </w:p>
    <w:p w14:paraId="1B2D9746"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3F1116EC" w14:textId="77777777" w:rsidR="00BA3C97" w:rsidRPr="00A83314" w:rsidRDefault="00BA3C97" w:rsidP="00A83314">
      <w:pPr>
        <w:pStyle w:val="VCAAstudentresponse"/>
      </w:pPr>
      <w:r w:rsidRPr="00A83314">
        <w:t xml:space="preserve">The formation of this movement can be explained by New Social Movement (NSM) theory, which describes new and modern movements that focus on improving social and physical environments and are concerned with the ‘life world’ (Habermas). Animals Australia is </w:t>
      </w:r>
      <w:proofErr w:type="gramStart"/>
      <w:r w:rsidRPr="00A83314">
        <w:t>a</w:t>
      </w:r>
      <w:proofErr w:type="gramEnd"/>
      <w:r w:rsidRPr="00A83314">
        <w:t xml:space="preserve"> NSM, as it is concerned with the environment of animals and also </w:t>
      </w:r>
      <w:proofErr w:type="spellStart"/>
      <w:r w:rsidRPr="00A83314">
        <w:t>utilises</w:t>
      </w:r>
      <w:proofErr w:type="spellEnd"/>
      <w:r w:rsidRPr="00A83314">
        <w:t xml:space="preserve"> ICT.</w:t>
      </w:r>
    </w:p>
    <w:p w14:paraId="668B9533" w14:textId="65BC7913" w:rsidR="007F4D2F" w:rsidRPr="00A83314" w:rsidRDefault="007F4D2F" w:rsidP="00172350">
      <w:pPr>
        <w:pStyle w:val="VCAAHeading3"/>
        <w:rPr>
          <w:lang w:val="en-GB" w:eastAsia="ja-JP"/>
        </w:rPr>
      </w:pPr>
      <w:r w:rsidRPr="00A83314">
        <w:rPr>
          <w:lang w:val="en-GB" w:eastAsia="ja-JP"/>
        </w:rPr>
        <w:lastRenderedPageBreak/>
        <w:t>Question 9</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1008"/>
      </w:tblGrid>
      <w:tr w:rsidR="003F403A" w:rsidRPr="00A83314" w14:paraId="028325E1"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778C371"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1EEEA4B0"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4430B739"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1BF1E3E5"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29C08808"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5A2F6B74" w14:textId="77777777" w:rsidR="003F403A" w:rsidRPr="00A83314" w:rsidRDefault="003F403A">
            <w:pPr>
              <w:pStyle w:val="VCAAtablecondensedheading"/>
            </w:pPr>
            <w:r w:rsidRPr="00A83314">
              <w:t>4</w:t>
            </w:r>
          </w:p>
        </w:tc>
        <w:tc>
          <w:tcPr>
            <w:tcW w:w="432" w:type="dxa"/>
            <w:tcBorders>
              <w:top w:val="single" w:sz="4" w:space="0" w:color="000000" w:themeColor="text1"/>
              <w:bottom w:val="single" w:sz="4" w:space="0" w:color="000000" w:themeColor="text1"/>
            </w:tcBorders>
            <w:hideMark/>
          </w:tcPr>
          <w:p w14:paraId="683A2518" w14:textId="77777777" w:rsidR="003F403A" w:rsidRPr="00A83314" w:rsidRDefault="003F403A">
            <w:pPr>
              <w:pStyle w:val="VCAAtablecondensedheading"/>
            </w:pPr>
            <w:r w:rsidRPr="00A83314">
              <w:t>5</w:t>
            </w:r>
          </w:p>
        </w:tc>
        <w:tc>
          <w:tcPr>
            <w:tcW w:w="432" w:type="dxa"/>
            <w:tcBorders>
              <w:top w:val="single" w:sz="4" w:space="0" w:color="000000" w:themeColor="text1"/>
              <w:bottom w:val="single" w:sz="4" w:space="0" w:color="000000" w:themeColor="text1"/>
            </w:tcBorders>
            <w:hideMark/>
          </w:tcPr>
          <w:p w14:paraId="19ADEF66" w14:textId="77777777" w:rsidR="003F403A" w:rsidRPr="00A83314" w:rsidRDefault="003F403A">
            <w:pPr>
              <w:pStyle w:val="VCAAtablecondensedheading"/>
            </w:pPr>
            <w:r w:rsidRPr="00A83314">
              <w:t>6</w:t>
            </w:r>
          </w:p>
        </w:tc>
        <w:tc>
          <w:tcPr>
            <w:tcW w:w="1008" w:type="dxa"/>
            <w:tcBorders>
              <w:top w:val="single" w:sz="4" w:space="0" w:color="000000" w:themeColor="text1"/>
              <w:bottom w:val="single" w:sz="4" w:space="0" w:color="000000" w:themeColor="text1"/>
              <w:right w:val="single" w:sz="4" w:space="0" w:color="000000" w:themeColor="text1"/>
            </w:tcBorders>
            <w:hideMark/>
          </w:tcPr>
          <w:p w14:paraId="40C5E230" w14:textId="77777777" w:rsidR="003F403A" w:rsidRPr="00A83314" w:rsidRDefault="003F403A">
            <w:pPr>
              <w:pStyle w:val="VCAAtablecondensedheading"/>
            </w:pPr>
            <w:r w:rsidRPr="00A83314">
              <w:t>Average</w:t>
            </w:r>
          </w:p>
        </w:tc>
      </w:tr>
      <w:tr w:rsidR="003F403A" w:rsidRPr="00A83314" w14:paraId="122BA737"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0E56D"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E8BBF" w14:textId="30DFD9B4" w:rsidR="003F403A" w:rsidRPr="00A83314" w:rsidRDefault="00A33CCD">
            <w:pPr>
              <w:pStyle w:val="VCAAtablecondensed"/>
            </w:pPr>
            <w:r w:rsidRPr="00A83314">
              <w:t>13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4069C" w14:textId="179F23B7" w:rsidR="003F403A" w:rsidRPr="00A83314" w:rsidRDefault="00A33CCD">
            <w:pPr>
              <w:pStyle w:val="VCAAtablecondensed"/>
            </w:pPr>
            <w:r w:rsidRPr="00A83314">
              <w:t>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E81EA" w14:textId="391B01A9" w:rsidR="003F403A" w:rsidRPr="00A83314" w:rsidRDefault="00A33CCD">
            <w:pPr>
              <w:pStyle w:val="VCAAtablecondensed"/>
            </w:pPr>
            <w:r w:rsidRPr="00A83314">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AAF92" w14:textId="5CD6EC1E" w:rsidR="003F403A" w:rsidRPr="00A83314" w:rsidRDefault="00A33CCD">
            <w:pPr>
              <w:pStyle w:val="VCAAtablecondensed"/>
            </w:pPr>
            <w:r w:rsidRPr="00A83314">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E4B68" w14:textId="7A112A72" w:rsidR="003F403A" w:rsidRPr="00A83314" w:rsidRDefault="00A33CCD">
            <w:pPr>
              <w:pStyle w:val="VCAAtablecondensed"/>
            </w:pPr>
            <w:r w:rsidRPr="00A83314">
              <w:t>21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A6AE" w14:textId="7CB6E4C5" w:rsidR="003F403A" w:rsidRPr="00A83314" w:rsidRDefault="00A33CCD">
            <w:pPr>
              <w:pStyle w:val="VCAAtablecondensed"/>
            </w:pPr>
            <w:r w:rsidRPr="00A83314">
              <w:t>17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A2924" w14:textId="7F13AE30" w:rsidR="003F403A" w:rsidRPr="00A83314" w:rsidRDefault="00A33CCD">
            <w:pPr>
              <w:pStyle w:val="VCAAtablecondensed"/>
            </w:pPr>
            <w:r w:rsidRPr="00A83314">
              <w:t>15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9324D" w14:textId="55F592D1" w:rsidR="003F403A" w:rsidRPr="00A83314" w:rsidRDefault="00A33CCD">
            <w:pPr>
              <w:pStyle w:val="VCAAtablecondensed"/>
            </w:pPr>
            <w:r w:rsidRPr="00A83314">
              <w:t>3.4</w:t>
            </w:r>
          </w:p>
        </w:tc>
      </w:tr>
    </w:tbl>
    <w:p w14:paraId="14B813BD" w14:textId="008A1A53" w:rsidR="000421EB" w:rsidRPr="00A83314" w:rsidRDefault="007A4274" w:rsidP="00172350">
      <w:pPr>
        <w:pStyle w:val="VCAAbody"/>
        <w:rPr>
          <w:lang w:val="en-GB" w:eastAsia="ja-JP"/>
        </w:rPr>
      </w:pPr>
      <w:r w:rsidRPr="00A83314">
        <w:rPr>
          <w:lang w:val="en-GB" w:eastAsia="ja-JP"/>
        </w:rPr>
        <w:t xml:space="preserve">This question required students to </w:t>
      </w:r>
      <w:r w:rsidR="009457E9" w:rsidRPr="00A83314">
        <w:rPr>
          <w:lang w:val="en-GB" w:eastAsia="ja-JP"/>
        </w:rPr>
        <w:t xml:space="preserve">examine the influence </w:t>
      </w:r>
      <w:r w:rsidR="003553F9" w:rsidRPr="00A83314">
        <w:rPr>
          <w:lang w:val="en-GB" w:eastAsia="ja-JP"/>
        </w:rPr>
        <w:t xml:space="preserve">of </w:t>
      </w:r>
      <w:r w:rsidR="009457E9" w:rsidRPr="00A83314">
        <w:rPr>
          <w:lang w:val="en-GB" w:eastAsia="ja-JP"/>
        </w:rPr>
        <w:t xml:space="preserve">a social movement </w:t>
      </w:r>
      <w:r w:rsidR="003553F9" w:rsidRPr="00A83314">
        <w:rPr>
          <w:lang w:val="en-GB" w:eastAsia="ja-JP"/>
        </w:rPr>
        <w:t xml:space="preserve">they </w:t>
      </w:r>
      <w:r w:rsidR="009457E9" w:rsidRPr="00A83314">
        <w:rPr>
          <w:lang w:val="en-GB" w:eastAsia="ja-JP"/>
        </w:rPr>
        <w:t xml:space="preserve">studied </w:t>
      </w:r>
      <w:r w:rsidR="003553F9" w:rsidRPr="00A83314">
        <w:rPr>
          <w:lang w:val="en-GB" w:eastAsia="ja-JP"/>
        </w:rPr>
        <w:t xml:space="preserve">in achieving </w:t>
      </w:r>
      <w:r w:rsidR="009457E9" w:rsidRPr="00A83314">
        <w:rPr>
          <w:lang w:val="en-GB" w:eastAsia="ja-JP"/>
        </w:rPr>
        <w:t xml:space="preserve">social change. </w:t>
      </w:r>
      <w:r w:rsidR="003553F9" w:rsidRPr="00A83314">
        <w:rPr>
          <w:lang w:val="en-GB" w:eastAsia="ja-JP"/>
        </w:rPr>
        <w:t>T</w:t>
      </w:r>
      <w:r w:rsidR="009457E9" w:rsidRPr="00A83314">
        <w:rPr>
          <w:lang w:val="en-GB" w:eastAsia="ja-JP"/>
        </w:rPr>
        <w:t>hey needed to examine how two factors assisted or prevented this change.</w:t>
      </w:r>
    </w:p>
    <w:p w14:paraId="3F561C25" w14:textId="7ABD3C22" w:rsidR="009457E9" w:rsidRPr="00A83314" w:rsidRDefault="009457E9" w:rsidP="00172350">
      <w:pPr>
        <w:pStyle w:val="VCAAbody"/>
        <w:rPr>
          <w:lang w:val="en-GB" w:eastAsia="ja-JP"/>
        </w:rPr>
      </w:pPr>
      <w:r w:rsidRPr="00A83314">
        <w:rPr>
          <w:lang w:val="en-GB" w:eastAsia="ja-JP"/>
        </w:rPr>
        <w:t>For full marks, students needed to:</w:t>
      </w:r>
    </w:p>
    <w:p w14:paraId="4CD90928" w14:textId="70456DD8" w:rsidR="009457E9" w:rsidRPr="00A83314" w:rsidRDefault="009457E9" w:rsidP="00070010">
      <w:pPr>
        <w:pStyle w:val="VCAAbullet"/>
      </w:pPr>
      <w:r w:rsidRPr="00A83314">
        <w:t>demonstrate an understanding of social change. For example:</w:t>
      </w:r>
    </w:p>
    <w:p w14:paraId="3293E1CB" w14:textId="11E11046" w:rsidR="009457E9" w:rsidRPr="00A83314" w:rsidRDefault="00716ECB" w:rsidP="00070010">
      <w:pPr>
        <w:pStyle w:val="VCAAbulletlevel2"/>
      </w:pPr>
      <w:r w:rsidRPr="00A83314">
        <w:t>Social change refers to the alteration of culture and social institutions over time, reflected in social behaviour. Social change may be slow or rapid depending on the type of change desired.</w:t>
      </w:r>
    </w:p>
    <w:p w14:paraId="48B8E2C1" w14:textId="6EDA6EC9" w:rsidR="009457E9" w:rsidRPr="00A83314" w:rsidRDefault="009457E9" w:rsidP="00070010">
      <w:pPr>
        <w:pStyle w:val="VCAAbullet"/>
      </w:pPr>
      <w:r w:rsidRPr="00A83314">
        <w:t>identify a social movement and describe their desired social change</w:t>
      </w:r>
    </w:p>
    <w:p w14:paraId="74F30076" w14:textId="17C74517" w:rsidR="009457E9" w:rsidRPr="00A83314" w:rsidRDefault="009457E9" w:rsidP="00070010">
      <w:pPr>
        <w:pStyle w:val="VCAAbullet"/>
      </w:pPr>
      <w:r w:rsidRPr="00A83314">
        <w:t xml:space="preserve">identify two factors and explain how each </w:t>
      </w:r>
      <w:r w:rsidR="000761A6" w:rsidRPr="00A83314">
        <w:t>was</w:t>
      </w:r>
      <w:r w:rsidRPr="00A83314">
        <w:t xml:space="preserve"> connected to social change. For example:</w:t>
      </w:r>
    </w:p>
    <w:p w14:paraId="65303550" w14:textId="13394D6A" w:rsidR="009457E9" w:rsidRPr="00A83314" w:rsidRDefault="009457E9" w:rsidP="00070010">
      <w:pPr>
        <w:pStyle w:val="VCAAbulletlevel2"/>
      </w:pPr>
      <w:r w:rsidRPr="00A83314">
        <w:t>access to power, stage of the social movement, the movement’s opposition</w:t>
      </w:r>
      <w:r w:rsidR="000761A6" w:rsidRPr="00A83314">
        <w:t xml:space="preserve"> or the </w:t>
      </w:r>
      <w:r w:rsidRPr="00A83314">
        <w:t>movement</w:t>
      </w:r>
      <w:r w:rsidR="000761A6" w:rsidRPr="00A83314">
        <w:t>’s</w:t>
      </w:r>
      <w:r w:rsidRPr="00A83314">
        <w:t xml:space="preserve"> leadership</w:t>
      </w:r>
      <w:r w:rsidR="000761A6" w:rsidRPr="00A83314">
        <w:t>.</w:t>
      </w:r>
    </w:p>
    <w:p w14:paraId="77D9A851" w14:textId="4D2082AC" w:rsidR="00A21DED" w:rsidRPr="00A83314" w:rsidRDefault="00287F99" w:rsidP="00172350">
      <w:pPr>
        <w:pStyle w:val="VCAAbody"/>
      </w:pPr>
      <w:r w:rsidRPr="00A83314">
        <w:t>Lower</w:t>
      </w:r>
      <w:r w:rsidR="00EC76EE" w:rsidRPr="00A83314">
        <w:t>-</w:t>
      </w:r>
      <w:r w:rsidRPr="00A83314">
        <w:t xml:space="preserve">scoring responses </w:t>
      </w:r>
      <w:r w:rsidR="00A21DED" w:rsidRPr="00A83314">
        <w:t>did not make explicit links to social change</w:t>
      </w:r>
      <w:r w:rsidRPr="00A83314">
        <w:t>.</w:t>
      </w:r>
    </w:p>
    <w:p w14:paraId="5D58FA65" w14:textId="07416A72" w:rsidR="009457E9" w:rsidRPr="00A83314" w:rsidRDefault="009457E9" w:rsidP="00172350">
      <w:pPr>
        <w:pStyle w:val="VCAAbody"/>
      </w:pPr>
      <w:r w:rsidRPr="00A83314">
        <w:t xml:space="preserve">The following </w:t>
      </w:r>
      <w:r w:rsidR="00287F99" w:rsidRPr="00A83314">
        <w:t xml:space="preserve">is an </w:t>
      </w:r>
      <w:r w:rsidRPr="00A83314">
        <w:t>excerpt from a high-scoring response</w:t>
      </w:r>
      <w:r w:rsidR="00287F99" w:rsidRPr="00A83314">
        <w:t>.</w:t>
      </w:r>
    </w:p>
    <w:p w14:paraId="250FFF6A" w14:textId="77777777" w:rsidR="002308C5" w:rsidRPr="00A83314" w:rsidRDefault="004D7D5F" w:rsidP="00CD3FA8">
      <w:pPr>
        <w:pStyle w:val="VCAAstudentresponse"/>
      </w:pPr>
      <w:r w:rsidRPr="00A83314">
        <w:t xml:space="preserve">The second factor that prevented the goal of </w:t>
      </w:r>
      <w:proofErr w:type="spellStart"/>
      <w:r w:rsidRPr="00A83314">
        <w:t>legalising</w:t>
      </w:r>
      <w:proofErr w:type="spellEnd"/>
      <w:r w:rsidRPr="00A83314">
        <w:t xml:space="preserve"> same-sex marriage was a cultural factor … The opposition specifically was the Australian Christian Lobby (A.C.L) who had long been promoting gay conversion therapy and had a fairly big influence on society, arguing that it ‘is okay to say no’ to same-sex marriage as it was ‘a sin’. However, due to the millions of people who gathered to protest, do rallies, send out online </w:t>
      </w:r>
      <w:r w:rsidR="00071DFC" w:rsidRPr="00A83314">
        <w:t>hashtags</w:t>
      </w:r>
      <w:r w:rsidRPr="00A83314">
        <w:t xml:space="preserve"> such as #</w:t>
      </w:r>
      <w:r w:rsidR="00071DFC" w:rsidRPr="00A83314">
        <w:t>Vote yes</w:t>
      </w:r>
      <w:r w:rsidRPr="00A83314">
        <w:t xml:space="preserve">, the A.M.E.M [Australian Marriage Equality movement] managed … to </w:t>
      </w:r>
      <w:proofErr w:type="spellStart"/>
      <w:r w:rsidRPr="00A83314">
        <w:t>legalise</w:t>
      </w:r>
      <w:proofErr w:type="spellEnd"/>
      <w:r w:rsidRPr="00A83314">
        <w:t xml:space="preserve"> same-sex marriage.</w:t>
      </w:r>
    </w:p>
    <w:p w14:paraId="6C98C144" w14:textId="1C6677F1" w:rsidR="007F4D2F" w:rsidRPr="00A83314" w:rsidRDefault="007F4D2F" w:rsidP="00172350">
      <w:pPr>
        <w:pStyle w:val="VCAAHeading2"/>
        <w:rPr>
          <w:lang w:val="en-GB" w:eastAsia="ja-JP"/>
        </w:rPr>
      </w:pPr>
      <w:r w:rsidRPr="00A83314">
        <w:rPr>
          <w:lang w:val="en-GB" w:eastAsia="ja-JP"/>
        </w:rPr>
        <w:t>Section B</w:t>
      </w:r>
    </w:p>
    <w:p w14:paraId="5A3938C2" w14:textId="3B555383" w:rsidR="00E30E82" w:rsidRPr="00A83314" w:rsidRDefault="00E30E82" w:rsidP="00E30E82">
      <w:pPr>
        <w:pStyle w:val="VCAAbody"/>
        <w:rPr>
          <w:rFonts w:eastAsia="Times New Roman"/>
          <w:color w:val="auto"/>
          <w:kern w:val="22"/>
          <w:lang w:val="en-GB" w:eastAsia="ja-JP"/>
        </w:rPr>
      </w:pPr>
      <w:r w:rsidRPr="00A83314">
        <w:rPr>
          <w:rFonts w:eastAsia="Times New Roman"/>
          <w:color w:val="auto"/>
          <w:kern w:val="22"/>
          <w:lang w:val="en-GB" w:eastAsia="ja-JP"/>
        </w:rPr>
        <w:t xml:space="preserve">In preparing students for their examination, teachers are reminded that the extended response answers are assessed against specific criteria. These criteria are outlined in the </w:t>
      </w:r>
      <w:hyperlink r:id="rId8" w:history="1">
        <w:r w:rsidRPr="004B074D">
          <w:rPr>
            <w:rStyle w:val="Hyperlink"/>
            <w:rFonts w:eastAsia="Times New Roman"/>
            <w:kern w:val="22"/>
            <w:lang w:val="en-GB" w:eastAsia="ja-JP"/>
          </w:rPr>
          <w:t>VCE Sociology examination specifications</w:t>
        </w:r>
      </w:hyperlink>
      <w:r w:rsidRPr="00A83314">
        <w:rPr>
          <w:rFonts w:eastAsia="Times New Roman"/>
          <w:color w:val="auto"/>
          <w:kern w:val="22"/>
          <w:lang w:val="en-GB" w:eastAsia="ja-JP"/>
        </w:rPr>
        <w:t xml:space="preserve">, as well as being listed on the last page of the examination paper. </w:t>
      </w:r>
    </w:p>
    <w:p w14:paraId="60435194" w14:textId="2B970314" w:rsidR="00E30E82" w:rsidRPr="00A83314" w:rsidRDefault="00E30E82" w:rsidP="00E30E82">
      <w:pPr>
        <w:pStyle w:val="VCAAbody"/>
        <w:rPr>
          <w:lang w:val="en-GB" w:eastAsia="ja-JP"/>
        </w:rPr>
      </w:pPr>
      <w:r w:rsidRPr="00A83314">
        <w:rPr>
          <w:lang w:val="en-GB" w:eastAsia="ja-JP"/>
        </w:rPr>
        <w:t>Stronger responses to Section B included an exploration of the individual and interrelated elements of these complex questions. In addition, they were supported by relevant sourced evidence.</w:t>
      </w:r>
      <w:r w:rsidR="00DB11A9" w:rsidRPr="00A83314">
        <w:rPr>
          <w:lang w:val="en-GB" w:eastAsia="ja-JP"/>
        </w:rPr>
        <w:t xml:space="preserve"> </w:t>
      </w:r>
      <w:r w:rsidRPr="00A83314">
        <w:rPr>
          <w:lang w:val="en-GB" w:eastAsia="ja-JP"/>
        </w:rPr>
        <w:t xml:space="preserve">Many responses were incomplete or underdeveloped. They also </w:t>
      </w:r>
      <w:r w:rsidR="00671851" w:rsidRPr="00A83314">
        <w:rPr>
          <w:lang w:val="en-GB" w:eastAsia="ja-JP"/>
        </w:rPr>
        <w:t>referred</w:t>
      </w:r>
      <w:r w:rsidRPr="00A83314">
        <w:rPr>
          <w:lang w:val="en-GB" w:eastAsia="ja-JP"/>
        </w:rPr>
        <w:t xml:space="preserve"> to general anecdotes rather than specific evidence.</w:t>
      </w:r>
    </w:p>
    <w:p w14:paraId="0ACE5809" w14:textId="1536361A" w:rsidR="007F4D2F" w:rsidRPr="00A83314" w:rsidRDefault="007F4D2F" w:rsidP="00172350">
      <w:pPr>
        <w:pStyle w:val="VCAAHeading3"/>
        <w:rPr>
          <w:lang w:val="en-GB" w:eastAsia="ja-JP"/>
        </w:rPr>
      </w:pPr>
      <w:r w:rsidRPr="00A83314">
        <w:rPr>
          <w:lang w:val="en-GB" w:eastAsia="ja-JP"/>
        </w:rPr>
        <w:t>Question 1</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432"/>
        <w:gridCol w:w="432"/>
        <w:gridCol w:w="432"/>
        <w:gridCol w:w="432"/>
        <w:gridCol w:w="1008"/>
      </w:tblGrid>
      <w:tr w:rsidR="00933343" w:rsidRPr="00A83314" w14:paraId="27B082B4"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hideMark/>
          </w:tcPr>
          <w:p w14:paraId="4CD70E1D" w14:textId="77777777" w:rsidR="003F403A" w:rsidRPr="00A83314" w:rsidRDefault="003F403A" w:rsidP="003F403A">
            <w:pPr>
              <w:pStyle w:val="VCAAtablecondensedheading"/>
            </w:pPr>
            <w:r w:rsidRPr="00A83314">
              <w:t xml:space="preserve">Marks </w:t>
            </w:r>
          </w:p>
        </w:tc>
        <w:tc>
          <w:tcPr>
            <w:tcW w:w="432" w:type="dxa"/>
            <w:hideMark/>
          </w:tcPr>
          <w:p w14:paraId="71455423" w14:textId="77777777" w:rsidR="003F403A" w:rsidRPr="00A83314" w:rsidRDefault="003F403A" w:rsidP="003F403A">
            <w:pPr>
              <w:pStyle w:val="VCAAtablecondensedheading"/>
            </w:pPr>
            <w:r w:rsidRPr="00A83314">
              <w:t>0</w:t>
            </w:r>
          </w:p>
        </w:tc>
        <w:tc>
          <w:tcPr>
            <w:tcW w:w="432" w:type="dxa"/>
            <w:hideMark/>
          </w:tcPr>
          <w:p w14:paraId="0BB9A83F" w14:textId="77777777" w:rsidR="003F403A" w:rsidRPr="00A83314" w:rsidRDefault="003F403A" w:rsidP="003F403A">
            <w:pPr>
              <w:pStyle w:val="VCAAtablecondensedheading"/>
            </w:pPr>
            <w:r w:rsidRPr="00A83314">
              <w:t>1</w:t>
            </w:r>
          </w:p>
        </w:tc>
        <w:tc>
          <w:tcPr>
            <w:tcW w:w="432" w:type="dxa"/>
            <w:hideMark/>
          </w:tcPr>
          <w:p w14:paraId="6C783128" w14:textId="77777777" w:rsidR="003F403A" w:rsidRPr="00A83314" w:rsidRDefault="003F403A" w:rsidP="003F403A">
            <w:pPr>
              <w:pStyle w:val="VCAAtablecondensedheading"/>
            </w:pPr>
            <w:r w:rsidRPr="00A83314">
              <w:t>2</w:t>
            </w:r>
          </w:p>
        </w:tc>
        <w:tc>
          <w:tcPr>
            <w:tcW w:w="432" w:type="dxa"/>
            <w:hideMark/>
          </w:tcPr>
          <w:p w14:paraId="5A02B52E" w14:textId="77777777" w:rsidR="003F403A" w:rsidRPr="00A83314" w:rsidRDefault="003F403A" w:rsidP="003F403A">
            <w:pPr>
              <w:pStyle w:val="VCAAtablecondensedheading"/>
            </w:pPr>
            <w:r w:rsidRPr="00A83314">
              <w:t>3</w:t>
            </w:r>
          </w:p>
        </w:tc>
        <w:tc>
          <w:tcPr>
            <w:tcW w:w="432" w:type="dxa"/>
            <w:hideMark/>
          </w:tcPr>
          <w:p w14:paraId="34ED840C" w14:textId="77777777" w:rsidR="003F403A" w:rsidRPr="00A83314" w:rsidRDefault="003F403A" w:rsidP="003F403A">
            <w:pPr>
              <w:pStyle w:val="VCAAtablecondensedheading"/>
            </w:pPr>
            <w:r w:rsidRPr="00A83314">
              <w:t>4</w:t>
            </w:r>
          </w:p>
        </w:tc>
        <w:tc>
          <w:tcPr>
            <w:tcW w:w="432" w:type="dxa"/>
            <w:hideMark/>
          </w:tcPr>
          <w:p w14:paraId="16EF8E23" w14:textId="77777777" w:rsidR="003F403A" w:rsidRPr="00A83314" w:rsidRDefault="003F403A" w:rsidP="003F403A">
            <w:pPr>
              <w:pStyle w:val="VCAAtablecondensedheading"/>
            </w:pPr>
            <w:r w:rsidRPr="00A83314">
              <w:t>5</w:t>
            </w:r>
          </w:p>
        </w:tc>
        <w:tc>
          <w:tcPr>
            <w:tcW w:w="432" w:type="dxa"/>
            <w:hideMark/>
          </w:tcPr>
          <w:p w14:paraId="7F2C9D04" w14:textId="77777777" w:rsidR="003F403A" w:rsidRPr="00A83314" w:rsidRDefault="003F403A" w:rsidP="003F403A">
            <w:pPr>
              <w:pStyle w:val="VCAAtablecondensedheading"/>
            </w:pPr>
            <w:r w:rsidRPr="00A83314">
              <w:t>6</w:t>
            </w:r>
          </w:p>
        </w:tc>
        <w:tc>
          <w:tcPr>
            <w:tcW w:w="432" w:type="dxa"/>
            <w:hideMark/>
          </w:tcPr>
          <w:p w14:paraId="6D90AD84" w14:textId="77777777" w:rsidR="003F403A" w:rsidRPr="00A83314" w:rsidRDefault="003F403A" w:rsidP="003F403A">
            <w:pPr>
              <w:pStyle w:val="VCAAtablecondensedheading"/>
            </w:pPr>
            <w:r w:rsidRPr="00A83314">
              <w:t>7</w:t>
            </w:r>
          </w:p>
        </w:tc>
        <w:tc>
          <w:tcPr>
            <w:tcW w:w="432" w:type="dxa"/>
            <w:hideMark/>
          </w:tcPr>
          <w:p w14:paraId="625DA5F3" w14:textId="77777777" w:rsidR="003F403A" w:rsidRPr="00A83314" w:rsidRDefault="003F403A" w:rsidP="003F403A">
            <w:pPr>
              <w:pStyle w:val="VCAAtablecondensedheading"/>
            </w:pPr>
            <w:r w:rsidRPr="00A83314">
              <w:t>8</w:t>
            </w:r>
          </w:p>
        </w:tc>
        <w:tc>
          <w:tcPr>
            <w:tcW w:w="432" w:type="dxa"/>
            <w:hideMark/>
          </w:tcPr>
          <w:p w14:paraId="3DB44500" w14:textId="77777777" w:rsidR="003F403A" w:rsidRPr="00A83314" w:rsidRDefault="003F403A" w:rsidP="003F403A">
            <w:pPr>
              <w:pStyle w:val="VCAAtablecondensedheading"/>
            </w:pPr>
            <w:r w:rsidRPr="00A83314">
              <w:t>9</w:t>
            </w:r>
          </w:p>
        </w:tc>
        <w:tc>
          <w:tcPr>
            <w:tcW w:w="432" w:type="dxa"/>
            <w:hideMark/>
          </w:tcPr>
          <w:p w14:paraId="47C7F627" w14:textId="77777777" w:rsidR="003F403A" w:rsidRPr="00A83314" w:rsidRDefault="003F403A" w:rsidP="003F403A">
            <w:pPr>
              <w:pStyle w:val="VCAAtablecondensedheading"/>
            </w:pPr>
            <w:r w:rsidRPr="00A83314">
              <w:t>10</w:t>
            </w:r>
          </w:p>
        </w:tc>
        <w:tc>
          <w:tcPr>
            <w:tcW w:w="1008" w:type="dxa"/>
            <w:hideMark/>
          </w:tcPr>
          <w:p w14:paraId="5D3B183F" w14:textId="77777777" w:rsidR="003F403A" w:rsidRPr="00A83314" w:rsidRDefault="003F403A" w:rsidP="003F403A">
            <w:pPr>
              <w:pStyle w:val="VCAAtablecondensedheading"/>
            </w:pPr>
            <w:r w:rsidRPr="00A83314">
              <w:t>Average</w:t>
            </w:r>
          </w:p>
        </w:tc>
      </w:tr>
      <w:tr w:rsidR="003F403A" w:rsidRPr="00A83314" w14:paraId="6255B3CD" w14:textId="77777777" w:rsidTr="006C2D4C">
        <w:tc>
          <w:tcPr>
            <w:tcW w:w="720" w:type="dxa"/>
            <w:hideMark/>
          </w:tcPr>
          <w:p w14:paraId="01C5186C" w14:textId="77777777" w:rsidR="003F403A" w:rsidRPr="00A83314" w:rsidRDefault="003F403A" w:rsidP="003F403A">
            <w:pPr>
              <w:pStyle w:val="VCAAtablecondensed"/>
            </w:pPr>
            <w:r w:rsidRPr="00A83314">
              <w:t>%</w:t>
            </w:r>
          </w:p>
        </w:tc>
        <w:tc>
          <w:tcPr>
            <w:tcW w:w="432" w:type="dxa"/>
          </w:tcPr>
          <w:p w14:paraId="014691F3" w14:textId="018CD8C4" w:rsidR="003F403A" w:rsidRPr="00A83314" w:rsidRDefault="00A33CCD" w:rsidP="003F403A">
            <w:pPr>
              <w:pStyle w:val="VCAAtablecondensed"/>
            </w:pPr>
            <w:r w:rsidRPr="00A83314">
              <w:t>16</w:t>
            </w:r>
          </w:p>
        </w:tc>
        <w:tc>
          <w:tcPr>
            <w:tcW w:w="432" w:type="dxa"/>
          </w:tcPr>
          <w:p w14:paraId="0B59B8ED" w14:textId="2FBB0810" w:rsidR="003F403A" w:rsidRPr="00A83314" w:rsidRDefault="00A33CCD" w:rsidP="003F403A">
            <w:pPr>
              <w:pStyle w:val="VCAAtablecondensed"/>
            </w:pPr>
            <w:r w:rsidRPr="00A83314">
              <w:t>12</w:t>
            </w:r>
          </w:p>
        </w:tc>
        <w:tc>
          <w:tcPr>
            <w:tcW w:w="432" w:type="dxa"/>
          </w:tcPr>
          <w:p w14:paraId="0C181591" w14:textId="49DF4EF0" w:rsidR="003F403A" w:rsidRPr="00A83314" w:rsidRDefault="00A33CCD" w:rsidP="003F403A">
            <w:pPr>
              <w:pStyle w:val="VCAAtablecondensed"/>
            </w:pPr>
            <w:r w:rsidRPr="00A83314">
              <w:t>12</w:t>
            </w:r>
          </w:p>
        </w:tc>
        <w:tc>
          <w:tcPr>
            <w:tcW w:w="432" w:type="dxa"/>
          </w:tcPr>
          <w:p w14:paraId="1300083E" w14:textId="2708D82D" w:rsidR="003F403A" w:rsidRPr="00A83314" w:rsidRDefault="00A33CCD" w:rsidP="003F403A">
            <w:pPr>
              <w:pStyle w:val="VCAAtablecondensed"/>
            </w:pPr>
            <w:r w:rsidRPr="00A83314">
              <w:t>15</w:t>
            </w:r>
          </w:p>
        </w:tc>
        <w:tc>
          <w:tcPr>
            <w:tcW w:w="432" w:type="dxa"/>
          </w:tcPr>
          <w:p w14:paraId="0348F0C6" w14:textId="198D48A5" w:rsidR="003F403A" w:rsidRPr="00A83314" w:rsidRDefault="00A33CCD" w:rsidP="003F403A">
            <w:pPr>
              <w:pStyle w:val="VCAAtablecondensed"/>
            </w:pPr>
            <w:r w:rsidRPr="00A83314">
              <w:t>13</w:t>
            </w:r>
          </w:p>
        </w:tc>
        <w:tc>
          <w:tcPr>
            <w:tcW w:w="432" w:type="dxa"/>
          </w:tcPr>
          <w:p w14:paraId="20499515" w14:textId="225AD7FA" w:rsidR="003F403A" w:rsidRPr="00A83314" w:rsidRDefault="00A33CCD" w:rsidP="003F403A">
            <w:pPr>
              <w:pStyle w:val="VCAAtablecondensed"/>
            </w:pPr>
            <w:r w:rsidRPr="00A83314">
              <w:t>9</w:t>
            </w:r>
          </w:p>
        </w:tc>
        <w:tc>
          <w:tcPr>
            <w:tcW w:w="432" w:type="dxa"/>
          </w:tcPr>
          <w:p w14:paraId="41E918A9" w14:textId="3D81071B" w:rsidR="003F403A" w:rsidRPr="00A83314" w:rsidRDefault="00A33CCD" w:rsidP="003F403A">
            <w:pPr>
              <w:pStyle w:val="VCAAtablecondensed"/>
            </w:pPr>
            <w:r w:rsidRPr="00A83314">
              <w:t>7</w:t>
            </w:r>
          </w:p>
        </w:tc>
        <w:tc>
          <w:tcPr>
            <w:tcW w:w="432" w:type="dxa"/>
          </w:tcPr>
          <w:p w14:paraId="2663D9BC" w14:textId="03B41F61" w:rsidR="003F403A" w:rsidRPr="00A83314" w:rsidRDefault="00A33CCD" w:rsidP="003F403A">
            <w:pPr>
              <w:pStyle w:val="VCAAtablecondensed"/>
            </w:pPr>
            <w:r w:rsidRPr="00A83314">
              <w:t>6</w:t>
            </w:r>
          </w:p>
        </w:tc>
        <w:tc>
          <w:tcPr>
            <w:tcW w:w="432" w:type="dxa"/>
          </w:tcPr>
          <w:p w14:paraId="5FA4C448" w14:textId="67E28853" w:rsidR="003F403A" w:rsidRPr="00A83314" w:rsidRDefault="00A33CCD" w:rsidP="003F403A">
            <w:pPr>
              <w:pStyle w:val="VCAAtablecondensed"/>
            </w:pPr>
            <w:r w:rsidRPr="00A83314">
              <w:t>6</w:t>
            </w:r>
          </w:p>
        </w:tc>
        <w:tc>
          <w:tcPr>
            <w:tcW w:w="432" w:type="dxa"/>
          </w:tcPr>
          <w:p w14:paraId="4F0AE6D5" w14:textId="44E1DB63" w:rsidR="003F403A" w:rsidRPr="00A83314" w:rsidRDefault="00A33CCD" w:rsidP="003F403A">
            <w:pPr>
              <w:pStyle w:val="VCAAtablecondensed"/>
            </w:pPr>
            <w:r w:rsidRPr="00A83314">
              <w:t>3</w:t>
            </w:r>
          </w:p>
        </w:tc>
        <w:tc>
          <w:tcPr>
            <w:tcW w:w="432" w:type="dxa"/>
          </w:tcPr>
          <w:p w14:paraId="704649B3" w14:textId="0B0E4101" w:rsidR="003F403A" w:rsidRPr="00A83314" w:rsidRDefault="00A33CCD" w:rsidP="003F403A">
            <w:pPr>
              <w:pStyle w:val="VCAAtablecondensed"/>
            </w:pPr>
            <w:r w:rsidRPr="00A83314">
              <w:t>1</w:t>
            </w:r>
          </w:p>
        </w:tc>
        <w:tc>
          <w:tcPr>
            <w:tcW w:w="1008" w:type="dxa"/>
          </w:tcPr>
          <w:p w14:paraId="53864D70" w14:textId="3E077CA2" w:rsidR="003F403A" w:rsidRPr="00A83314" w:rsidRDefault="00A33CCD" w:rsidP="003F403A">
            <w:pPr>
              <w:pStyle w:val="VCAAtablecondensed"/>
            </w:pPr>
            <w:r w:rsidRPr="00A83314">
              <w:t>3.5</w:t>
            </w:r>
          </w:p>
        </w:tc>
      </w:tr>
    </w:tbl>
    <w:p w14:paraId="1846979B" w14:textId="67BDB6AF" w:rsidR="00B8428B" w:rsidRPr="00A83314" w:rsidRDefault="00B8428B" w:rsidP="006630A3">
      <w:pPr>
        <w:pStyle w:val="VCAAbody"/>
        <w:rPr>
          <w:lang w:val="en-GB" w:eastAsia="ja-JP"/>
        </w:rPr>
      </w:pPr>
      <w:r w:rsidRPr="00A83314">
        <w:rPr>
          <w:lang w:val="en-GB" w:eastAsia="ja-JP"/>
        </w:rPr>
        <w:t xml:space="preserve">This question required students to discuss the implications of an Indigenous and </w:t>
      </w:r>
      <w:r w:rsidR="006630A3" w:rsidRPr="00A83314">
        <w:rPr>
          <w:lang w:val="en-GB" w:eastAsia="ja-JP"/>
        </w:rPr>
        <w:t xml:space="preserve">a </w:t>
      </w:r>
      <w:r w:rsidRPr="00A83314">
        <w:rPr>
          <w:lang w:val="en-GB" w:eastAsia="ja-JP"/>
        </w:rPr>
        <w:t xml:space="preserve">non-Indigenous response to an issue studied this year. </w:t>
      </w:r>
    </w:p>
    <w:p w14:paraId="5E556238" w14:textId="442F74A5" w:rsidR="00B8428B" w:rsidRPr="00A83314" w:rsidRDefault="00B8428B" w:rsidP="00172350">
      <w:pPr>
        <w:pStyle w:val="VCAAbody"/>
        <w:rPr>
          <w:lang w:val="en-GB" w:eastAsia="ja-JP"/>
        </w:rPr>
      </w:pPr>
      <w:r w:rsidRPr="00A83314">
        <w:rPr>
          <w:lang w:val="en-GB" w:eastAsia="ja-JP"/>
        </w:rPr>
        <w:t>Students were required to:</w:t>
      </w:r>
    </w:p>
    <w:p w14:paraId="6B9AB754" w14:textId="26A0C8E5" w:rsidR="00B8428B" w:rsidRPr="00A83314" w:rsidRDefault="00B8428B" w:rsidP="00070010">
      <w:pPr>
        <w:pStyle w:val="VCAAbullet"/>
      </w:pPr>
      <w:r w:rsidRPr="00A83314">
        <w:t>identify and briefly describe one issue relating to Australian Indigenous culture</w:t>
      </w:r>
    </w:p>
    <w:p w14:paraId="7903B2DA" w14:textId="34A36B21" w:rsidR="00B8428B" w:rsidRPr="00A83314" w:rsidRDefault="00B8428B" w:rsidP="00070010">
      <w:pPr>
        <w:pStyle w:val="VCAAbullet"/>
      </w:pPr>
      <w:r w:rsidRPr="00A83314">
        <w:t>demonstrate an understanding of awareness (</w:t>
      </w:r>
      <w:proofErr w:type="gramStart"/>
      <w:r w:rsidRPr="00A83314">
        <w:t>i.e.</w:t>
      </w:r>
      <w:proofErr w:type="gramEnd"/>
      <w:r w:rsidRPr="00A83314">
        <w:t xml:space="preserve"> knowledge and understanding) and views (i.e. opinions and perceptions)</w:t>
      </w:r>
    </w:p>
    <w:p w14:paraId="7C51A07C" w14:textId="288B012D" w:rsidR="00B8428B" w:rsidRPr="00A83314" w:rsidRDefault="00B8428B" w:rsidP="00070010">
      <w:pPr>
        <w:pStyle w:val="VCAAbullet"/>
      </w:pPr>
      <w:r w:rsidRPr="00A83314">
        <w:t>identify and outline one Indigenous response to the issue</w:t>
      </w:r>
    </w:p>
    <w:p w14:paraId="0E340820" w14:textId="3D70468D" w:rsidR="00B8428B" w:rsidRPr="00A83314" w:rsidRDefault="00B8428B" w:rsidP="00070010">
      <w:pPr>
        <w:pStyle w:val="VCAAbullet"/>
      </w:pPr>
      <w:r w:rsidRPr="00A83314">
        <w:t xml:space="preserve">identify and outline one non-Indigenous response to </w:t>
      </w:r>
      <w:r w:rsidR="00A8096A" w:rsidRPr="00A83314">
        <w:t xml:space="preserve">the </w:t>
      </w:r>
      <w:r w:rsidRPr="00A83314">
        <w:t>issue</w:t>
      </w:r>
    </w:p>
    <w:p w14:paraId="62189DC9" w14:textId="34CB22BE" w:rsidR="00B8428B" w:rsidRPr="00A83314" w:rsidRDefault="00B8428B" w:rsidP="00070010">
      <w:pPr>
        <w:pStyle w:val="VCAAbullet"/>
      </w:pPr>
      <w:r w:rsidRPr="00A83314">
        <w:lastRenderedPageBreak/>
        <w:t>link each response to the likely shaping of public views. This impact may have been positive and/or negative</w:t>
      </w:r>
    </w:p>
    <w:p w14:paraId="68EC5120" w14:textId="3B297362" w:rsidR="00B8428B" w:rsidRPr="00A83314" w:rsidRDefault="00B8428B" w:rsidP="00070010">
      <w:pPr>
        <w:pStyle w:val="VCAAbullet"/>
      </w:pPr>
      <w:r w:rsidRPr="00A83314">
        <w:t>use relevant sourced evidence to support their discussion.</w:t>
      </w:r>
    </w:p>
    <w:p w14:paraId="40227ADA" w14:textId="2BE58EED" w:rsidR="006630A3" w:rsidRPr="00A83314" w:rsidRDefault="006630A3" w:rsidP="00CD3FA8">
      <w:pPr>
        <w:pStyle w:val="VCAAbody"/>
      </w:pPr>
      <w:r w:rsidRPr="00A83314">
        <w:t>Higher</w:t>
      </w:r>
      <w:r w:rsidR="00EC76EE" w:rsidRPr="00A83314">
        <w:t>-</w:t>
      </w:r>
      <w:r w:rsidRPr="00A83314">
        <w:t>scoring responses discussed the implications of these responses for the shaping of views of Australian Indigenous culture</w:t>
      </w:r>
      <w:r w:rsidR="00EC76EE" w:rsidRPr="00A83314">
        <w:t>, f</w:t>
      </w:r>
      <w:r w:rsidRPr="00A83314">
        <w:t>or example, how and in what way a culturally relative or ethnocentric view might encourage or impede reconciliation.</w:t>
      </w:r>
    </w:p>
    <w:p w14:paraId="370F62DB"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64504E3D" w14:textId="77777777" w:rsidR="00BA3C97" w:rsidRPr="00A83314" w:rsidRDefault="00BA3C97" w:rsidP="00A83314">
      <w:pPr>
        <w:pStyle w:val="VCAAstudentresponse"/>
      </w:pPr>
      <w:r w:rsidRPr="00A83314">
        <w:t>Evidence of shifting public views of AIC [Australian Indigenous culture] can be seen through the 2019 Essential poll which states that a majority of its respondents support Constitutional Recognition … showing the shift in public awareness and views.</w:t>
      </w:r>
    </w:p>
    <w:p w14:paraId="296B5076" w14:textId="1112A156" w:rsidR="007F4D2F" w:rsidRPr="00A83314" w:rsidRDefault="007F4D2F" w:rsidP="00172350">
      <w:pPr>
        <w:pStyle w:val="VCAAHeading3"/>
        <w:rPr>
          <w:lang w:val="en-GB" w:eastAsia="ja-JP"/>
        </w:rPr>
      </w:pPr>
      <w:r w:rsidRPr="00A83314">
        <w:rPr>
          <w:lang w:val="en-GB" w:eastAsia="ja-JP"/>
        </w:rPr>
        <w:t>Question 2</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432"/>
        <w:gridCol w:w="432"/>
        <w:gridCol w:w="432"/>
        <w:gridCol w:w="432"/>
        <w:gridCol w:w="432"/>
        <w:gridCol w:w="432"/>
        <w:gridCol w:w="432"/>
        <w:gridCol w:w="432"/>
        <w:gridCol w:w="432"/>
        <w:gridCol w:w="432"/>
        <w:gridCol w:w="432"/>
        <w:gridCol w:w="1008"/>
      </w:tblGrid>
      <w:tr w:rsidR="00933343" w:rsidRPr="00A83314" w14:paraId="09674AF0" w14:textId="77777777" w:rsidTr="006C2D4C">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B58A6BA"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3300ED1C"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45952636"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05E7B3B2"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24E5717B"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113F4FE8" w14:textId="77777777" w:rsidR="003F403A" w:rsidRPr="00A83314" w:rsidRDefault="003F403A">
            <w:pPr>
              <w:pStyle w:val="VCAAtablecondensedheading"/>
            </w:pPr>
            <w:r w:rsidRPr="00A83314">
              <w:t>4</w:t>
            </w:r>
          </w:p>
        </w:tc>
        <w:tc>
          <w:tcPr>
            <w:tcW w:w="432" w:type="dxa"/>
            <w:tcBorders>
              <w:top w:val="single" w:sz="4" w:space="0" w:color="000000" w:themeColor="text1"/>
              <w:bottom w:val="single" w:sz="4" w:space="0" w:color="000000" w:themeColor="text1"/>
            </w:tcBorders>
            <w:hideMark/>
          </w:tcPr>
          <w:p w14:paraId="44E9310D" w14:textId="77777777" w:rsidR="003F403A" w:rsidRPr="00A83314" w:rsidRDefault="003F403A">
            <w:pPr>
              <w:pStyle w:val="VCAAtablecondensedheading"/>
            </w:pPr>
            <w:r w:rsidRPr="00A83314">
              <w:t>5</w:t>
            </w:r>
          </w:p>
        </w:tc>
        <w:tc>
          <w:tcPr>
            <w:tcW w:w="432" w:type="dxa"/>
            <w:tcBorders>
              <w:top w:val="single" w:sz="4" w:space="0" w:color="000000" w:themeColor="text1"/>
              <w:bottom w:val="single" w:sz="4" w:space="0" w:color="000000" w:themeColor="text1"/>
            </w:tcBorders>
            <w:hideMark/>
          </w:tcPr>
          <w:p w14:paraId="410B9B49" w14:textId="77777777" w:rsidR="003F403A" w:rsidRPr="00A83314" w:rsidRDefault="003F403A">
            <w:pPr>
              <w:pStyle w:val="VCAAtablecondensedheading"/>
            </w:pPr>
            <w:r w:rsidRPr="00A83314">
              <w:t>6</w:t>
            </w:r>
          </w:p>
        </w:tc>
        <w:tc>
          <w:tcPr>
            <w:tcW w:w="432" w:type="dxa"/>
            <w:tcBorders>
              <w:top w:val="single" w:sz="4" w:space="0" w:color="000000" w:themeColor="text1"/>
              <w:bottom w:val="single" w:sz="4" w:space="0" w:color="000000" w:themeColor="text1"/>
            </w:tcBorders>
            <w:hideMark/>
          </w:tcPr>
          <w:p w14:paraId="75511802" w14:textId="77777777" w:rsidR="003F403A" w:rsidRPr="00A83314" w:rsidRDefault="003F403A">
            <w:pPr>
              <w:pStyle w:val="VCAAtablecondensedheading"/>
            </w:pPr>
            <w:r w:rsidRPr="00A83314">
              <w:t>7</w:t>
            </w:r>
          </w:p>
        </w:tc>
        <w:tc>
          <w:tcPr>
            <w:tcW w:w="432" w:type="dxa"/>
            <w:tcBorders>
              <w:top w:val="single" w:sz="4" w:space="0" w:color="000000" w:themeColor="text1"/>
              <w:bottom w:val="single" w:sz="4" w:space="0" w:color="000000" w:themeColor="text1"/>
            </w:tcBorders>
            <w:hideMark/>
          </w:tcPr>
          <w:p w14:paraId="4312F26C" w14:textId="77777777" w:rsidR="003F403A" w:rsidRPr="00A83314" w:rsidRDefault="003F403A">
            <w:pPr>
              <w:pStyle w:val="VCAAtablecondensedheading"/>
            </w:pPr>
            <w:r w:rsidRPr="00A83314">
              <w:t>8</w:t>
            </w:r>
          </w:p>
        </w:tc>
        <w:tc>
          <w:tcPr>
            <w:tcW w:w="432" w:type="dxa"/>
            <w:tcBorders>
              <w:top w:val="single" w:sz="4" w:space="0" w:color="000000" w:themeColor="text1"/>
              <w:bottom w:val="single" w:sz="4" w:space="0" w:color="000000" w:themeColor="text1"/>
            </w:tcBorders>
            <w:hideMark/>
          </w:tcPr>
          <w:p w14:paraId="48EAF013" w14:textId="77777777" w:rsidR="003F403A" w:rsidRPr="00A83314" w:rsidRDefault="003F403A">
            <w:pPr>
              <w:pStyle w:val="VCAAtablecondensedheading"/>
            </w:pPr>
            <w:r w:rsidRPr="00A83314">
              <w:t>9</w:t>
            </w:r>
          </w:p>
        </w:tc>
        <w:tc>
          <w:tcPr>
            <w:tcW w:w="432" w:type="dxa"/>
            <w:tcBorders>
              <w:top w:val="single" w:sz="4" w:space="0" w:color="000000" w:themeColor="text1"/>
              <w:bottom w:val="single" w:sz="4" w:space="0" w:color="000000" w:themeColor="text1"/>
            </w:tcBorders>
            <w:hideMark/>
          </w:tcPr>
          <w:p w14:paraId="7808F6BE" w14:textId="77777777" w:rsidR="003F403A" w:rsidRPr="00A83314" w:rsidRDefault="003F403A">
            <w:pPr>
              <w:pStyle w:val="VCAAtablecondensedheading"/>
            </w:pPr>
            <w:r w:rsidRPr="00A83314">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0AEEE22B" w14:textId="77777777" w:rsidR="003F403A" w:rsidRPr="00A83314" w:rsidRDefault="003F403A">
            <w:pPr>
              <w:pStyle w:val="VCAAtablecondensedheading"/>
            </w:pPr>
            <w:r w:rsidRPr="00A83314">
              <w:t>Average</w:t>
            </w:r>
          </w:p>
        </w:tc>
      </w:tr>
      <w:tr w:rsidR="003F403A" w:rsidRPr="00A83314" w14:paraId="24796B0D" w14:textId="77777777" w:rsidTr="006C2D4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29F52"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6E73B" w14:textId="7F21D29C" w:rsidR="003F403A" w:rsidRPr="00A83314" w:rsidRDefault="00A33CCD">
            <w:pPr>
              <w:pStyle w:val="VCAAtablecondensed"/>
            </w:pPr>
            <w:r w:rsidRPr="00A83314">
              <w:t>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17F20" w14:textId="171B04A1" w:rsidR="003F403A" w:rsidRPr="00A83314" w:rsidRDefault="00A33CCD">
            <w:pPr>
              <w:pStyle w:val="VCAAtablecondensed"/>
            </w:pPr>
            <w:r w:rsidRPr="00A83314">
              <w:t>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CD69" w14:textId="16A935FE" w:rsidR="003F403A" w:rsidRPr="00A83314" w:rsidRDefault="00A33CCD">
            <w:pPr>
              <w:pStyle w:val="VCAAtablecondensed"/>
            </w:pPr>
            <w:r w:rsidRPr="00A83314">
              <w:t>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065E" w14:textId="1B144304" w:rsidR="003F403A" w:rsidRPr="00A83314" w:rsidRDefault="00A33CCD">
            <w:pPr>
              <w:pStyle w:val="VCAAtablecondensed"/>
            </w:pPr>
            <w:r w:rsidRPr="00A83314">
              <w:t>16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1A18" w14:textId="4647A51C" w:rsidR="003F403A" w:rsidRPr="00A83314" w:rsidRDefault="00A33CCD">
            <w:pPr>
              <w:pStyle w:val="VCAAtablecondensed"/>
            </w:pPr>
            <w:r w:rsidRPr="00A83314">
              <w:t>17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DCB4E" w14:textId="05B97F5E" w:rsidR="003F403A" w:rsidRPr="00A83314" w:rsidRDefault="00A33CCD">
            <w:pPr>
              <w:pStyle w:val="VCAAtablecondensed"/>
            </w:pPr>
            <w:r w:rsidRPr="00A83314">
              <w:t>17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D5F33" w14:textId="4BCA3C05" w:rsidR="003F403A" w:rsidRPr="00A83314" w:rsidRDefault="00A33CCD">
            <w:pPr>
              <w:pStyle w:val="VCAAtablecondensed"/>
            </w:pPr>
            <w:r w:rsidRPr="00A83314">
              <w:t>10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2EFF" w14:textId="6AE3250C" w:rsidR="003F403A" w:rsidRPr="00A83314" w:rsidRDefault="00A33CCD">
            <w:pPr>
              <w:pStyle w:val="VCAAtablecondensed"/>
            </w:pPr>
            <w:r w:rsidRPr="00A83314">
              <w:t>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9D610" w14:textId="054047EF" w:rsidR="003F403A" w:rsidRPr="00A83314" w:rsidRDefault="00A33CCD">
            <w:pPr>
              <w:pStyle w:val="VCAAtablecondensed"/>
            </w:pPr>
            <w:r w:rsidRPr="00A83314">
              <w:t>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5ED18" w14:textId="507CF432" w:rsidR="003F403A" w:rsidRPr="00A83314" w:rsidRDefault="00A33CCD">
            <w:pPr>
              <w:pStyle w:val="VCAAtablecondensed"/>
            </w:pPr>
            <w:r w:rsidRPr="00A83314">
              <w:t>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57DED" w14:textId="38006B34" w:rsidR="003F403A" w:rsidRPr="00A83314" w:rsidRDefault="00A33CCD">
            <w:pPr>
              <w:pStyle w:val="VCAAtablecondensed"/>
            </w:pPr>
            <w:r w:rsidRPr="00A83314">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C9629" w14:textId="43D207F4" w:rsidR="003F403A" w:rsidRPr="00A83314" w:rsidRDefault="00A33CCD">
            <w:pPr>
              <w:pStyle w:val="VCAAtablecondensed"/>
            </w:pPr>
            <w:r w:rsidRPr="00A83314">
              <w:t>4.1</w:t>
            </w:r>
          </w:p>
        </w:tc>
      </w:tr>
    </w:tbl>
    <w:p w14:paraId="47437951" w14:textId="0EFB9733" w:rsidR="00803E0C" w:rsidRPr="00A83314" w:rsidRDefault="009F6328" w:rsidP="00160509">
      <w:pPr>
        <w:pStyle w:val="VCAAbody"/>
      </w:pPr>
      <w:r w:rsidRPr="00A83314">
        <w:t xml:space="preserve">This </w:t>
      </w:r>
      <w:r w:rsidR="00803E0C" w:rsidRPr="00A83314">
        <w:t xml:space="preserve">question required students to </w:t>
      </w:r>
      <w:proofErr w:type="spellStart"/>
      <w:r w:rsidR="00803E0C" w:rsidRPr="00A83314">
        <w:t>analyse</w:t>
      </w:r>
      <w:proofErr w:type="spellEnd"/>
      <w:r w:rsidR="00803E0C" w:rsidRPr="00A83314">
        <w:t xml:space="preserve"> how customs and traditions, a</w:t>
      </w:r>
      <w:r w:rsidR="00A8096A" w:rsidRPr="00A83314">
        <w:t>s well as</w:t>
      </w:r>
      <w:r w:rsidR="00803E0C" w:rsidRPr="00A83314">
        <w:t xml:space="preserve"> social attitudes</w:t>
      </w:r>
      <w:r w:rsidR="006630A3" w:rsidRPr="00A83314">
        <w:t>,</w:t>
      </w:r>
      <w:r w:rsidR="00803E0C" w:rsidRPr="00A83314">
        <w:t xml:space="preserve"> </w:t>
      </w:r>
      <w:r w:rsidR="00A8096A" w:rsidRPr="00A83314">
        <w:t xml:space="preserve">can </w:t>
      </w:r>
      <w:r w:rsidR="00803E0C" w:rsidRPr="00A83314">
        <w:t>act as a barrier and enabler to inclusion.</w:t>
      </w:r>
      <w:r w:rsidR="004A3803" w:rsidRPr="00A83314">
        <w:t xml:space="preserve"> </w:t>
      </w:r>
    </w:p>
    <w:p w14:paraId="5C4016FC" w14:textId="7A306AB5" w:rsidR="00803E0C" w:rsidRPr="00A83314" w:rsidRDefault="00803E0C" w:rsidP="00172350">
      <w:pPr>
        <w:pStyle w:val="VCAAbody"/>
        <w:rPr>
          <w:lang w:val="en-GB" w:eastAsia="ja-JP"/>
        </w:rPr>
      </w:pPr>
      <w:r w:rsidRPr="00A83314">
        <w:rPr>
          <w:lang w:val="en-GB" w:eastAsia="ja-JP"/>
        </w:rPr>
        <w:t>Students were required to:</w:t>
      </w:r>
    </w:p>
    <w:p w14:paraId="2E7A9F56" w14:textId="4B6FB7F5" w:rsidR="00803E0C" w:rsidRPr="00A83314" w:rsidRDefault="00803E0C" w:rsidP="00070010">
      <w:pPr>
        <w:pStyle w:val="VCAAbullet"/>
      </w:pPr>
      <w:r w:rsidRPr="00A83314">
        <w:t xml:space="preserve">demonstrate an understanding of </w:t>
      </w:r>
      <w:r w:rsidR="00066E11" w:rsidRPr="00A83314">
        <w:t>barrier, enabler and inclusion. For example</w:t>
      </w:r>
      <w:r w:rsidRPr="00A83314">
        <w:t>:</w:t>
      </w:r>
    </w:p>
    <w:p w14:paraId="0DF6078A" w14:textId="44AAEB9D" w:rsidR="00803E0C" w:rsidRPr="00A83314" w:rsidRDefault="00803E0C" w:rsidP="00070010">
      <w:pPr>
        <w:pStyle w:val="VCAAbulletlevel2"/>
      </w:pPr>
      <w:r w:rsidRPr="00A83314">
        <w:t>Barrier refers to obstacles that prevent people from feeling a sense of belonging and inclusion in Australia’s multicultural society.</w:t>
      </w:r>
    </w:p>
    <w:p w14:paraId="3B406128" w14:textId="20A8F0A4" w:rsidR="00803E0C" w:rsidRPr="00A83314" w:rsidRDefault="00803E0C" w:rsidP="00070010">
      <w:pPr>
        <w:pStyle w:val="VCAAbulletlevel2"/>
      </w:pPr>
      <w:r w:rsidRPr="00A83314">
        <w:t>Enabler refer</w:t>
      </w:r>
      <w:r w:rsidR="00AE5275" w:rsidRPr="00A83314">
        <w:t>s</w:t>
      </w:r>
      <w:r w:rsidRPr="00A83314">
        <w:t xml:space="preserve"> to opportunities and options that make inclusion possible for people living in Australia’s multicultural society.</w:t>
      </w:r>
    </w:p>
    <w:p w14:paraId="17DB7FE5" w14:textId="67458F39" w:rsidR="00803E0C" w:rsidRPr="00A83314" w:rsidRDefault="00803E0C" w:rsidP="00070010">
      <w:pPr>
        <w:pStyle w:val="VCAAbulletlevel2"/>
      </w:pPr>
      <w:r w:rsidRPr="00A83314">
        <w:t xml:space="preserve">Inclusion occurs when a group or person is included and integrated into a group and made to </w:t>
      </w:r>
      <w:r w:rsidR="00066E11" w:rsidRPr="00A83314">
        <w:t xml:space="preserve">feel a part of something. Inclusion often involves a sense of belonging. </w:t>
      </w:r>
    </w:p>
    <w:p w14:paraId="3F342D90" w14:textId="77777777" w:rsidR="00803E0C" w:rsidRPr="00A83314" w:rsidRDefault="00803E0C" w:rsidP="00070010">
      <w:pPr>
        <w:pStyle w:val="VCAAbullet"/>
      </w:pPr>
      <w:r w:rsidRPr="00A83314">
        <w:t>provide an overview of a specific ethnic group</w:t>
      </w:r>
    </w:p>
    <w:p w14:paraId="066FFD9A" w14:textId="36E9B792" w:rsidR="00803E0C" w:rsidRPr="00A83314" w:rsidRDefault="00803E0C" w:rsidP="00070010">
      <w:pPr>
        <w:pStyle w:val="VCAAbullet"/>
      </w:pPr>
      <w:r w:rsidRPr="00A83314">
        <w:t xml:space="preserve">identify and describe a custom or tradition related to the ethnic group, and explain how this may be a barrier and enabler to inclusion </w:t>
      </w:r>
    </w:p>
    <w:p w14:paraId="6F0FD096" w14:textId="102B07E3" w:rsidR="00803E0C" w:rsidRPr="00A83314" w:rsidRDefault="00803E0C" w:rsidP="00070010">
      <w:pPr>
        <w:pStyle w:val="VCAAbullet"/>
      </w:pPr>
      <w:r w:rsidRPr="00A83314">
        <w:t>identify and describe how a social attitude may be a barrier and enabler to inclusion</w:t>
      </w:r>
    </w:p>
    <w:p w14:paraId="647C7B6D" w14:textId="16E9CAC7" w:rsidR="000421EB" w:rsidRPr="00A83314" w:rsidRDefault="00803E0C" w:rsidP="00070010">
      <w:pPr>
        <w:pStyle w:val="VCAAbullet"/>
      </w:pPr>
      <w:r w:rsidRPr="00A83314">
        <w:t>use relevant sourced evidence to support their analysis.</w:t>
      </w:r>
      <w:r w:rsidR="00066E11" w:rsidRPr="00A83314">
        <w:t xml:space="preserve"> </w:t>
      </w:r>
    </w:p>
    <w:p w14:paraId="2214F76E" w14:textId="0C24958E" w:rsidR="006630A3" w:rsidRPr="00A83314" w:rsidRDefault="006630A3" w:rsidP="00CD3FA8">
      <w:pPr>
        <w:pStyle w:val="VCAAbody"/>
      </w:pPr>
      <w:r w:rsidRPr="00A83314">
        <w:t>Higher</w:t>
      </w:r>
      <w:r w:rsidR="00AE5275" w:rsidRPr="00A83314">
        <w:t>-</w:t>
      </w:r>
      <w:r w:rsidRPr="00A83314">
        <w:t>scoring responses made clear links to the notion of inclusion. For example, a racist social attitude toward</w:t>
      </w:r>
      <w:r w:rsidR="00AE5275" w:rsidRPr="00A83314">
        <w:t>s</w:t>
      </w:r>
      <w:r w:rsidRPr="00A83314">
        <w:t xml:space="preserve"> an ethnic group may result in a person not gaining employment, thus leading to feelings of exclusion.</w:t>
      </w:r>
    </w:p>
    <w:p w14:paraId="12D7A9B8"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7696C398" w14:textId="77777777" w:rsidR="00BA3C97" w:rsidRPr="00A83314" w:rsidRDefault="00BA3C97" w:rsidP="00A83314">
      <w:pPr>
        <w:pStyle w:val="VCAAstudentresponse"/>
      </w:pPr>
      <w:r w:rsidRPr="00A83314">
        <w:t>One ethnic group studied this year is that of the Pakistani-Australian group of Endeavour Hills … Several participants of this group reported feeling “included” and “provided for” when given a room to complete their prayers.</w:t>
      </w:r>
    </w:p>
    <w:p w14:paraId="10DA9090" w14:textId="2929AD45" w:rsidR="00A50852" w:rsidRDefault="00BA3C97" w:rsidP="00A83314">
      <w:pPr>
        <w:pStyle w:val="VCAAstudentresponse"/>
      </w:pPr>
      <w:r w:rsidRPr="00A83314">
        <w:t xml:space="preserve">A barrier is social attitudes, including … racist and discriminatory remarks … have shown the negative social attitudes of some, preventing feelings of inclusion. </w:t>
      </w:r>
    </w:p>
    <w:p w14:paraId="3EE8F23A" w14:textId="77777777" w:rsidR="00A50852" w:rsidRDefault="00A50852">
      <w:pPr>
        <w:rPr>
          <w:rFonts w:ascii="Arial" w:hAnsi="Arial" w:cs="Arial"/>
          <w:i/>
          <w:iCs/>
          <w:color w:val="000000" w:themeColor="text1"/>
          <w:sz w:val="20"/>
        </w:rPr>
      </w:pPr>
      <w:r>
        <w:br w:type="page"/>
      </w:r>
    </w:p>
    <w:p w14:paraId="6A2356CD" w14:textId="0E129ABE" w:rsidR="007F4D2F" w:rsidRPr="00A83314" w:rsidRDefault="007F4D2F" w:rsidP="00172350">
      <w:pPr>
        <w:pStyle w:val="VCAAHeading3"/>
        <w:rPr>
          <w:lang w:val="en-GB" w:eastAsia="ja-JP"/>
        </w:rPr>
      </w:pPr>
      <w:r w:rsidRPr="00A83314">
        <w:rPr>
          <w:lang w:val="en-GB" w:eastAsia="ja-JP"/>
        </w:rPr>
        <w:lastRenderedPageBreak/>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432"/>
        <w:gridCol w:w="432"/>
        <w:gridCol w:w="432"/>
        <w:gridCol w:w="432"/>
        <w:gridCol w:w="1008"/>
      </w:tblGrid>
      <w:tr w:rsidR="003F403A" w:rsidRPr="00A83314" w14:paraId="169D8B6E"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F0DCDEB"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1FA16918"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0E498474"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356B1B9A"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690EA508"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71DE05AF" w14:textId="77777777" w:rsidR="003F403A" w:rsidRPr="00A83314" w:rsidRDefault="003F403A">
            <w:pPr>
              <w:pStyle w:val="VCAAtablecondensedheading"/>
            </w:pPr>
            <w:r w:rsidRPr="00A83314">
              <w:t>4</w:t>
            </w:r>
          </w:p>
        </w:tc>
        <w:tc>
          <w:tcPr>
            <w:tcW w:w="432" w:type="dxa"/>
            <w:tcBorders>
              <w:top w:val="single" w:sz="4" w:space="0" w:color="000000" w:themeColor="text1"/>
              <w:bottom w:val="single" w:sz="4" w:space="0" w:color="000000" w:themeColor="text1"/>
            </w:tcBorders>
            <w:hideMark/>
          </w:tcPr>
          <w:p w14:paraId="6D8D0C59" w14:textId="77777777" w:rsidR="003F403A" w:rsidRPr="00A83314" w:rsidRDefault="003F403A">
            <w:pPr>
              <w:pStyle w:val="VCAAtablecondensedheading"/>
            </w:pPr>
            <w:r w:rsidRPr="00A83314">
              <w:t>5</w:t>
            </w:r>
          </w:p>
        </w:tc>
        <w:tc>
          <w:tcPr>
            <w:tcW w:w="432" w:type="dxa"/>
            <w:tcBorders>
              <w:top w:val="single" w:sz="4" w:space="0" w:color="000000" w:themeColor="text1"/>
              <w:bottom w:val="single" w:sz="4" w:space="0" w:color="000000" w:themeColor="text1"/>
            </w:tcBorders>
            <w:hideMark/>
          </w:tcPr>
          <w:p w14:paraId="571FA33F" w14:textId="77777777" w:rsidR="003F403A" w:rsidRPr="00A83314" w:rsidRDefault="003F403A">
            <w:pPr>
              <w:pStyle w:val="VCAAtablecondensedheading"/>
            </w:pPr>
            <w:r w:rsidRPr="00A83314">
              <w:t>6</w:t>
            </w:r>
          </w:p>
        </w:tc>
        <w:tc>
          <w:tcPr>
            <w:tcW w:w="432" w:type="dxa"/>
            <w:tcBorders>
              <w:top w:val="single" w:sz="4" w:space="0" w:color="000000" w:themeColor="text1"/>
              <w:bottom w:val="single" w:sz="4" w:space="0" w:color="000000" w:themeColor="text1"/>
            </w:tcBorders>
            <w:hideMark/>
          </w:tcPr>
          <w:p w14:paraId="73C69DE5" w14:textId="77777777" w:rsidR="003F403A" w:rsidRPr="00A83314" w:rsidRDefault="003F403A">
            <w:pPr>
              <w:pStyle w:val="VCAAtablecondensedheading"/>
            </w:pPr>
            <w:r w:rsidRPr="00A83314">
              <w:t>7</w:t>
            </w:r>
          </w:p>
        </w:tc>
        <w:tc>
          <w:tcPr>
            <w:tcW w:w="432" w:type="dxa"/>
            <w:tcBorders>
              <w:top w:val="single" w:sz="4" w:space="0" w:color="000000" w:themeColor="text1"/>
              <w:bottom w:val="single" w:sz="4" w:space="0" w:color="000000" w:themeColor="text1"/>
            </w:tcBorders>
            <w:hideMark/>
          </w:tcPr>
          <w:p w14:paraId="25A45D9E" w14:textId="77777777" w:rsidR="003F403A" w:rsidRPr="00A83314" w:rsidRDefault="003F403A">
            <w:pPr>
              <w:pStyle w:val="VCAAtablecondensedheading"/>
            </w:pPr>
            <w:r w:rsidRPr="00A83314">
              <w:t>8</w:t>
            </w:r>
          </w:p>
        </w:tc>
        <w:tc>
          <w:tcPr>
            <w:tcW w:w="432" w:type="dxa"/>
            <w:tcBorders>
              <w:top w:val="single" w:sz="4" w:space="0" w:color="000000" w:themeColor="text1"/>
              <w:bottom w:val="single" w:sz="4" w:space="0" w:color="000000" w:themeColor="text1"/>
            </w:tcBorders>
            <w:hideMark/>
          </w:tcPr>
          <w:p w14:paraId="2DA840F4" w14:textId="77777777" w:rsidR="003F403A" w:rsidRPr="00A83314" w:rsidRDefault="003F403A">
            <w:pPr>
              <w:pStyle w:val="VCAAtablecondensedheading"/>
            </w:pPr>
            <w:r w:rsidRPr="00A83314">
              <w:t>9</w:t>
            </w:r>
          </w:p>
        </w:tc>
        <w:tc>
          <w:tcPr>
            <w:tcW w:w="432" w:type="dxa"/>
            <w:tcBorders>
              <w:top w:val="single" w:sz="4" w:space="0" w:color="000000" w:themeColor="text1"/>
              <w:bottom w:val="single" w:sz="4" w:space="0" w:color="000000" w:themeColor="text1"/>
            </w:tcBorders>
            <w:hideMark/>
          </w:tcPr>
          <w:p w14:paraId="2AD0A037" w14:textId="77777777" w:rsidR="003F403A" w:rsidRPr="00A83314" w:rsidRDefault="003F403A">
            <w:pPr>
              <w:pStyle w:val="VCAAtablecondensedheading"/>
            </w:pPr>
            <w:r w:rsidRPr="00A83314">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209F3413" w14:textId="77777777" w:rsidR="003F403A" w:rsidRPr="00A83314" w:rsidRDefault="003F403A">
            <w:pPr>
              <w:pStyle w:val="VCAAtablecondensedheading"/>
            </w:pPr>
            <w:r w:rsidRPr="00A83314">
              <w:t>Average</w:t>
            </w:r>
          </w:p>
        </w:tc>
      </w:tr>
      <w:tr w:rsidR="003F403A" w:rsidRPr="00A83314" w14:paraId="288B2C74"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ABC39"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3B891" w14:textId="428ACAD9" w:rsidR="003F403A" w:rsidRPr="00A83314" w:rsidRDefault="00D27114">
            <w:pPr>
              <w:pStyle w:val="VCAAtablecondensed"/>
            </w:pPr>
            <w:r w:rsidRPr="00A83314">
              <w:t>12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C4EB2" w14:textId="0E4D5B58" w:rsidR="003F403A" w:rsidRPr="00A83314" w:rsidRDefault="00D27114">
            <w:pPr>
              <w:pStyle w:val="VCAAtablecondensed"/>
            </w:pPr>
            <w:r w:rsidRPr="00A83314">
              <w:t>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3C919" w14:textId="7BA1FF68" w:rsidR="003F403A" w:rsidRPr="00A83314" w:rsidRDefault="00D27114">
            <w:pPr>
              <w:pStyle w:val="VCAAtablecondensed"/>
            </w:pPr>
            <w:r w:rsidRPr="00A83314">
              <w:t>12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9409" w14:textId="2F9E4FFC" w:rsidR="003F403A" w:rsidRPr="00A83314" w:rsidRDefault="00D27114">
            <w:pPr>
              <w:pStyle w:val="VCAAtablecondensed"/>
            </w:pPr>
            <w:r w:rsidRPr="00A83314">
              <w:t>16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9C97B" w14:textId="48A9992C" w:rsidR="003F403A" w:rsidRPr="00A83314" w:rsidRDefault="00D27114">
            <w:pPr>
              <w:pStyle w:val="VCAAtablecondensed"/>
            </w:pPr>
            <w:r w:rsidRPr="00A83314">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32D9A" w14:textId="51709064" w:rsidR="003F403A" w:rsidRPr="00A83314" w:rsidRDefault="00D27114">
            <w:pPr>
              <w:pStyle w:val="VCAAtablecondensed"/>
            </w:pPr>
            <w:r w:rsidRPr="00A83314">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5672" w14:textId="1FE0296F" w:rsidR="003F403A" w:rsidRPr="00A83314" w:rsidRDefault="00D27114">
            <w:pPr>
              <w:pStyle w:val="VCAAtablecondensed"/>
            </w:pPr>
            <w:r w:rsidRPr="00A83314">
              <w:t>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623A9" w14:textId="358FA82D" w:rsidR="003F403A" w:rsidRPr="00A83314" w:rsidRDefault="00D27114">
            <w:pPr>
              <w:pStyle w:val="VCAAtablecondensed"/>
            </w:pPr>
            <w:r w:rsidRPr="00A83314">
              <w:t>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2F8D6" w14:textId="5B010488" w:rsidR="003F403A" w:rsidRPr="00A83314" w:rsidRDefault="00D27114">
            <w:pPr>
              <w:pStyle w:val="VCAAtablecondensed"/>
            </w:pPr>
            <w:r w:rsidRPr="00A83314">
              <w:t>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200D" w14:textId="5E927FE7" w:rsidR="003F403A" w:rsidRPr="00A83314" w:rsidRDefault="00D27114">
            <w:pPr>
              <w:pStyle w:val="VCAAtablecondensed"/>
            </w:pPr>
            <w:r w:rsidRPr="00A83314">
              <w:t>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78BBB" w14:textId="666A3090" w:rsidR="003F403A" w:rsidRPr="00A83314" w:rsidRDefault="00D27114">
            <w:pPr>
              <w:pStyle w:val="VCAAtablecondensed"/>
            </w:pPr>
            <w:r w:rsidRPr="00A83314">
              <w:t>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6C30" w14:textId="07767903" w:rsidR="003F403A" w:rsidRPr="00A83314" w:rsidRDefault="00D27114">
            <w:pPr>
              <w:pStyle w:val="VCAAtablecondensed"/>
            </w:pPr>
            <w:r w:rsidRPr="00A83314">
              <w:t>3.6</w:t>
            </w:r>
          </w:p>
        </w:tc>
      </w:tr>
    </w:tbl>
    <w:p w14:paraId="7AC725D7" w14:textId="35BFB65E" w:rsidR="00066E11" w:rsidRPr="00A83314" w:rsidRDefault="00066E11" w:rsidP="00172350">
      <w:pPr>
        <w:pStyle w:val="VCAAbody"/>
        <w:rPr>
          <w:lang w:val="en-GB" w:eastAsia="ja-JP"/>
        </w:rPr>
      </w:pPr>
      <w:r w:rsidRPr="00A83314">
        <w:rPr>
          <w:lang w:val="en-GB" w:eastAsia="ja-JP"/>
        </w:rPr>
        <w:t xml:space="preserve">This question required students to </w:t>
      </w:r>
      <w:r w:rsidR="00A8096A" w:rsidRPr="00A83314">
        <w:rPr>
          <w:lang w:val="en-GB" w:eastAsia="ja-JP"/>
        </w:rPr>
        <w:t xml:space="preserve">explain </w:t>
      </w:r>
      <w:r w:rsidRPr="00A83314">
        <w:rPr>
          <w:lang w:val="en-GB" w:eastAsia="ja-JP"/>
        </w:rPr>
        <w:t xml:space="preserve">why members of a community may have different perspectives on the sense of </w:t>
      </w:r>
      <w:r w:rsidRPr="00A83314">
        <w:t>community</w:t>
      </w:r>
      <w:r w:rsidRPr="00A83314">
        <w:rPr>
          <w:lang w:val="en-GB" w:eastAsia="ja-JP"/>
        </w:rPr>
        <w:t xml:space="preserve">. </w:t>
      </w:r>
      <w:r w:rsidR="00AE5275" w:rsidRPr="00A83314">
        <w:rPr>
          <w:lang w:val="en-GB" w:eastAsia="ja-JP"/>
        </w:rPr>
        <w:t>It also required l</w:t>
      </w:r>
      <w:r w:rsidRPr="00A83314">
        <w:rPr>
          <w:lang w:val="en-GB" w:eastAsia="ja-JP"/>
        </w:rPr>
        <w:t xml:space="preserve">inks to how ethical methodology </w:t>
      </w:r>
      <w:r w:rsidR="00A8096A" w:rsidRPr="00A83314">
        <w:rPr>
          <w:lang w:val="en-GB" w:eastAsia="ja-JP"/>
        </w:rPr>
        <w:t>should be</w:t>
      </w:r>
      <w:r w:rsidRPr="00A83314">
        <w:rPr>
          <w:lang w:val="en-GB" w:eastAsia="ja-JP"/>
        </w:rPr>
        <w:t xml:space="preserve"> used when researching communities. </w:t>
      </w:r>
    </w:p>
    <w:p w14:paraId="2D9E6A1F" w14:textId="01A506F7" w:rsidR="00066E11" w:rsidRPr="00A83314" w:rsidRDefault="00066E11" w:rsidP="00172350">
      <w:pPr>
        <w:pStyle w:val="VCAAbody"/>
        <w:rPr>
          <w:lang w:val="en-GB" w:eastAsia="ja-JP"/>
        </w:rPr>
      </w:pPr>
      <w:r w:rsidRPr="00A83314">
        <w:rPr>
          <w:lang w:val="en-GB" w:eastAsia="ja-JP"/>
        </w:rPr>
        <w:t xml:space="preserve">Students were </w:t>
      </w:r>
      <w:r w:rsidRPr="00A83314">
        <w:t>required</w:t>
      </w:r>
      <w:r w:rsidRPr="00A83314">
        <w:rPr>
          <w:lang w:val="en-GB" w:eastAsia="ja-JP"/>
        </w:rPr>
        <w:t xml:space="preserve"> to:</w:t>
      </w:r>
    </w:p>
    <w:p w14:paraId="3308E223" w14:textId="2977BEBD" w:rsidR="00066E11" w:rsidRPr="00A83314" w:rsidRDefault="00066E11" w:rsidP="00070010">
      <w:pPr>
        <w:pStyle w:val="VCAAbullet"/>
      </w:pPr>
      <w:r w:rsidRPr="00A83314">
        <w:t>demonstrate an understanding of the concepts of community and sense of community. For example:</w:t>
      </w:r>
    </w:p>
    <w:p w14:paraId="2B9F2069" w14:textId="1AEB7B9F" w:rsidR="005F70DA" w:rsidRPr="00A83314" w:rsidRDefault="005F70DA" w:rsidP="00070010">
      <w:pPr>
        <w:pStyle w:val="VCAAbulletlevel2"/>
      </w:pPr>
      <w:r w:rsidRPr="00A83314">
        <w:t>Sociologists refer to the concept of community as a group of people who share social relationships through being geographically close to each other and/or being in regular contact with each other, and through having similarities such as mutual interests and/or shared ideology</w:t>
      </w:r>
      <w:r w:rsidR="00EA72E9" w:rsidRPr="00A83314">
        <w:t>.</w:t>
      </w:r>
    </w:p>
    <w:p w14:paraId="15C00176" w14:textId="4A5D6ED6" w:rsidR="00066E11" w:rsidRPr="00A83314" w:rsidRDefault="00066E11" w:rsidP="00070010">
      <w:pPr>
        <w:pStyle w:val="VCAAbulletlevel2"/>
      </w:pPr>
      <w:r w:rsidRPr="00A83314">
        <w:rPr>
          <w:rFonts w:eastAsia="Times New Roman"/>
        </w:rPr>
        <w:t xml:space="preserve">Sense of community refers </w:t>
      </w:r>
      <w:r w:rsidRPr="00A83314">
        <w:t>to the feelings of inclusion, belonging and connectedness experienced during that participation and a belief that needs will be met through involvement in the group</w:t>
      </w:r>
      <w:r w:rsidR="00EA72E9" w:rsidRPr="00A83314">
        <w:t>;</w:t>
      </w:r>
      <w:r w:rsidRPr="00A83314">
        <w:t xml:space="preserve"> or</w:t>
      </w:r>
      <w:r w:rsidR="00EA72E9" w:rsidRPr="00A83314">
        <w:t xml:space="preserve"> it can refer to</w:t>
      </w:r>
      <w:r w:rsidRPr="00A83314">
        <w:t xml:space="preserve"> feelings of exclusion, where members feel as though they have been left out or prohibited from participating in the community.</w:t>
      </w:r>
    </w:p>
    <w:p w14:paraId="069F7805" w14:textId="5F865EF4" w:rsidR="00066E11" w:rsidRPr="00A83314" w:rsidRDefault="00066E11" w:rsidP="00070010">
      <w:pPr>
        <w:pStyle w:val="VCAAbullet"/>
      </w:pPr>
      <w:r w:rsidRPr="00A83314">
        <w:t>demonstrate an understanding of ethical methodology. For example:</w:t>
      </w:r>
    </w:p>
    <w:p w14:paraId="79462381" w14:textId="16C40167" w:rsidR="00066E11" w:rsidRPr="00A83314" w:rsidRDefault="00066E11" w:rsidP="00070010">
      <w:pPr>
        <w:pStyle w:val="VCAAbulletlevel2"/>
        <w:rPr>
          <w:rFonts w:eastAsia="Times New Roman"/>
        </w:rPr>
      </w:pPr>
      <w:r w:rsidRPr="00A83314">
        <w:rPr>
          <w:rFonts w:eastAsia="Times New Roman"/>
        </w:rPr>
        <w:t>Ethical methodology refers</w:t>
      </w:r>
      <w:r w:rsidR="005F70DA" w:rsidRPr="00A83314">
        <w:rPr>
          <w:rFonts w:eastAsia="Times New Roman"/>
        </w:rPr>
        <w:t xml:space="preserve"> </w:t>
      </w:r>
      <w:r w:rsidR="005F70DA" w:rsidRPr="00A83314">
        <w:t>to the steps in sociological research that ensure correct ethical guidelines are followed</w:t>
      </w:r>
      <w:r w:rsidR="00A8096A" w:rsidRPr="00A83314">
        <w:t xml:space="preserve"> as outlined by </w:t>
      </w:r>
      <w:r w:rsidR="005F25C2" w:rsidRPr="00A83314">
        <w:t>T</w:t>
      </w:r>
      <w:r w:rsidR="005F70DA" w:rsidRPr="00A83314">
        <w:t>he Australian Sociological Association (TASA).</w:t>
      </w:r>
    </w:p>
    <w:p w14:paraId="0B66CB62" w14:textId="27E56E29" w:rsidR="00066E11" w:rsidRPr="00A83314" w:rsidRDefault="00066E11" w:rsidP="00070010">
      <w:pPr>
        <w:pStyle w:val="VCAAbullet"/>
      </w:pPr>
      <w:r w:rsidRPr="00A83314">
        <w:t>provide an overview of a specific community</w:t>
      </w:r>
    </w:p>
    <w:p w14:paraId="5C23974A" w14:textId="5C6FCA5F" w:rsidR="00066E11" w:rsidRPr="00A83314" w:rsidRDefault="00066E11" w:rsidP="00070010">
      <w:pPr>
        <w:pStyle w:val="VCAAbullet"/>
      </w:pPr>
      <w:r w:rsidRPr="00A83314">
        <w:t>explore two or more perspectives regarding the ‘sense of community’</w:t>
      </w:r>
    </w:p>
    <w:p w14:paraId="47B38C35" w14:textId="406B5A0F" w:rsidR="00066E11" w:rsidRPr="00A83314" w:rsidRDefault="00066E11" w:rsidP="00070010">
      <w:pPr>
        <w:pStyle w:val="VCAAbullet"/>
      </w:pPr>
      <w:r w:rsidRPr="00A83314">
        <w:t>explore the reason/s why sense of community may differ</w:t>
      </w:r>
    </w:p>
    <w:p w14:paraId="2B12CAFB" w14:textId="3FB5FCA1" w:rsidR="00066E11" w:rsidRPr="00A83314" w:rsidRDefault="00066E11" w:rsidP="00070010">
      <w:pPr>
        <w:pStyle w:val="VCAAbullet"/>
      </w:pPr>
      <w:r w:rsidRPr="00A83314">
        <w:t>comment on how ethical methodology was or should be used when engaging in research</w:t>
      </w:r>
    </w:p>
    <w:p w14:paraId="43A990D1" w14:textId="66A454E4" w:rsidR="005F70DA" w:rsidRPr="00A83314" w:rsidRDefault="005F70DA" w:rsidP="00070010">
      <w:pPr>
        <w:pStyle w:val="VCAAbullet"/>
      </w:pPr>
      <w:r w:rsidRPr="00A83314">
        <w:t>use relevant sourced evidence to support their response.</w:t>
      </w:r>
    </w:p>
    <w:p w14:paraId="792E49F5" w14:textId="76A4D3E2" w:rsidR="00BA3C97" w:rsidRPr="00A83314" w:rsidRDefault="00EA72E9" w:rsidP="00CD3FA8">
      <w:pPr>
        <w:pStyle w:val="VCAAbody"/>
      </w:pPr>
      <w:r w:rsidRPr="00A83314">
        <w:t>High</w:t>
      </w:r>
      <w:r w:rsidR="00D21909" w:rsidRPr="00A83314">
        <w:t>-</w:t>
      </w:r>
      <w:r w:rsidRPr="00A83314">
        <w:t>scoring responses identified specific reasons why sense of community can differ</w:t>
      </w:r>
      <w:r w:rsidR="00004BA2" w:rsidRPr="00A83314">
        <w:t>, f</w:t>
      </w:r>
      <w:r w:rsidRPr="00A83314">
        <w:t xml:space="preserve">or example, the age, role, lived experience or location of the group members. </w:t>
      </w:r>
      <w:r w:rsidR="00D21909" w:rsidRPr="00A83314">
        <w:t>Higher</w:t>
      </w:r>
      <w:r w:rsidR="00004BA2" w:rsidRPr="00A83314">
        <w:t>-</w:t>
      </w:r>
      <w:r w:rsidR="00D21909" w:rsidRPr="00A83314">
        <w:t>scoring</w:t>
      </w:r>
      <w:r w:rsidRPr="00A83314">
        <w:t xml:space="preserve"> responses linked the notion of sense of community to ethical methodology. For example, engaging in ethical methodology may prompt participants to feel safe enough to share their experiences.</w:t>
      </w:r>
    </w:p>
    <w:p w14:paraId="773DFEF8"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24233F3E" w14:textId="5F13FF03" w:rsidR="00BA3C97" w:rsidRPr="00A83314" w:rsidRDefault="00BA3C97" w:rsidP="00A83314">
      <w:pPr>
        <w:pStyle w:val="VCAAstudentresponse"/>
      </w:pPr>
      <w:r w:rsidRPr="00A83314">
        <w:t xml:space="preserve">It was also explained that to maintain confidentiality, students would be referred to under pseudonyms (fake names) … Guided by ethical methodology participants were able to disclose their experiences through a series of interview questions, where it was revealed that while some members of this group ‘genuinely enjoy school’ … others consider a differing viewpoint. </w:t>
      </w:r>
    </w:p>
    <w:p w14:paraId="50414DBF" w14:textId="0129B7C9" w:rsidR="007F4D2F" w:rsidRPr="00A83314" w:rsidRDefault="007F4D2F" w:rsidP="00172350">
      <w:pPr>
        <w:pStyle w:val="VCAAHeading3"/>
        <w:rPr>
          <w:lang w:val="en-GB" w:eastAsia="ja-JP"/>
        </w:rPr>
      </w:pPr>
      <w:r w:rsidRPr="00A83314">
        <w:rPr>
          <w:lang w:val="en-GB" w:eastAsia="ja-JP"/>
        </w:rPr>
        <w:t>Question 4</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432"/>
        <w:gridCol w:w="432"/>
        <w:gridCol w:w="432"/>
        <w:gridCol w:w="432"/>
        <w:gridCol w:w="576"/>
        <w:gridCol w:w="1008"/>
      </w:tblGrid>
      <w:tr w:rsidR="003F403A" w:rsidRPr="00A83314" w14:paraId="124F2BCD" w14:textId="77777777" w:rsidTr="006C2D4C">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3F0A5B2" w14:textId="77777777" w:rsidR="003F403A" w:rsidRPr="00A83314" w:rsidRDefault="003F403A">
            <w:pPr>
              <w:pStyle w:val="VCAAtablecondensedheading"/>
            </w:pPr>
            <w:r w:rsidRPr="00A83314">
              <w:t xml:space="preserve">Marks </w:t>
            </w:r>
          </w:p>
        </w:tc>
        <w:tc>
          <w:tcPr>
            <w:tcW w:w="432" w:type="dxa"/>
            <w:tcBorders>
              <w:top w:val="single" w:sz="4" w:space="0" w:color="000000" w:themeColor="text1"/>
              <w:bottom w:val="single" w:sz="4" w:space="0" w:color="000000" w:themeColor="text1"/>
            </w:tcBorders>
            <w:hideMark/>
          </w:tcPr>
          <w:p w14:paraId="62117135" w14:textId="77777777" w:rsidR="003F403A" w:rsidRPr="00A83314" w:rsidRDefault="003F403A">
            <w:pPr>
              <w:pStyle w:val="VCAAtablecondensedheading"/>
            </w:pPr>
            <w:r w:rsidRPr="00A83314">
              <w:t>0</w:t>
            </w:r>
          </w:p>
        </w:tc>
        <w:tc>
          <w:tcPr>
            <w:tcW w:w="432" w:type="dxa"/>
            <w:tcBorders>
              <w:top w:val="single" w:sz="4" w:space="0" w:color="000000" w:themeColor="text1"/>
              <w:bottom w:val="single" w:sz="4" w:space="0" w:color="000000" w:themeColor="text1"/>
            </w:tcBorders>
            <w:hideMark/>
          </w:tcPr>
          <w:p w14:paraId="5230EC66" w14:textId="77777777" w:rsidR="003F403A" w:rsidRPr="00A83314" w:rsidRDefault="003F403A">
            <w:pPr>
              <w:pStyle w:val="VCAAtablecondensedheading"/>
            </w:pPr>
            <w:r w:rsidRPr="00A83314">
              <w:t>1</w:t>
            </w:r>
          </w:p>
        </w:tc>
        <w:tc>
          <w:tcPr>
            <w:tcW w:w="432" w:type="dxa"/>
            <w:tcBorders>
              <w:top w:val="single" w:sz="4" w:space="0" w:color="000000" w:themeColor="text1"/>
              <w:bottom w:val="single" w:sz="4" w:space="0" w:color="000000" w:themeColor="text1"/>
            </w:tcBorders>
            <w:hideMark/>
          </w:tcPr>
          <w:p w14:paraId="39E9DF58" w14:textId="77777777" w:rsidR="003F403A" w:rsidRPr="00A83314" w:rsidRDefault="003F403A">
            <w:pPr>
              <w:pStyle w:val="VCAAtablecondensedheading"/>
            </w:pPr>
            <w:r w:rsidRPr="00A83314">
              <w:t>2</w:t>
            </w:r>
          </w:p>
        </w:tc>
        <w:tc>
          <w:tcPr>
            <w:tcW w:w="432" w:type="dxa"/>
            <w:tcBorders>
              <w:top w:val="single" w:sz="4" w:space="0" w:color="000000" w:themeColor="text1"/>
              <w:bottom w:val="single" w:sz="4" w:space="0" w:color="000000" w:themeColor="text1"/>
            </w:tcBorders>
            <w:hideMark/>
          </w:tcPr>
          <w:p w14:paraId="5C2A0816" w14:textId="77777777" w:rsidR="003F403A" w:rsidRPr="00A83314" w:rsidRDefault="003F403A">
            <w:pPr>
              <w:pStyle w:val="VCAAtablecondensedheading"/>
            </w:pPr>
            <w:r w:rsidRPr="00A83314">
              <w:t>3</w:t>
            </w:r>
          </w:p>
        </w:tc>
        <w:tc>
          <w:tcPr>
            <w:tcW w:w="432" w:type="dxa"/>
            <w:tcBorders>
              <w:top w:val="single" w:sz="4" w:space="0" w:color="000000" w:themeColor="text1"/>
              <w:bottom w:val="single" w:sz="4" w:space="0" w:color="000000" w:themeColor="text1"/>
            </w:tcBorders>
            <w:hideMark/>
          </w:tcPr>
          <w:p w14:paraId="53851B05" w14:textId="77777777" w:rsidR="003F403A" w:rsidRPr="00A83314" w:rsidRDefault="003F403A">
            <w:pPr>
              <w:pStyle w:val="VCAAtablecondensedheading"/>
            </w:pPr>
            <w:r w:rsidRPr="00A83314">
              <w:t>4</w:t>
            </w:r>
          </w:p>
        </w:tc>
        <w:tc>
          <w:tcPr>
            <w:tcW w:w="432" w:type="dxa"/>
            <w:tcBorders>
              <w:top w:val="single" w:sz="4" w:space="0" w:color="000000" w:themeColor="text1"/>
              <w:bottom w:val="single" w:sz="4" w:space="0" w:color="000000" w:themeColor="text1"/>
            </w:tcBorders>
            <w:hideMark/>
          </w:tcPr>
          <w:p w14:paraId="346A5F4A" w14:textId="77777777" w:rsidR="003F403A" w:rsidRPr="00A83314" w:rsidRDefault="003F403A">
            <w:pPr>
              <w:pStyle w:val="VCAAtablecondensedheading"/>
            </w:pPr>
            <w:r w:rsidRPr="00A83314">
              <w:t>5</w:t>
            </w:r>
          </w:p>
        </w:tc>
        <w:tc>
          <w:tcPr>
            <w:tcW w:w="432" w:type="dxa"/>
            <w:tcBorders>
              <w:top w:val="single" w:sz="4" w:space="0" w:color="000000" w:themeColor="text1"/>
              <w:bottom w:val="single" w:sz="4" w:space="0" w:color="000000" w:themeColor="text1"/>
            </w:tcBorders>
            <w:hideMark/>
          </w:tcPr>
          <w:p w14:paraId="6FD676DE" w14:textId="77777777" w:rsidR="003F403A" w:rsidRPr="00A83314" w:rsidRDefault="003F403A">
            <w:pPr>
              <w:pStyle w:val="VCAAtablecondensedheading"/>
            </w:pPr>
            <w:r w:rsidRPr="00A83314">
              <w:t>6</w:t>
            </w:r>
          </w:p>
        </w:tc>
        <w:tc>
          <w:tcPr>
            <w:tcW w:w="432" w:type="dxa"/>
            <w:tcBorders>
              <w:top w:val="single" w:sz="4" w:space="0" w:color="000000" w:themeColor="text1"/>
              <w:bottom w:val="single" w:sz="4" w:space="0" w:color="000000" w:themeColor="text1"/>
            </w:tcBorders>
            <w:hideMark/>
          </w:tcPr>
          <w:p w14:paraId="119B0C73" w14:textId="77777777" w:rsidR="003F403A" w:rsidRPr="00A83314" w:rsidRDefault="003F403A">
            <w:pPr>
              <w:pStyle w:val="VCAAtablecondensedheading"/>
            </w:pPr>
            <w:r w:rsidRPr="00A83314">
              <w:t>7</w:t>
            </w:r>
          </w:p>
        </w:tc>
        <w:tc>
          <w:tcPr>
            <w:tcW w:w="432" w:type="dxa"/>
            <w:tcBorders>
              <w:top w:val="single" w:sz="4" w:space="0" w:color="000000" w:themeColor="text1"/>
              <w:bottom w:val="single" w:sz="4" w:space="0" w:color="000000" w:themeColor="text1"/>
            </w:tcBorders>
            <w:hideMark/>
          </w:tcPr>
          <w:p w14:paraId="04395D8A" w14:textId="77777777" w:rsidR="003F403A" w:rsidRPr="00A83314" w:rsidRDefault="003F403A">
            <w:pPr>
              <w:pStyle w:val="VCAAtablecondensedheading"/>
            </w:pPr>
            <w:r w:rsidRPr="00A83314">
              <w:t>8</w:t>
            </w:r>
          </w:p>
        </w:tc>
        <w:tc>
          <w:tcPr>
            <w:tcW w:w="432" w:type="dxa"/>
            <w:tcBorders>
              <w:top w:val="single" w:sz="4" w:space="0" w:color="000000" w:themeColor="text1"/>
              <w:bottom w:val="single" w:sz="4" w:space="0" w:color="000000" w:themeColor="text1"/>
            </w:tcBorders>
            <w:hideMark/>
          </w:tcPr>
          <w:p w14:paraId="27C62EBB" w14:textId="77777777" w:rsidR="003F403A" w:rsidRPr="00A83314" w:rsidRDefault="003F403A">
            <w:pPr>
              <w:pStyle w:val="VCAAtablecondensedheading"/>
            </w:pPr>
            <w:r w:rsidRPr="00A83314">
              <w:t>9</w:t>
            </w:r>
          </w:p>
        </w:tc>
        <w:tc>
          <w:tcPr>
            <w:tcW w:w="576" w:type="dxa"/>
            <w:tcBorders>
              <w:top w:val="single" w:sz="4" w:space="0" w:color="000000" w:themeColor="text1"/>
              <w:bottom w:val="single" w:sz="4" w:space="0" w:color="000000" w:themeColor="text1"/>
            </w:tcBorders>
            <w:hideMark/>
          </w:tcPr>
          <w:p w14:paraId="78FB8D3A" w14:textId="77777777" w:rsidR="003F403A" w:rsidRPr="00A83314" w:rsidRDefault="003F403A">
            <w:pPr>
              <w:pStyle w:val="VCAAtablecondensedheading"/>
            </w:pPr>
            <w:r w:rsidRPr="00A83314">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6565ED58" w14:textId="77777777" w:rsidR="003F403A" w:rsidRPr="00A83314" w:rsidRDefault="003F403A">
            <w:pPr>
              <w:pStyle w:val="VCAAtablecondensedheading"/>
            </w:pPr>
            <w:r w:rsidRPr="00A83314">
              <w:t>Average</w:t>
            </w:r>
          </w:p>
        </w:tc>
      </w:tr>
      <w:tr w:rsidR="003F403A" w:rsidRPr="00A83314" w14:paraId="4596D944" w14:textId="77777777" w:rsidTr="006C2D4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0215B" w14:textId="77777777" w:rsidR="003F403A" w:rsidRPr="00A83314" w:rsidRDefault="003F403A">
            <w:pPr>
              <w:pStyle w:val="VCAAtablecondensed"/>
            </w:pPr>
            <w:r w:rsidRPr="00A83314">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C5748" w14:textId="5D158B16" w:rsidR="003F403A" w:rsidRPr="00A83314" w:rsidRDefault="00D27114">
            <w:pPr>
              <w:pStyle w:val="VCAAtablecondensed"/>
            </w:pPr>
            <w:r w:rsidRPr="00A83314">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D39F9" w14:textId="527D13F5" w:rsidR="003F403A" w:rsidRPr="00A83314" w:rsidRDefault="00D27114">
            <w:pPr>
              <w:pStyle w:val="VCAAtablecondensed"/>
            </w:pPr>
            <w:r w:rsidRPr="00A83314">
              <w:t>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60DFA" w14:textId="6E12381A" w:rsidR="003F403A" w:rsidRPr="00A83314" w:rsidRDefault="00D27114">
            <w:pPr>
              <w:pStyle w:val="VCAAtablecondensed"/>
            </w:pPr>
            <w:r w:rsidRPr="00A83314">
              <w:t>12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07DD" w14:textId="13D646D3" w:rsidR="003F403A" w:rsidRPr="00A83314" w:rsidRDefault="00D27114">
            <w:pPr>
              <w:pStyle w:val="VCAAtablecondensed"/>
            </w:pPr>
            <w:r w:rsidRPr="00A83314">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16D2C" w14:textId="426F4DFA" w:rsidR="003F403A" w:rsidRPr="00A83314" w:rsidRDefault="00D27114">
            <w:pPr>
              <w:pStyle w:val="VCAAtablecondensed"/>
            </w:pPr>
            <w:r w:rsidRPr="00A83314">
              <w:t>15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5FA30" w14:textId="624B6581" w:rsidR="003F403A" w:rsidRPr="00A83314" w:rsidRDefault="00D27114">
            <w:pPr>
              <w:pStyle w:val="VCAAtablecondensed"/>
            </w:pPr>
            <w:r w:rsidRPr="00A83314">
              <w:t>12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BEF09" w14:textId="65A415F6" w:rsidR="003F403A" w:rsidRPr="00A83314" w:rsidRDefault="00D27114">
            <w:pPr>
              <w:pStyle w:val="VCAAtablecondensed"/>
            </w:pPr>
            <w:r w:rsidRPr="00A83314">
              <w:t>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DFFD0" w14:textId="688F0307" w:rsidR="003F403A" w:rsidRPr="00A83314" w:rsidRDefault="00D27114">
            <w:pPr>
              <w:pStyle w:val="VCAAtablecondensed"/>
            </w:pPr>
            <w:r w:rsidRPr="00A83314">
              <w:t>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BBCB5" w14:textId="55627D15" w:rsidR="003F403A" w:rsidRPr="00A83314" w:rsidRDefault="00D27114">
            <w:pPr>
              <w:pStyle w:val="VCAAtablecondensed"/>
            </w:pPr>
            <w:r w:rsidRPr="00A83314">
              <w:t>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34631" w14:textId="2D2AD607" w:rsidR="003F403A" w:rsidRPr="00A83314" w:rsidRDefault="00D27114">
            <w:pPr>
              <w:pStyle w:val="VCAAtablecondensed"/>
            </w:pPr>
            <w:r w:rsidRPr="00A83314">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8A8DA" w14:textId="1B603082" w:rsidR="003F403A" w:rsidRPr="00A83314" w:rsidRDefault="00D27114">
            <w:pPr>
              <w:pStyle w:val="VCAAtablecondensed"/>
            </w:pPr>
            <w:r w:rsidRPr="00A83314">
              <w:t>0.5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2B858" w14:textId="413FB6BD" w:rsidR="003F403A" w:rsidRPr="00A83314" w:rsidRDefault="00D27114">
            <w:pPr>
              <w:pStyle w:val="VCAAtablecondensed"/>
            </w:pPr>
            <w:r w:rsidRPr="00A83314">
              <w:t>3.3</w:t>
            </w:r>
          </w:p>
        </w:tc>
      </w:tr>
    </w:tbl>
    <w:p w14:paraId="387C39CA" w14:textId="00EA1D77" w:rsidR="005E31CF" w:rsidRPr="00A83314" w:rsidRDefault="005E31CF" w:rsidP="00172350">
      <w:pPr>
        <w:pStyle w:val="VCAAbody"/>
        <w:rPr>
          <w:lang w:val="en-GB" w:eastAsia="ja-JP"/>
        </w:rPr>
      </w:pPr>
      <w:r w:rsidRPr="00A83314">
        <w:rPr>
          <w:lang w:val="en-GB" w:eastAsia="ja-JP"/>
        </w:rPr>
        <w:t xml:space="preserve">This question required students to analyse how power assists or impedes a social movement’s transition from </w:t>
      </w:r>
      <w:r w:rsidR="00A8096A" w:rsidRPr="00A83314">
        <w:rPr>
          <w:lang w:val="en-GB" w:eastAsia="ja-JP"/>
        </w:rPr>
        <w:t xml:space="preserve">the </w:t>
      </w:r>
      <w:r w:rsidRPr="00A83314">
        <w:rPr>
          <w:lang w:val="en-GB" w:eastAsia="ja-JP"/>
        </w:rPr>
        <w:t xml:space="preserve">emergence to </w:t>
      </w:r>
      <w:proofErr w:type="spellStart"/>
      <w:r w:rsidRPr="00A83314">
        <w:t>bureaucratisation</w:t>
      </w:r>
      <w:proofErr w:type="spellEnd"/>
      <w:r w:rsidR="00A8096A" w:rsidRPr="00A83314">
        <w:rPr>
          <w:lang w:val="en-GB" w:eastAsia="ja-JP"/>
        </w:rPr>
        <w:t xml:space="preserve"> stage of the social movement lifecycle</w:t>
      </w:r>
      <w:r w:rsidRPr="00A83314">
        <w:rPr>
          <w:lang w:val="en-GB" w:eastAsia="ja-JP"/>
        </w:rPr>
        <w:t xml:space="preserve">. </w:t>
      </w:r>
    </w:p>
    <w:p w14:paraId="4D9A5503" w14:textId="01469876" w:rsidR="005E31CF" w:rsidRPr="00A83314" w:rsidRDefault="005E31CF" w:rsidP="00172350">
      <w:pPr>
        <w:pStyle w:val="VCAAbody"/>
        <w:rPr>
          <w:lang w:val="en-GB" w:eastAsia="ja-JP"/>
        </w:rPr>
      </w:pPr>
      <w:r w:rsidRPr="00A83314">
        <w:rPr>
          <w:lang w:val="en-GB" w:eastAsia="ja-JP"/>
        </w:rPr>
        <w:t xml:space="preserve">Students were </w:t>
      </w:r>
      <w:r w:rsidRPr="00A83314">
        <w:t>required</w:t>
      </w:r>
      <w:r w:rsidR="00A8096A" w:rsidRPr="00A83314">
        <w:rPr>
          <w:lang w:val="en-GB" w:eastAsia="ja-JP"/>
        </w:rPr>
        <w:t xml:space="preserve"> to:</w:t>
      </w:r>
    </w:p>
    <w:p w14:paraId="7722B8FD" w14:textId="5BC4AFE4" w:rsidR="005E31CF" w:rsidRPr="00A83314" w:rsidRDefault="005E31CF" w:rsidP="00070010">
      <w:pPr>
        <w:pStyle w:val="VCAAbullet"/>
      </w:pPr>
      <w:r w:rsidRPr="00A83314">
        <w:t>demonstrate an understanding of the concept of social movement. For example:</w:t>
      </w:r>
    </w:p>
    <w:p w14:paraId="239C9293" w14:textId="2E2511CB" w:rsidR="005E31CF" w:rsidRPr="00A83314" w:rsidRDefault="00F932BA" w:rsidP="00070010">
      <w:pPr>
        <w:pStyle w:val="VCAAbulletlevel2"/>
        <w:rPr>
          <w:rFonts w:eastAsia="Times New Roman"/>
        </w:rPr>
      </w:pPr>
      <w:r w:rsidRPr="00A83314">
        <w:t>A social movement is commonly defined as an organised group or activity, which encourages or discourages social change through collective action.</w:t>
      </w:r>
    </w:p>
    <w:p w14:paraId="5EBA49BA" w14:textId="79E9E73B" w:rsidR="005E31CF" w:rsidRPr="00A83314" w:rsidRDefault="005E31CF" w:rsidP="00070010">
      <w:pPr>
        <w:pStyle w:val="VCAAbullet"/>
      </w:pPr>
      <w:r w:rsidRPr="00A83314">
        <w:lastRenderedPageBreak/>
        <w:t>demonstrate an understanding of the concept of power according to Max Weber (</w:t>
      </w:r>
      <w:proofErr w:type="gramStart"/>
      <w:r w:rsidRPr="00A83314">
        <w:t>i.e.</w:t>
      </w:r>
      <w:proofErr w:type="gramEnd"/>
      <w:r w:rsidRPr="00A83314">
        <w:t xml:space="preserve"> </w:t>
      </w:r>
      <w:r w:rsidR="00F932BA" w:rsidRPr="00A83314">
        <w:t>Weber claimed that every society is based on power, which he defined as the ability to achieve desired ends despite resistance from others</w:t>
      </w:r>
      <w:r w:rsidR="00D21909" w:rsidRPr="00A83314">
        <w:t>)</w:t>
      </w:r>
      <w:r w:rsidR="00F932BA" w:rsidRPr="00A83314">
        <w:t xml:space="preserve">. </w:t>
      </w:r>
    </w:p>
    <w:p w14:paraId="1DDDA9B8" w14:textId="5F796898" w:rsidR="005E31CF" w:rsidRPr="00A83314" w:rsidRDefault="005E31CF" w:rsidP="00070010">
      <w:pPr>
        <w:pStyle w:val="VCAAbullet"/>
      </w:pPr>
      <w:r w:rsidRPr="00A83314">
        <w:t>demonstrate an understanding of a social movement’s lifecycle (</w:t>
      </w:r>
      <w:proofErr w:type="gramStart"/>
      <w:r w:rsidRPr="00A83314">
        <w:t>i.e.</w:t>
      </w:r>
      <w:proofErr w:type="gramEnd"/>
      <w:r w:rsidRPr="00A83314">
        <w:t xml:space="preserve"> </w:t>
      </w:r>
      <w:r w:rsidR="00D21909" w:rsidRPr="00A83314">
        <w:t>s</w:t>
      </w:r>
      <w:r w:rsidR="00F932BA" w:rsidRPr="00A83314">
        <w:t>ocial movements may follow a process by which they emerge, coalesce and bureaucratise, leading to their success or failure and therefore decline)</w:t>
      </w:r>
      <w:r w:rsidR="00D21909" w:rsidRPr="00A83314">
        <w:t>.</w:t>
      </w:r>
    </w:p>
    <w:p w14:paraId="5F503690" w14:textId="37D5AD60" w:rsidR="005E31CF" w:rsidRPr="00A83314" w:rsidRDefault="005E31CF" w:rsidP="00070010">
      <w:pPr>
        <w:pStyle w:val="VCAAbullet"/>
      </w:pPr>
      <w:r w:rsidRPr="00A83314">
        <w:t>provide an overview of one social movement</w:t>
      </w:r>
    </w:p>
    <w:p w14:paraId="1B68FD37" w14:textId="45D47837" w:rsidR="005E31CF" w:rsidRPr="00A83314" w:rsidRDefault="005E31CF" w:rsidP="00070010">
      <w:pPr>
        <w:pStyle w:val="VCAAbullet"/>
      </w:pPr>
      <w:r w:rsidRPr="00A83314">
        <w:t>provide a description of the social movement in the emergence stage</w:t>
      </w:r>
    </w:p>
    <w:p w14:paraId="0314AC3A" w14:textId="70C7B8B4" w:rsidR="005E31CF" w:rsidRPr="00A83314" w:rsidRDefault="005E31CF" w:rsidP="00070010">
      <w:pPr>
        <w:pStyle w:val="VCAAbullet"/>
      </w:pPr>
      <w:r w:rsidRPr="00A83314">
        <w:t>explore how power was</w:t>
      </w:r>
      <w:r w:rsidR="00D21909" w:rsidRPr="00A83314">
        <w:t xml:space="preserve"> /</w:t>
      </w:r>
      <w:r w:rsidR="005D5F53" w:rsidRPr="00A83314">
        <w:t xml:space="preserve"> </w:t>
      </w:r>
      <w:r w:rsidRPr="00A83314">
        <w:t>was not able to be used by the movement in the emergence stage</w:t>
      </w:r>
    </w:p>
    <w:p w14:paraId="61FC517F" w14:textId="37397B15" w:rsidR="005E31CF" w:rsidRPr="00A83314" w:rsidRDefault="005E31CF" w:rsidP="00070010">
      <w:pPr>
        <w:pStyle w:val="VCAAbullet"/>
      </w:pPr>
      <w:r w:rsidRPr="00A83314">
        <w:t>provide a description of the social movement in the bureaucratisation stage</w:t>
      </w:r>
    </w:p>
    <w:p w14:paraId="3770B1D5" w14:textId="300FBCEA" w:rsidR="005E31CF" w:rsidRPr="00A83314" w:rsidRDefault="005E31CF" w:rsidP="00070010">
      <w:pPr>
        <w:pStyle w:val="VCAAbullet"/>
      </w:pPr>
      <w:r w:rsidRPr="00A83314">
        <w:t>explore how power was</w:t>
      </w:r>
      <w:r w:rsidR="00D21909" w:rsidRPr="00A83314">
        <w:t xml:space="preserve"> /</w:t>
      </w:r>
      <w:r w:rsidR="005D5F53" w:rsidRPr="00A83314">
        <w:t xml:space="preserve"> </w:t>
      </w:r>
      <w:r w:rsidRPr="00A83314">
        <w:t>was not able to be used by the movement during th</w:t>
      </w:r>
      <w:r w:rsidR="005D5F53" w:rsidRPr="00A83314">
        <w:t>e bureaucratisation stage</w:t>
      </w:r>
    </w:p>
    <w:p w14:paraId="484C8A82" w14:textId="4A00CD4D" w:rsidR="00F932BA" w:rsidRPr="00A83314" w:rsidRDefault="00F932BA" w:rsidP="00070010">
      <w:pPr>
        <w:pStyle w:val="VCAAbullet"/>
      </w:pPr>
      <w:r w:rsidRPr="00A83314">
        <w:t>use relevant sourced evidence to support their analysis.</w:t>
      </w:r>
    </w:p>
    <w:p w14:paraId="6C444F87" w14:textId="2C61878E" w:rsidR="00D21909" w:rsidRPr="00A83314" w:rsidRDefault="00D21909" w:rsidP="00CD3FA8">
      <w:pPr>
        <w:pStyle w:val="VCAAbody"/>
      </w:pPr>
      <w:r w:rsidRPr="00A83314">
        <w:t>Higher</w:t>
      </w:r>
      <w:r w:rsidR="00BD45CE" w:rsidRPr="00A83314">
        <w:t>-</w:t>
      </w:r>
      <w:r w:rsidRPr="00A83314">
        <w:t xml:space="preserve">scoring responses referenced Max Weber’s theory of power. In addition, they noted that social movements with greater access to power were better able to progress to the </w:t>
      </w:r>
      <w:proofErr w:type="spellStart"/>
      <w:r w:rsidRPr="00A83314">
        <w:t>bureaucratisation</w:t>
      </w:r>
      <w:proofErr w:type="spellEnd"/>
      <w:r w:rsidRPr="00A83314">
        <w:t xml:space="preserve"> stage. Similarly, those with less power were unable or took longer to move to this stage.</w:t>
      </w:r>
    </w:p>
    <w:p w14:paraId="7B1AB09F" w14:textId="77777777" w:rsidR="00BA3C97" w:rsidRPr="00A83314" w:rsidRDefault="00BA3C97" w:rsidP="00BA3C97">
      <w:pPr>
        <w:pStyle w:val="VCAAbody"/>
        <w:rPr>
          <w:lang w:val="en-GB" w:eastAsia="ja-JP"/>
        </w:rPr>
      </w:pPr>
      <w:r w:rsidRPr="00A83314">
        <w:rPr>
          <w:lang w:val="en-GB" w:eastAsia="ja-JP"/>
        </w:rPr>
        <w:t xml:space="preserve">The following is an </w:t>
      </w:r>
      <w:r w:rsidRPr="00A83314">
        <w:t>excerpt</w:t>
      </w:r>
      <w:r w:rsidRPr="00A83314">
        <w:rPr>
          <w:lang w:val="en-GB" w:eastAsia="ja-JP"/>
        </w:rPr>
        <w:t xml:space="preserve"> from a high-scoring response.</w:t>
      </w:r>
    </w:p>
    <w:p w14:paraId="1BD0D625" w14:textId="27D7F4E5" w:rsidR="00D21909" w:rsidRPr="00CD3FA8" w:rsidRDefault="00BA3C97" w:rsidP="009A38B0">
      <w:pPr>
        <w:pStyle w:val="VCAAstudentresponse"/>
      </w:pPr>
      <w:r w:rsidRPr="00A83314">
        <w:t>Power as defined by Max Weber is “the ability to meet desired ends despite resistance”</w:t>
      </w:r>
      <w:r w:rsidR="00A50852">
        <w:t xml:space="preserve"> </w:t>
      </w:r>
      <w:r w:rsidRPr="00A83314">
        <w:t>… During emergence, Greenpeace had limited power, due to having limited resources and undefined tactics. So, as a result of this, Greenpeace resorted to using the power of the media, through “sound bites” … They used these “sound bites to gain momentum through creating “public outcry” by exposing nuclear testing.</w:t>
      </w:r>
    </w:p>
    <w:sectPr w:rsidR="00D21909" w:rsidRPr="00CD3FA8"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9662" w14:textId="77777777" w:rsidR="00544B17" w:rsidRDefault="00544B17" w:rsidP="00304EA1">
      <w:pPr>
        <w:spacing w:after="0" w:line="240" w:lineRule="auto"/>
      </w:pPr>
      <w:r>
        <w:separator/>
      </w:r>
    </w:p>
  </w:endnote>
  <w:endnote w:type="continuationSeparator" w:id="0">
    <w:p w14:paraId="19A4F592" w14:textId="77777777" w:rsidR="00544B17" w:rsidRDefault="00544B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30E82" w:rsidRPr="00D06414" w14:paraId="00D3EC34" w14:textId="77777777" w:rsidTr="00BB3BAB">
      <w:trPr>
        <w:trHeight w:val="476"/>
      </w:trPr>
      <w:tc>
        <w:tcPr>
          <w:tcW w:w="1667" w:type="pct"/>
          <w:tcMar>
            <w:left w:w="0" w:type="dxa"/>
            <w:right w:w="0" w:type="dxa"/>
          </w:tcMar>
        </w:tcPr>
        <w:p w14:paraId="4F062E5B" w14:textId="77777777" w:rsidR="00E30E82" w:rsidRPr="00D06414" w:rsidRDefault="00E30E8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30E82" w:rsidRPr="00D06414" w:rsidRDefault="00E30E8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5A5049F" w:rsidR="00E30E82" w:rsidRPr="00D06414" w:rsidRDefault="00E30E8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D192EFA" w14:textId="77777777" w:rsidR="00E30E82" w:rsidRPr="00D06414" w:rsidRDefault="00E30E8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30E82" w:rsidRPr="00D06414" w14:paraId="28670396" w14:textId="77777777" w:rsidTr="000F5AAF">
      <w:tc>
        <w:tcPr>
          <w:tcW w:w="1459" w:type="pct"/>
          <w:tcMar>
            <w:left w:w="0" w:type="dxa"/>
            <w:right w:w="0" w:type="dxa"/>
          </w:tcMar>
        </w:tcPr>
        <w:p w14:paraId="0BBE30B4" w14:textId="77777777" w:rsidR="00E30E82" w:rsidRPr="00D06414" w:rsidRDefault="00E30E8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30E82" w:rsidRPr="00D06414" w:rsidRDefault="00E30E8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30E82" w:rsidRPr="00D06414" w:rsidRDefault="00E30E8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30E82" w:rsidRPr="00D06414" w:rsidRDefault="00E30E8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B56A" w14:textId="77777777" w:rsidR="00544B17" w:rsidRDefault="00544B17" w:rsidP="00304EA1">
      <w:pPr>
        <w:spacing w:after="0" w:line="240" w:lineRule="auto"/>
      </w:pPr>
      <w:r>
        <w:separator/>
      </w:r>
    </w:p>
  </w:footnote>
  <w:footnote w:type="continuationSeparator" w:id="0">
    <w:p w14:paraId="40887650" w14:textId="77777777" w:rsidR="00544B17" w:rsidRDefault="00544B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AE80EC2" w:rsidR="00E30E82" w:rsidRPr="00D86DE4" w:rsidRDefault="00DB11A9" w:rsidP="00D86DE4">
    <w:pPr>
      <w:pStyle w:val="VCAAcaptionsandfootnotes"/>
      <w:rPr>
        <w:color w:val="999999" w:themeColor="accent2"/>
      </w:rPr>
    </w:pPr>
    <w:r>
      <w:rPr>
        <w:color w:val="999999" w:themeColor="accent2"/>
      </w:rPr>
      <w:t>2021 VCE Sociology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30E82" w:rsidRPr="009370BC" w:rsidRDefault="00E30E8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10A"/>
    <w:multiLevelType w:val="hybridMultilevel"/>
    <w:tmpl w:val="FD9ABDA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F0071"/>
    <w:multiLevelType w:val="hybridMultilevel"/>
    <w:tmpl w:val="B92C7D5A"/>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031589"/>
    <w:multiLevelType w:val="hybridMultilevel"/>
    <w:tmpl w:val="4B3A86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269C"/>
    <w:multiLevelType w:val="hybridMultilevel"/>
    <w:tmpl w:val="E5B8798E"/>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57967"/>
    <w:multiLevelType w:val="hybridMultilevel"/>
    <w:tmpl w:val="57BEA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85A"/>
    <w:multiLevelType w:val="hybridMultilevel"/>
    <w:tmpl w:val="2FC2A18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0510A"/>
    <w:multiLevelType w:val="hybridMultilevel"/>
    <w:tmpl w:val="97FE50E0"/>
    <w:lvl w:ilvl="0" w:tplc="0C090001">
      <w:start w:val="1"/>
      <w:numFmt w:val="bullet"/>
      <w:lvlText w:val=""/>
      <w:lvlJc w:val="left"/>
      <w:pPr>
        <w:ind w:left="720" w:hanging="360"/>
      </w:pPr>
      <w:rPr>
        <w:rFonts w:ascii="Symbol" w:hAnsi="Symbol" w:hint="default"/>
      </w:rPr>
    </w:lvl>
    <w:lvl w:ilvl="1" w:tplc="3F1A2FD8">
      <w:start w:val="3"/>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C293E"/>
    <w:multiLevelType w:val="hybridMultilevel"/>
    <w:tmpl w:val="F8B61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0E56A5"/>
    <w:multiLevelType w:val="hybridMultilevel"/>
    <w:tmpl w:val="A4C4A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A1B9D"/>
    <w:multiLevelType w:val="hybridMultilevel"/>
    <w:tmpl w:val="0676595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744287"/>
    <w:multiLevelType w:val="hybridMultilevel"/>
    <w:tmpl w:val="13DC564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777C8E"/>
    <w:multiLevelType w:val="hybridMultilevel"/>
    <w:tmpl w:val="1FA09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3F68D9"/>
    <w:multiLevelType w:val="hybridMultilevel"/>
    <w:tmpl w:val="25326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84305"/>
    <w:multiLevelType w:val="hybridMultilevel"/>
    <w:tmpl w:val="2D4AC4F8"/>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5A29DD"/>
    <w:multiLevelType w:val="hybridMultilevel"/>
    <w:tmpl w:val="15E0A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8F2314"/>
    <w:multiLevelType w:val="hybridMultilevel"/>
    <w:tmpl w:val="CFDCB3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1B2D47"/>
    <w:multiLevelType w:val="hybridMultilevel"/>
    <w:tmpl w:val="96D2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63118"/>
    <w:multiLevelType w:val="hybridMultilevel"/>
    <w:tmpl w:val="B12EB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25CFD"/>
    <w:multiLevelType w:val="hybridMultilevel"/>
    <w:tmpl w:val="DAB4A3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7D5F36"/>
    <w:multiLevelType w:val="hybridMultilevel"/>
    <w:tmpl w:val="F108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F5EF4"/>
    <w:multiLevelType w:val="hybridMultilevel"/>
    <w:tmpl w:val="758C0C2C"/>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BD3D50"/>
    <w:multiLevelType w:val="hybridMultilevel"/>
    <w:tmpl w:val="87C0446A"/>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CB1CD3"/>
    <w:multiLevelType w:val="hybridMultilevel"/>
    <w:tmpl w:val="0E622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F553F"/>
    <w:multiLevelType w:val="hybridMultilevel"/>
    <w:tmpl w:val="826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357C5"/>
    <w:multiLevelType w:val="hybridMultilevel"/>
    <w:tmpl w:val="C42EC6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51198"/>
    <w:multiLevelType w:val="hybridMultilevel"/>
    <w:tmpl w:val="2FEA6F3E"/>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D61163"/>
    <w:multiLevelType w:val="hybridMultilevel"/>
    <w:tmpl w:val="37D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934EB"/>
    <w:multiLevelType w:val="hybridMultilevel"/>
    <w:tmpl w:val="D7B2752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6C6F3A"/>
    <w:multiLevelType w:val="hybridMultilevel"/>
    <w:tmpl w:val="932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8184B"/>
    <w:multiLevelType w:val="hybridMultilevel"/>
    <w:tmpl w:val="33128DF2"/>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93D4A83"/>
    <w:multiLevelType w:val="hybridMultilevel"/>
    <w:tmpl w:val="709215A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5F1A4500"/>
    <w:multiLevelType w:val="hybridMultilevel"/>
    <w:tmpl w:val="C9C87DC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F03E20BE"/>
    <w:lvl w:ilvl="0" w:tplc="871A8DB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5035E90"/>
    <w:multiLevelType w:val="hybridMultilevel"/>
    <w:tmpl w:val="224E5D2A"/>
    <w:lvl w:ilvl="0" w:tplc="3F1A2FD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A51CD"/>
    <w:multiLevelType w:val="hybridMultilevel"/>
    <w:tmpl w:val="FE96469E"/>
    <w:lvl w:ilvl="0" w:tplc="0C090001">
      <w:start w:val="1"/>
      <w:numFmt w:val="bullet"/>
      <w:lvlText w:val=""/>
      <w:lvlJc w:val="left"/>
      <w:pPr>
        <w:ind w:left="720" w:hanging="360"/>
      </w:pPr>
      <w:rPr>
        <w:rFonts w:ascii="Symbol" w:hAnsi="Symbol" w:hint="default"/>
      </w:rPr>
    </w:lvl>
    <w:lvl w:ilvl="1" w:tplc="3F1A2FD8">
      <w:start w:val="3"/>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5C0AA9"/>
    <w:multiLevelType w:val="hybridMultilevel"/>
    <w:tmpl w:val="7A8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15D78"/>
    <w:multiLevelType w:val="hybridMultilevel"/>
    <w:tmpl w:val="30F0ED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5327A"/>
    <w:multiLevelType w:val="hybridMultilevel"/>
    <w:tmpl w:val="58309D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8C7D70"/>
    <w:multiLevelType w:val="hybridMultilevel"/>
    <w:tmpl w:val="215410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9F3E03"/>
    <w:multiLevelType w:val="hybridMultilevel"/>
    <w:tmpl w:val="747A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92C1D"/>
    <w:multiLevelType w:val="hybridMultilevel"/>
    <w:tmpl w:val="02EE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75B4C"/>
    <w:multiLevelType w:val="hybridMultilevel"/>
    <w:tmpl w:val="5AF861A0"/>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DF6516"/>
    <w:multiLevelType w:val="hybridMultilevel"/>
    <w:tmpl w:val="5756FA60"/>
    <w:lvl w:ilvl="0" w:tplc="0C090001">
      <w:start w:val="1"/>
      <w:numFmt w:val="bullet"/>
      <w:lvlText w:val=""/>
      <w:lvlJc w:val="left"/>
      <w:pPr>
        <w:ind w:left="720" w:hanging="360"/>
      </w:pPr>
      <w:rPr>
        <w:rFonts w:ascii="Symbol" w:hAnsi="Symbol" w:hint="default"/>
      </w:rPr>
    </w:lvl>
    <w:lvl w:ilvl="1" w:tplc="3F1A2FD8">
      <w:start w:val="3"/>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3219A8"/>
    <w:multiLevelType w:val="hybridMultilevel"/>
    <w:tmpl w:val="C32C05C2"/>
    <w:lvl w:ilvl="0" w:tplc="0C090001">
      <w:start w:val="1"/>
      <w:numFmt w:val="bullet"/>
      <w:lvlText w:val=""/>
      <w:lvlJc w:val="left"/>
      <w:pPr>
        <w:ind w:left="360" w:hanging="360"/>
      </w:pPr>
      <w:rPr>
        <w:rFonts w:ascii="Symbol" w:hAnsi="Symbol" w:hint="default"/>
      </w:rPr>
    </w:lvl>
    <w:lvl w:ilvl="1" w:tplc="3F1A2FD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AA00D90"/>
    <w:multiLevelType w:val="hybridMultilevel"/>
    <w:tmpl w:val="FC701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3F71A8"/>
    <w:multiLevelType w:val="hybridMultilevel"/>
    <w:tmpl w:val="B7408052"/>
    <w:lvl w:ilvl="0" w:tplc="3F1A2FD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0"/>
  </w:num>
  <w:num w:numId="4">
    <w:abstractNumId w:val="9"/>
  </w:num>
  <w:num w:numId="5">
    <w:abstractNumId w:val="34"/>
  </w:num>
  <w:num w:numId="6">
    <w:abstractNumId w:val="44"/>
  </w:num>
  <w:num w:numId="7">
    <w:abstractNumId w:val="25"/>
  </w:num>
  <w:num w:numId="8">
    <w:abstractNumId w:val="4"/>
  </w:num>
  <w:num w:numId="9">
    <w:abstractNumId w:val="32"/>
  </w:num>
  <w:num w:numId="10">
    <w:abstractNumId w:val="41"/>
  </w:num>
  <w:num w:numId="11">
    <w:abstractNumId w:val="16"/>
  </w:num>
  <w:num w:numId="12">
    <w:abstractNumId w:val="39"/>
  </w:num>
  <w:num w:numId="13">
    <w:abstractNumId w:val="5"/>
  </w:num>
  <w:num w:numId="14">
    <w:abstractNumId w:val="28"/>
  </w:num>
  <w:num w:numId="15">
    <w:abstractNumId w:val="33"/>
  </w:num>
  <w:num w:numId="16">
    <w:abstractNumId w:val="26"/>
  </w:num>
  <w:num w:numId="17">
    <w:abstractNumId w:val="0"/>
  </w:num>
  <w:num w:numId="18">
    <w:abstractNumId w:val="10"/>
  </w:num>
  <w:num w:numId="19">
    <w:abstractNumId w:val="29"/>
  </w:num>
  <w:num w:numId="20">
    <w:abstractNumId w:val="11"/>
  </w:num>
  <w:num w:numId="21">
    <w:abstractNumId w:val="2"/>
  </w:num>
  <w:num w:numId="22">
    <w:abstractNumId w:val="49"/>
  </w:num>
  <w:num w:numId="23">
    <w:abstractNumId w:val="18"/>
  </w:num>
  <w:num w:numId="24">
    <w:abstractNumId w:val="31"/>
  </w:num>
  <w:num w:numId="25">
    <w:abstractNumId w:val="17"/>
  </w:num>
  <w:num w:numId="26">
    <w:abstractNumId w:val="37"/>
  </w:num>
  <w:num w:numId="27">
    <w:abstractNumId w:val="24"/>
  </w:num>
  <w:num w:numId="28">
    <w:abstractNumId w:val="19"/>
  </w:num>
  <w:num w:numId="29">
    <w:abstractNumId w:val="43"/>
  </w:num>
  <w:num w:numId="30">
    <w:abstractNumId w:val="21"/>
  </w:num>
  <w:num w:numId="31">
    <w:abstractNumId w:val="35"/>
  </w:num>
  <w:num w:numId="32">
    <w:abstractNumId w:val="40"/>
  </w:num>
  <w:num w:numId="33">
    <w:abstractNumId w:val="8"/>
  </w:num>
  <w:num w:numId="34">
    <w:abstractNumId w:val="27"/>
  </w:num>
  <w:num w:numId="35">
    <w:abstractNumId w:val="23"/>
  </w:num>
  <w:num w:numId="36">
    <w:abstractNumId w:val="7"/>
  </w:num>
  <w:num w:numId="37">
    <w:abstractNumId w:val="22"/>
  </w:num>
  <w:num w:numId="38">
    <w:abstractNumId w:val="14"/>
  </w:num>
  <w:num w:numId="39">
    <w:abstractNumId w:val="47"/>
  </w:num>
  <w:num w:numId="40">
    <w:abstractNumId w:val="3"/>
  </w:num>
  <w:num w:numId="41">
    <w:abstractNumId w:val="6"/>
  </w:num>
  <w:num w:numId="42">
    <w:abstractNumId w:val="46"/>
  </w:num>
  <w:num w:numId="43">
    <w:abstractNumId w:val="12"/>
  </w:num>
  <w:num w:numId="44">
    <w:abstractNumId w:val="13"/>
  </w:num>
  <w:num w:numId="45">
    <w:abstractNumId w:val="38"/>
  </w:num>
  <w:num w:numId="46">
    <w:abstractNumId w:val="45"/>
  </w:num>
  <w:num w:numId="47">
    <w:abstractNumId w:val="1"/>
  </w:num>
  <w:num w:numId="48">
    <w:abstractNumId w:val="15"/>
  </w:num>
  <w:num w:numId="49">
    <w:abstractNumId w:val="4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BA2"/>
    <w:rsid w:val="00024018"/>
    <w:rsid w:val="00027C72"/>
    <w:rsid w:val="000421EB"/>
    <w:rsid w:val="0005780E"/>
    <w:rsid w:val="00065CC6"/>
    <w:rsid w:val="00066E11"/>
    <w:rsid w:val="00070010"/>
    <w:rsid w:val="00071DFC"/>
    <w:rsid w:val="000761A6"/>
    <w:rsid w:val="00090D46"/>
    <w:rsid w:val="000A19E7"/>
    <w:rsid w:val="000A71F7"/>
    <w:rsid w:val="000F09E4"/>
    <w:rsid w:val="000F16FD"/>
    <w:rsid w:val="000F335B"/>
    <w:rsid w:val="000F5AAF"/>
    <w:rsid w:val="00120DB9"/>
    <w:rsid w:val="00135A3A"/>
    <w:rsid w:val="00143520"/>
    <w:rsid w:val="00153AD2"/>
    <w:rsid w:val="00160509"/>
    <w:rsid w:val="00165E14"/>
    <w:rsid w:val="00172350"/>
    <w:rsid w:val="001779EA"/>
    <w:rsid w:val="00182027"/>
    <w:rsid w:val="00182EAB"/>
    <w:rsid w:val="00184297"/>
    <w:rsid w:val="00185CB0"/>
    <w:rsid w:val="00185CDF"/>
    <w:rsid w:val="001C3EEA"/>
    <w:rsid w:val="001D3246"/>
    <w:rsid w:val="001E2898"/>
    <w:rsid w:val="00206004"/>
    <w:rsid w:val="002076D3"/>
    <w:rsid w:val="002279BA"/>
    <w:rsid w:val="002308C5"/>
    <w:rsid w:val="0023292D"/>
    <w:rsid w:val="002329F3"/>
    <w:rsid w:val="00243F0D"/>
    <w:rsid w:val="00260767"/>
    <w:rsid w:val="002647BB"/>
    <w:rsid w:val="00267F51"/>
    <w:rsid w:val="002754C1"/>
    <w:rsid w:val="002841C8"/>
    <w:rsid w:val="0028516B"/>
    <w:rsid w:val="00287F99"/>
    <w:rsid w:val="002C2FA0"/>
    <w:rsid w:val="002C6F90"/>
    <w:rsid w:val="002E2B2D"/>
    <w:rsid w:val="002E4FB5"/>
    <w:rsid w:val="002F0808"/>
    <w:rsid w:val="00302FB8"/>
    <w:rsid w:val="00304EA1"/>
    <w:rsid w:val="00314D81"/>
    <w:rsid w:val="0031623C"/>
    <w:rsid w:val="00322FC6"/>
    <w:rsid w:val="003326A4"/>
    <w:rsid w:val="003401C2"/>
    <w:rsid w:val="00350651"/>
    <w:rsid w:val="0035293F"/>
    <w:rsid w:val="003553F9"/>
    <w:rsid w:val="00362EAC"/>
    <w:rsid w:val="00385147"/>
    <w:rsid w:val="00391986"/>
    <w:rsid w:val="003A00B4"/>
    <w:rsid w:val="003B2257"/>
    <w:rsid w:val="003C5E71"/>
    <w:rsid w:val="003C6C6D"/>
    <w:rsid w:val="003D6CBD"/>
    <w:rsid w:val="003E2026"/>
    <w:rsid w:val="003F403A"/>
    <w:rsid w:val="00400537"/>
    <w:rsid w:val="00417AA3"/>
    <w:rsid w:val="00421F44"/>
    <w:rsid w:val="00425DFE"/>
    <w:rsid w:val="00434EDB"/>
    <w:rsid w:val="00440B32"/>
    <w:rsid w:val="0044213C"/>
    <w:rsid w:val="00451650"/>
    <w:rsid w:val="0046078D"/>
    <w:rsid w:val="00495C80"/>
    <w:rsid w:val="004A2C0B"/>
    <w:rsid w:val="004A2ED8"/>
    <w:rsid w:val="004A3803"/>
    <w:rsid w:val="004B074D"/>
    <w:rsid w:val="004C2F9C"/>
    <w:rsid w:val="004C473D"/>
    <w:rsid w:val="004D7D5F"/>
    <w:rsid w:val="004F5BDA"/>
    <w:rsid w:val="0051631E"/>
    <w:rsid w:val="00537A1F"/>
    <w:rsid w:val="00544B17"/>
    <w:rsid w:val="005570CF"/>
    <w:rsid w:val="005647A6"/>
    <w:rsid w:val="00566029"/>
    <w:rsid w:val="005923CB"/>
    <w:rsid w:val="005A1A27"/>
    <w:rsid w:val="005B391B"/>
    <w:rsid w:val="005C02CD"/>
    <w:rsid w:val="005C70E8"/>
    <w:rsid w:val="005D3520"/>
    <w:rsid w:val="005D3D78"/>
    <w:rsid w:val="005D5F53"/>
    <w:rsid w:val="005E2EF0"/>
    <w:rsid w:val="005E31CF"/>
    <w:rsid w:val="005F25C2"/>
    <w:rsid w:val="005F4092"/>
    <w:rsid w:val="005F70DA"/>
    <w:rsid w:val="006630A3"/>
    <w:rsid w:val="006663C6"/>
    <w:rsid w:val="00671851"/>
    <w:rsid w:val="0068471E"/>
    <w:rsid w:val="00684F98"/>
    <w:rsid w:val="00693FFD"/>
    <w:rsid w:val="00696143"/>
    <w:rsid w:val="006C2D4C"/>
    <w:rsid w:val="006D2159"/>
    <w:rsid w:val="006F787C"/>
    <w:rsid w:val="00702636"/>
    <w:rsid w:val="00716ECB"/>
    <w:rsid w:val="00724507"/>
    <w:rsid w:val="00747109"/>
    <w:rsid w:val="00752F94"/>
    <w:rsid w:val="00756DB5"/>
    <w:rsid w:val="00773E6C"/>
    <w:rsid w:val="00781FB1"/>
    <w:rsid w:val="007A4274"/>
    <w:rsid w:val="007A4B91"/>
    <w:rsid w:val="007A58C2"/>
    <w:rsid w:val="007C600D"/>
    <w:rsid w:val="007D1B6D"/>
    <w:rsid w:val="007F4D2F"/>
    <w:rsid w:val="00803E0C"/>
    <w:rsid w:val="008117F1"/>
    <w:rsid w:val="00813C37"/>
    <w:rsid w:val="008154B5"/>
    <w:rsid w:val="00823962"/>
    <w:rsid w:val="008428B1"/>
    <w:rsid w:val="00850410"/>
    <w:rsid w:val="00852719"/>
    <w:rsid w:val="00860115"/>
    <w:rsid w:val="0088783C"/>
    <w:rsid w:val="00901AB9"/>
    <w:rsid w:val="00933343"/>
    <w:rsid w:val="009370BC"/>
    <w:rsid w:val="009457E9"/>
    <w:rsid w:val="00970580"/>
    <w:rsid w:val="0098739B"/>
    <w:rsid w:val="009906B5"/>
    <w:rsid w:val="00990C93"/>
    <w:rsid w:val="009A38B0"/>
    <w:rsid w:val="009A7838"/>
    <w:rsid w:val="009B61E5"/>
    <w:rsid w:val="009D0E9E"/>
    <w:rsid w:val="009D1E89"/>
    <w:rsid w:val="009D4926"/>
    <w:rsid w:val="009E44A2"/>
    <w:rsid w:val="009E5707"/>
    <w:rsid w:val="009E60B2"/>
    <w:rsid w:val="009F6328"/>
    <w:rsid w:val="00A0716E"/>
    <w:rsid w:val="00A17661"/>
    <w:rsid w:val="00A21DED"/>
    <w:rsid w:val="00A24B2D"/>
    <w:rsid w:val="00A33CCD"/>
    <w:rsid w:val="00A37F06"/>
    <w:rsid w:val="00A40966"/>
    <w:rsid w:val="00A50852"/>
    <w:rsid w:val="00A57139"/>
    <w:rsid w:val="00A57626"/>
    <w:rsid w:val="00A6531D"/>
    <w:rsid w:val="00A8096A"/>
    <w:rsid w:val="00A83314"/>
    <w:rsid w:val="00A921E0"/>
    <w:rsid w:val="00A922F4"/>
    <w:rsid w:val="00A94C8D"/>
    <w:rsid w:val="00AD2C26"/>
    <w:rsid w:val="00AE5275"/>
    <w:rsid w:val="00AE5526"/>
    <w:rsid w:val="00AF051B"/>
    <w:rsid w:val="00B01578"/>
    <w:rsid w:val="00B0738F"/>
    <w:rsid w:val="00B11407"/>
    <w:rsid w:val="00B12DC9"/>
    <w:rsid w:val="00B13D3B"/>
    <w:rsid w:val="00B230DB"/>
    <w:rsid w:val="00B2625D"/>
    <w:rsid w:val="00B26601"/>
    <w:rsid w:val="00B41951"/>
    <w:rsid w:val="00B53229"/>
    <w:rsid w:val="00B5443D"/>
    <w:rsid w:val="00B62480"/>
    <w:rsid w:val="00B717F4"/>
    <w:rsid w:val="00B81B70"/>
    <w:rsid w:val="00B8428B"/>
    <w:rsid w:val="00B92AEE"/>
    <w:rsid w:val="00BA3C97"/>
    <w:rsid w:val="00BB3BAB"/>
    <w:rsid w:val="00BB7CF9"/>
    <w:rsid w:val="00BC4AFF"/>
    <w:rsid w:val="00BC6188"/>
    <w:rsid w:val="00BD0724"/>
    <w:rsid w:val="00BD2B91"/>
    <w:rsid w:val="00BD45CE"/>
    <w:rsid w:val="00BE5521"/>
    <w:rsid w:val="00BF0BBA"/>
    <w:rsid w:val="00BF5D55"/>
    <w:rsid w:val="00BF6C23"/>
    <w:rsid w:val="00C35203"/>
    <w:rsid w:val="00C512AA"/>
    <w:rsid w:val="00C53263"/>
    <w:rsid w:val="00C54EAE"/>
    <w:rsid w:val="00C75F1D"/>
    <w:rsid w:val="00C80646"/>
    <w:rsid w:val="00C95156"/>
    <w:rsid w:val="00CA0DC2"/>
    <w:rsid w:val="00CB68E8"/>
    <w:rsid w:val="00CD3FA8"/>
    <w:rsid w:val="00CE1AC9"/>
    <w:rsid w:val="00D04F01"/>
    <w:rsid w:val="00D06414"/>
    <w:rsid w:val="00D10AA4"/>
    <w:rsid w:val="00D20ED9"/>
    <w:rsid w:val="00D21909"/>
    <w:rsid w:val="00D24E5A"/>
    <w:rsid w:val="00D27114"/>
    <w:rsid w:val="00D338E4"/>
    <w:rsid w:val="00D51947"/>
    <w:rsid w:val="00D532F0"/>
    <w:rsid w:val="00D56E0F"/>
    <w:rsid w:val="00D67BFB"/>
    <w:rsid w:val="00D77413"/>
    <w:rsid w:val="00D82759"/>
    <w:rsid w:val="00D86DE4"/>
    <w:rsid w:val="00DB11A9"/>
    <w:rsid w:val="00DD6752"/>
    <w:rsid w:val="00DE1909"/>
    <w:rsid w:val="00DE51DB"/>
    <w:rsid w:val="00DF4A82"/>
    <w:rsid w:val="00E174B1"/>
    <w:rsid w:val="00E23F1D"/>
    <w:rsid w:val="00E24216"/>
    <w:rsid w:val="00E27859"/>
    <w:rsid w:val="00E30E05"/>
    <w:rsid w:val="00E30E82"/>
    <w:rsid w:val="00E35622"/>
    <w:rsid w:val="00E36361"/>
    <w:rsid w:val="00E4038F"/>
    <w:rsid w:val="00E45D8C"/>
    <w:rsid w:val="00E55AE9"/>
    <w:rsid w:val="00E868F6"/>
    <w:rsid w:val="00EA72E9"/>
    <w:rsid w:val="00EB0C84"/>
    <w:rsid w:val="00EC3A08"/>
    <w:rsid w:val="00EC76EE"/>
    <w:rsid w:val="00ED76AE"/>
    <w:rsid w:val="00EE40E3"/>
    <w:rsid w:val="00EF1995"/>
    <w:rsid w:val="00EF4188"/>
    <w:rsid w:val="00F17FDE"/>
    <w:rsid w:val="00F25F94"/>
    <w:rsid w:val="00F35A5C"/>
    <w:rsid w:val="00F40D53"/>
    <w:rsid w:val="00F4525C"/>
    <w:rsid w:val="00F50D86"/>
    <w:rsid w:val="00F536B8"/>
    <w:rsid w:val="00F67518"/>
    <w:rsid w:val="00F73CD5"/>
    <w:rsid w:val="00F932BA"/>
    <w:rsid w:val="00F96FE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F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70010"/>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7F4D2F"/>
    <w:rPr>
      <w:rFonts w:ascii="Calibri" w:hAnsi="Calibri"/>
      <w:szCs w:val="24"/>
    </w:rPr>
  </w:style>
  <w:style w:type="paragraph" w:styleId="ListParagraph">
    <w:name w:val="List Paragraph"/>
    <w:basedOn w:val="Normal"/>
    <w:link w:val="ListParagraphChar"/>
    <w:uiPriority w:val="34"/>
    <w:qFormat/>
    <w:rsid w:val="007F4D2F"/>
    <w:pPr>
      <w:spacing w:after="0" w:line="240" w:lineRule="auto"/>
      <w:ind w:left="720"/>
      <w:contextualSpacing/>
    </w:pPr>
    <w:rPr>
      <w:rFonts w:ascii="Calibri" w:hAnsi="Calibri"/>
      <w:szCs w:val="24"/>
    </w:rPr>
  </w:style>
  <w:style w:type="paragraph" w:styleId="Revision">
    <w:name w:val="Revision"/>
    <w:hidden/>
    <w:uiPriority w:val="99"/>
    <w:semiHidden/>
    <w:rsid w:val="002308C5"/>
    <w:pPr>
      <w:spacing w:after="0" w:line="240" w:lineRule="auto"/>
    </w:pPr>
  </w:style>
  <w:style w:type="character" w:customStyle="1" w:styleId="VCAAbold">
    <w:name w:val="VCAA bold"/>
    <w:basedOn w:val="DefaultParagraphFont"/>
    <w:uiPriority w:val="1"/>
    <w:qFormat/>
    <w:rsid w:val="00160509"/>
    <w:rPr>
      <w:b/>
      <w:bCs/>
      <w:lang w:eastAsia="en-AU"/>
    </w:rPr>
  </w:style>
  <w:style w:type="character" w:customStyle="1" w:styleId="VCAAitalics">
    <w:name w:val="VCAA italics"/>
    <w:uiPriority w:val="1"/>
    <w:qFormat/>
    <w:rsid w:val="00160509"/>
    <w:rPr>
      <w:i/>
      <w:iCs/>
    </w:rPr>
  </w:style>
  <w:style w:type="paragraph" w:customStyle="1" w:styleId="VCAAstudentresponse">
    <w:name w:val="VCAA student response"/>
    <w:basedOn w:val="VCAAbody"/>
    <w:qFormat/>
    <w:rsid w:val="00160509"/>
    <w:pPr>
      <w:ind w:left="284"/>
    </w:pPr>
    <w:rPr>
      <w:i/>
      <w:iCs/>
    </w:rPr>
  </w:style>
  <w:style w:type="table" w:customStyle="1" w:styleId="VCAATableClosed1">
    <w:name w:val="VCAA Table Closed1"/>
    <w:basedOn w:val="TableNormal"/>
    <w:uiPriority w:val="99"/>
    <w:rsid w:val="003F403A"/>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4B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0505">
      <w:bodyDiv w:val="1"/>
      <w:marLeft w:val="0"/>
      <w:marRight w:val="0"/>
      <w:marTop w:val="0"/>
      <w:marBottom w:val="0"/>
      <w:divBdr>
        <w:top w:val="none" w:sz="0" w:space="0" w:color="auto"/>
        <w:left w:val="none" w:sz="0" w:space="0" w:color="auto"/>
        <w:bottom w:val="none" w:sz="0" w:space="0" w:color="auto"/>
        <w:right w:val="none" w:sz="0" w:space="0" w:color="auto"/>
      </w:divBdr>
    </w:div>
    <w:div w:id="152065444">
      <w:bodyDiv w:val="1"/>
      <w:marLeft w:val="0"/>
      <w:marRight w:val="0"/>
      <w:marTop w:val="0"/>
      <w:marBottom w:val="0"/>
      <w:divBdr>
        <w:top w:val="none" w:sz="0" w:space="0" w:color="auto"/>
        <w:left w:val="none" w:sz="0" w:space="0" w:color="auto"/>
        <w:bottom w:val="none" w:sz="0" w:space="0" w:color="auto"/>
        <w:right w:val="none" w:sz="0" w:space="0" w:color="auto"/>
      </w:divBdr>
    </w:div>
    <w:div w:id="187641843">
      <w:bodyDiv w:val="1"/>
      <w:marLeft w:val="0"/>
      <w:marRight w:val="0"/>
      <w:marTop w:val="0"/>
      <w:marBottom w:val="0"/>
      <w:divBdr>
        <w:top w:val="none" w:sz="0" w:space="0" w:color="auto"/>
        <w:left w:val="none" w:sz="0" w:space="0" w:color="auto"/>
        <w:bottom w:val="none" w:sz="0" w:space="0" w:color="auto"/>
        <w:right w:val="none" w:sz="0" w:space="0" w:color="auto"/>
      </w:divBdr>
    </w:div>
    <w:div w:id="230892985">
      <w:bodyDiv w:val="1"/>
      <w:marLeft w:val="0"/>
      <w:marRight w:val="0"/>
      <w:marTop w:val="0"/>
      <w:marBottom w:val="0"/>
      <w:divBdr>
        <w:top w:val="none" w:sz="0" w:space="0" w:color="auto"/>
        <w:left w:val="none" w:sz="0" w:space="0" w:color="auto"/>
        <w:bottom w:val="none" w:sz="0" w:space="0" w:color="auto"/>
        <w:right w:val="none" w:sz="0" w:space="0" w:color="auto"/>
      </w:divBdr>
    </w:div>
    <w:div w:id="340544772">
      <w:bodyDiv w:val="1"/>
      <w:marLeft w:val="0"/>
      <w:marRight w:val="0"/>
      <w:marTop w:val="0"/>
      <w:marBottom w:val="0"/>
      <w:divBdr>
        <w:top w:val="none" w:sz="0" w:space="0" w:color="auto"/>
        <w:left w:val="none" w:sz="0" w:space="0" w:color="auto"/>
        <w:bottom w:val="none" w:sz="0" w:space="0" w:color="auto"/>
        <w:right w:val="none" w:sz="0" w:space="0" w:color="auto"/>
      </w:divBdr>
    </w:div>
    <w:div w:id="539828268">
      <w:bodyDiv w:val="1"/>
      <w:marLeft w:val="0"/>
      <w:marRight w:val="0"/>
      <w:marTop w:val="0"/>
      <w:marBottom w:val="0"/>
      <w:divBdr>
        <w:top w:val="none" w:sz="0" w:space="0" w:color="auto"/>
        <w:left w:val="none" w:sz="0" w:space="0" w:color="auto"/>
        <w:bottom w:val="none" w:sz="0" w:space="0" w:color="auto"/>
        <w:right w:val="none" w:sz="0" w:space="0" w:color="auto"/>
      </w:divBdr>
    </w:div>
    <w:div w:id="840508599">
      <w:bodyDiv w:val="1"/>
      <w:marLeft w:val="0"/>
      <w:marRight w:val="0"/>
      <w:marTop w:val="0"/>
      <w:marBottom w:val="0"/>
      <w:divBdr>
        <w:top w:val="none" w:sz="0" w:space="0" w:color="auto"/>
        <w:left w:val="none" w:sz="0" w:space="0" w:color="auto"/>
        <w:bottom w:val="none" w:sz="0" w:space="0" w:color="auto"/>
        <w:right w:val="none" w:sz="0" w:space="0" w:color="auto"/>
      </w:divBdr>
    </w:div>
    <w:div w:id="907610621">
      <w:bodyDiv w:val="1"/>
      <w:marLeft w:val="0"/>
      <w:marRight w:val="0"/>
      <w:marTop w:val="0"/>
      <w:marBottom w:val="0"/>
      <w:divBdr>
        <w:top w:val="none" w:sz="0" w:space="0" w:color="auto"/>
        <w:left w:val="none" w:sz="0" w:space="0" w:color="auto"/>
        <w:bottom w:val="none" w:sz="0" w:space="0" w:color="auto"/>
        <w:right w:val="none" w:sz="0" w:space="0" w:color="auto"/>
      </w:divBdr>
    </w:div>
    <w:div w:id="944194626">
      <w:bodyDiv w:val="1"/>
      <w:marLeft w:val="0"/>
      <w:marRight w:val="0"/>
      <w:marTop w:val="0"/>
      <w:marBottom w:val="0"/>
      <w:divBdr>
        <w:top w:val="none" w:sz="0" w:space="0" w:color="auto"/>
        <w:left w:val="none" w:sz="0" w:space="0" w:color="auto"/>
        <w:bottom w:val="none" w:sz="0" w:space="0" w:color="auto"/>
        <w:right w:val="none" w:sz="0" w:space="0" w:color="auto"/>
      </w:divBdr>
    </w:div>
    <w:div w:id="1003702650">
      <w:bodyDiv w:val="1"/>
      <w:marLeft w:val="0"/>
      <w:marRight w:val="0"/>
      <w:marTop w:val="0"/>
      <w:marBottom w:val="0"/>
      <w:divBdr>
        <w:top w:val="none" w:sz="0" w:space="0" w:color="auto"/>
        <w:left w:val="none" w:sz="0" w:space="0" w:color="auto"/>
        <w:bottom w:val="none" w:sz="0" w:space="0" w:color="auto"/>
        <w:right w:val="none" w:sz="0" w:space="0" w:color="auto"/>
      </w:divBdr>
    </w:div>
    <w:div w:id="1239829334">
      <w:bodyDiv w:val="1"/>
      <w:marLeft w:val="0"/>
      <w:marRight w:val="0"/>
      <w:marTop w:val="0"/>
      <w:marBottom w:val="0"/>
      <w:divBdr>
        <w:top w:val="none" w:sz="0" w:space="0" w:color="auto"/>
        <w:left w:val="none" w:sz="0" w:space="0" w:color="auto"/>
        <w:bottom w:val="none" w:sz="0" w:space="0" w:color="auto"/>
        <w:right w:val="none" w:sz="0" w:space="0" w:color="auto"/>
      </w:divBdr>
    </w:div>
    <w:div w:id="1470517426">
      <w:bodyDiv w:val="1"/>
      <w:marLeft w:val="0"/>
      <w:marRight w:val="0"/>
      <w:marTop w:val="0"/>
      <w:marBottom w:val="0"/>
      <w:divBdr>
        <w:top w:val="none" w:sz="0" w:space="0" w:color="auto"/>
        <w:left w:val="none" w:sz="0" w:space="0" w:color="auto"/>
        <w:bottom w:val="none" w:sz="0" w:space="0" w:color="auto"/>
        <w:right w:val="none" w:sz="0" w:space="0" w:color="auto"/>
      </w:divBdr>
    </w:div>
    <w:div w:id="1664046431">
      <w:bodyDiv w:val="1"/>
      <w:marLeft w:val="0"/>
      <w:marRight w:val="0"/>
      <w:marTop w:val="0"/>
      <w:marBottom w:val="0"/>
      <w:divBdr>
        <w:top w:val="none" w:sz="0" w:space="0" w:color="auto"/>
        <w:left w:val="none" w:sz="0" w:space="0" w:color="auto"/>
        <w:bottom w:val="none" w:sz="0" w:space="0" w:color="auto"/>
        <w:right w:val="none" w:sz="0" w:space="0" w:color="auto"/>
      </w:divBdr>
    </w:div>
    <w:div w:id="1834223901">
      <w:bodyDiv w:val="1"/>
      <w:marLeft w:val="0"/>
      <w:marRight w:val="0"/>
      <w:marTop w:val="0"/>
      <w:marBottom w:val="0"/>
      <w:divBdr>
        <w:top w:val="none" w:sz="0" w:space="0" w:color="auto"/>
        <w:left w:val="none" w:sz="0" w:space="0" w:color="auto"/>
        <w:bottom w:val="none" w:sz="0" w:space="0" w:color="auto"/>
        <w:right w:val="none" w:sz="0" w:space="0" w:color="auto"/>
      </w:divBdr>
    </w:div>
    <w:div w:id="18967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Documents/exams/sociology/sociology-specs-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Sociology;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7CB2AA3-747F-4984-83DE-F59AA1A5D687}">
  <ds:schemaRefs>
    <ds:schemaRef ds:uri="http://schemas.openxmlformats.org/officeDocument/2006/bibliography"/>
  </ds:schemaRefs>
</ds:datastoreItem>
</file>

<file path=customXml/itemProps2.xml><?xml version="1.0" encoding="utf-8"?>
<ds:datastoreItem xmlns:ds="http://schemas.openxmlformats.org/officeDocument/2006/customXml" ds:itemID="{BD8D524A-18F0-46C4-A5E9-6AE6D3E44F28}"/>
</file>

<file path=customXml/itemProps3.xml><?xml version="1.0" encoding="utf-8"?>
<ds:datastoreItem xmlns:ds="http://schemas.openxmlformats.org/officeDocument/2006/customXml" ds:itemID="{0C09B8B4-759A-4EDA-9157-3E67AE6234E0}"/>
</file>

<file path=customXml/itemProps4.xml><?xml version="1.0" encoding="utf-8"?>
<ds:datastoreItem xmlns:ds="http://schemas.openxmlformats.org/officeDocument/2006/customXml" ds:itemID="{EA1442AE-6534-46E1-AE9F-489A83CE226E}"/>
</file>

<file path=docProps/app.xml><?xml version="1.0" encoding="utf-8"?>
<Properties xmlns="http://schemas.openxmlformats.org/officeDocument/2006/extended-properties" xmlns:vt="http://schemas.openxmlformats.org/officeDocument/2006/docPropsVTypes">
  <Template>Normal.dotm</Template>
  <TotalTime>0</TotalTime>
  <Pages>9</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2021 VCE Sociology external assessment report</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Sociology external assessment report</dc:title>
  <dc:creator/>
  <dc:description>2021; VCE; Sociology; external assessment report; exam report; Victorian Curriculum and Assessment Authority; VCAA</dc:description>
  <cp:lastModifiedBy/>
  <cp:revision>1</cp:revision>
  <dcterms:created xsi:type="dcterms:W3CDTF">2022-03-17T10:02:00Z</dcterms:created>
  <dcterms:modified xsi:type="dcterms:W3CDTF">2022-03-17T10:06:00Z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