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57" w:rsidRDefault="00E15157" w:rsidP="004D2440"/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282A96" w:rsidP="00E15157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val="en-AU" w:eastAsia="en-AU"/>
        </w:rPr>
        <w:drawing>
          <wp:inline distT="0" distB="0" distL="0" distR="0">
            <wp:extent cx="3330000" cy="6336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caa_logo_cmyk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000" cy="6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282A96" w:rsidRDefault="00282A96" w:rsidP="00E15157">
      <w:pPr>
        <w:rPr>
          <w:rFonts w:ascii="Palatino Linotype" w:hAnsi="Palatino Linotype"/>
          <w:sz w:val="24"/>
          <w:szCs w:val="24"/>
        </w:rPr>
      </w:pPr>
    </w:p>
    <w:p w:rsidR="00282A96" w:rsidRPr="00E15157" w:rsidRDefault="00282A96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E15157">
      <w:pPr>
        <w:rPr>
          <w:rFonts w:ascii="Palatino Linotype" w:hAnsi="Palatino Linotype"/>
          <w:sz w:val="24"/>
          <w:szCs w:val="24"/>
        </w:rPr>
      </w:pPr>
    </w:p>
    <w:p w:rsidR="00E15157" w:rsidRDefault="00E15157" w:rsidP="00E15157">
      <w:pPr>
        <w:rPr>
          <w:rFonts w:ascii="Arial" w:hAnsi="Arial" w:cs="Arial"/>
          <w:b/>
          <w:bCs/>
          <w:color w:val="003366"/>
          <w:sz w:val="28"/>
          <w:szCs w:val="28"/>
        </w:rPr>
      </w:pPr>
      <w:r>
        <w:rPr>
          <w:rFonts w:ascii="Arial" w:hAnsi="Arial" w:cs="Arial"/>
          <w:b/>
          <w:bCs/>
          <w:color w:val="003366"/>
          <w:sz w:val="28"/>
          <w:szCs w:val="28"/>
        </w:rPr>
        <w:t>Senior Secondary Certific</w:t>
      </w:r>
      <w:r w:rsidR="004638DF">
        <w:rPr>
          <w:rFonts w:ascii="Arial" w:hAnsi="Arial" w:cs="Arial"/>
          <w:b/>
          <w:bCs/>
          <w:color w:val="003366"/>
          <w:sz w:val="28"/>
          <w:szCs w:val="28"/>
        </w:rPr>
        <w:t xml:space="preserve">ate Statistical Information </w:t>
      </w:r>
      <w:r w:rsidR="00907075">
        <w:rPr>
          <w:rFonts w:ascii="Arial" w:hAnsi="Arial" w:cs="Arial"/>
          <w:b/>
          <w:bCs/>
          <w:color w:val="003366"/>
          <w:sz w:val="28"/>
          <w:szCs w:val="28"/>
        </w:rPr>
        <w:t>2016</w:t>
      </w:r>
    </w:p>
    <w:p w:rsidR="00E15157" w:rsidRPr="00E15157" w:rsidRDefault="00E15157" w:rsidP="00E15157">
      <w:pPr>
        <w:rPr>
          <w:sz w:val="24"/>
          <w:szCs w:val="24"/>
        </w:rPr>
      </w:pPr>
    </w:p>
    <w:p w:rsidR="00E15157" w:rsidRPr="00E15157" w:rsidRDefault="00E15157" w:rsidP="00E15157">
      <w:pPr>
        <w:rPr>
          <w:sz w:val="24"/>
          <w:szCs w:val="24"/>
        </w:rPr>
      </w:pPr>
    </w:p>
    <w:p w:rsidR="00E15157" w:rsidRPr="00E15157" w:rsidRDefault="00E15157" w:rsidP="00E15157">
      <w:pPr>
        <w:rPr>
          <w:sz w:val="24"/>
          <w:szCs w:val="24"/>
        </w:rPr>
      </w:pPr>
    </w:p>
    <w:p w:rsidR="00E15157" w:rsidRPr="00E15157" w:rsidRDefault="00E15157" w:rsidP="00607468">
      <w:pPr>
        <w:ind w:left="1260" w:right="626" w:hanging="1260"/>
        <w:rPr>
          <w:rFonts w:ascii="Palatino Linotype" w:hAnsi="Palatino Linotype"/>
          <w:sz w:val="24"/>
          <w:szCs w:val="24"/>
        </w:rPr>
      </w:pPr>
      <w:r w:rsidRPr="00E15157">
        <w:rPr>
          <w:rFonts w:ascii="Palatino Linotype" w:hAnsi="Palatino Linotype"/>
          <w:sz w:val="24"/>
          <w:szCs w:val="24"/>
        </w:rPr>
        <w:t>Section 5:    Victorian Certificate of Applied Learning (VCAL)</w:t>
      </w:r>
    </w:p>
    <w:p w:rsid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  <w:r w:rsidRPr="00E15157">
        <w:rPr>
          <w:rFonts w:ascii="Palatino Linotype" w:hAnsi="Palatino Linotype"/>
          <w:sz w:val="24"/>
          <w:szCs w:val="24"/>
        </w:rPr>
        <w:t>Data source:</w:t>
      </w:r>
      <w:r w:rsidR="00CC7649">
        <w:rPr>
          <w:rFonts w:ascii="Palatino Linotype" w:hAnsi="Palatino Linotype"/>
          <w:sz w:val="24"/>
          <w:szCs w:val="24"/>
        </w:rPr>
        <w:t xml:space="preserve"> </w:t>
      </w:r>
      <w:r w:rsidR="00907075">
        <w:rPr>
          <w:rFonts w:ascii="Palatino Linotype" w:hAnsi="Palatino Linotype"/>
          <w:sz w:val="24"/>
          <w:szCs w:val="24"/>
        </w:rPr>
        <w:t>2016</w:t>
      </w:r>
      <w:r w:rsidRPr="00E15157">
        <w:rPr>
          <w:rFonts w:ascii="Palatino Linotype" w:hAnsi="Palatino Linotype"/>
          <w:sz w:val="24"/>
          <w:szCs w:val="24"/>
        </w:rPr>
        <w:t xml:space="preserve"> </w:t>
      </w:r>
      <w:r w:rsidR="00CC7649">
        <w:rPr>
          <w:rFonts w:ascii="Palatino Linotype" w:hAnsi="Palatino Linotype"/>
          <w:sz w:val="24"/>
          <w:szCs w:val="24"/>
        </w:rPr>
        <w:t>d</w:t>
      </w:r>
      <w:r w:rsidRPr="00E15157">
        <w:rPr>
          <w:rFonts w:ascii="Palatino Linotype" w:hAnsi="Palatino Linotype"/>
          <w:sz w:val="24"/>
          <w:szCs w:val="24"/>
        </w:rPr>
        <w:t>ata</w:t>
      </w:r>
      <w:r w:rsidR="00CC7649">
        <w:rPr>
          <w:rFonts w:ascii="Palatino Linotype" w:hAnsi="Palatino Linotype"/>
          <w:sz w:val="24"/>
          <w:szCs w:val="24"/>
        </w:rPr>
        <w:t xml:space="preserve"> w</w:t>
      </w:r>
      <w:r w:rsidR="00FD0569">
        <w:rPr>
          <w:rFonts w:ascii="Palatino Linotype" w:hAnsi="Palatino Linotype"/>
          <w:sz w:val="24"/>
          <w:szCs w:val="24"/>
        </w:rPr>
        <w:t>ere</w:t>
      </w:r>
      <w:r w:rsidRPr="00E15157">
        <w:rPr>
          <w:rFonts w:ascii="Palatino Linotype" w:hAnsi="Palatino Linotype"/>
          <w:sz w:val="24"/>
          <w:szCs w:val="24"/>
        </w:rPr>
        <w:t xml:space="preserve"> </w:t>
      </w:r>
      <w:r w:rsidR="00CC7649">
        <w:rPr>
          <w:rFonts w:ascii="Palatino Linotype" w:hAnsi="Palatino Linotype"/>
          <w:sz w:val="24"/>
          <w:szCs w:val="24"/>
        </w:rPr>
        <w:t>e</w:t>
      </w:r>
      <w:r w:rsidRPr="00E15157">
        <w:rPr>
          <w:rFonts w:ascii="Palatino Linotype" w:hAnsi="Palatino Linotype"/>
          <w:sz w:val="24"/>
          <w:szCs w:val="24"/>
        </w:rPr>
        <w:t>xtracted from the VCAA Assessment Processing System (APS) database</w:t>
      </w:r>
      <w:r w:rsidR="004638DF">
        <w:rPr>
          <w:rFonts w:ascii="Palatino Linotype" w:hAnsi="Palatino Linotype"/>
          <w:sz w:val="24"/>
          <w:szCs w:val="24"/>
        </w:rPr>
        <w:t xml:space="preserve"> at </w:t>
      </w:r>
      <w:r w:rsidR="00E56C86">
        <w:rPr>
          <w:rFonts w:ascii="Palatino Linotype" w:hAnsi="Palatino Linotype"/>
          <w:sz w:val="24"/>
          <w:szCs w:val="24"/>
        </w:rPr>
        <w:t>4</w:t>
      </w:r>
      <w:r w:rsidR="00C8466A">
        <w:rPr>
          <w:rFonts w:ascii="Palatino Linotype" w:hAnsi="Palatino Linotype"/>
          <w:sz w:val="24"/>
          <w:szCs w:val="24"/>
        </w:rPr>
        <w:t xml:space="preserve"> January 201</w:t>
      </w:r>
      <w:r w:rsidR="00907075">
        <w:rPr>
          <w:rFonts w:ascii="Palatino Linotype" w:hAnsi="Palatino Linotype"/>
          <w:sz w:val="24"/>
          <w:szCs w:val="24"/>
        </w:rPr>
        <w:t>7</w:t>
      </w:r>
      <w:r w:rsidRPr="00E15157">
        <w:rPr>
          <w:rFonts w:ascii="Palatino Linotype" w:hAnsi="Palatino Linotype"/>
          <w:sz w:val="24"/>
          <w:szCs w:val="24"/>
        </w:rPr>
        <w:t xml:space="preserve"> (Published).</w:t>
      </w: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</w:p>
    <w:p w:rsidR="00E15157" w:rsidRPr="00E15157" w:rsidRDefault="00E15157" w:rsidP="00607468">
      <w:pPr>
        <w:ind w:right="626"/>
        <w:rPr>
          <w:rFonts w:ascii="Palatino Linotype" w:hAnsi="Palatino Linotype"/>
          <w:sz w:val="24"/>
          <w:szCs w:val="24"/>
        </w:rPr>
      </w:pPr>
      <w:r w:rsidRPr="00E15157">
        <w:rPr>
          <w:rFonts w:ascii="Palatino Linotype" w:hAnsi="Palatino Linotype"/>
          <w:sz w:val="24"/>
          <w:szCs w:val="24"/>
        </w:rPr>
        <w:t>If you have any concerns or comments, please contact the Data Analysis, Measurement and Reporting Unit on (03) 9</w:t>
      </w:r>
      <w:r w:rsidR="00614D4B">
        <w:rPr>
          <w:rFonts w:ascii="Palatino Linotype" w:hAnsi="Palatino Linotype"/>
          <w:sz w:val="24"/>
          <w:szCs w:val="24"/>
        </w:rPr>
        <w:t>032</w:t>
      </w:r>
      <w:r w:rsidRPr="00E15157">
        <w:rPr>
          <w:rFonts w:ascii="Palatino Linotype" w:hAnsi="Palatino Linotype"/>
          <w:sz w:val="24"/>
          <w:szCs w:val="24"/>
        </w:rPr>
        <w:t>-</w:t>
      </w:r>
      <w:r w:rsidR="00614D4B">
        <w:rPr>
          <w:rFonts w:ascii="Palatino Linotype" w:hAnsi="Palatino Linotype"/>
          <w:sz w:val="24"/>
          <w:szCs w:val="24"/>
        </w:rPr>
        <w:t>17</w:t>
      </w:r>
      <w:r w:rsidRPr="00E15157">
        <w:rPr>
          <w:rFonts w:ascii="Palatino Linotype" w:hAnsi="Palatino Linotype"/>
          <w:sz w:val="24"/>
          <w:szCs w:val="24"/>
        </w:rPr>
        <w:t>84.</w:t>
      </w:r>
    </w:p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p w:rsidR="00E15157" w:rsidRDefault="00E15157" w:rsidP="00E15157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60"/>
        <w:gridCol w:w="1620"/>
      </w:tblGrid>
      <w:tr w:rsidR="00E15157" w:rsidTr="00E15157">
        <w:trPr>
          <w:trHeight w:val="1178"/>
        </w:trPr>
        <w:tc>
          <w:tcPr>
            <w:tcW w:w="6660" w:type="dxa"/>
          </w:tcPr>
          <w:p w:rsidR="00E15157" w:rsidRPr="00621256" w:rsidRDefault="00E15157" w:rsidP="00E15157">
            <w:pPr>
              <w:rPr>
                <w:rFonts w:ascii="Verdana" w:hAnsi="Verdana"/>
                <w:color w:val="008000"/>
                <w:sz w:val="18"/>
                <w:szCs w:val="18"/>
                <w:lang w:eastAsia="en-AU"/>
              </w:rPr>
            </w:pPr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The Victorian Curriculum and Assessment Authority provides high quality curriculum, assessment and reporting that </w:t>
            </w:r>
            <w:r w:rsidR="00876B46">
              <w:rPr>
                <w:rFonts w:ascii="Comic Sans MS" w:hAnsi="Comic Sans MS"/>
                <w:color w:val="000080"/>
                <w:lang w:eastAsia="en-AU"/>
              </w:rPr>
              <w:t>enables</w:t>
            </w:r>
            <w:r w:rsidRPr="00621256">
              <w:rPr>
                <w:rFonts w:ascii="Comic Sans MS" w:hAnsi="Comic Sans MS"/>
                <w:color w:val="000080"/>
                <w:lang w:eastAsia="en-AU"/>
              </w:rPr>
              <w:t xml:space="preserve"> individual life long learning.</w:t>
            </w:r>
          </w:p>
          <w:p w:rsidR="00E15157" w:rsidRDefault="00E15157" w:rsidP="00E15157"/>
        </w:tc>
        <w:tc>
          <w:tcPr>
            <w:tcW w:w="1620" w:type="dxa"/>
          </w:tcPr>
          <w:p w:rsidR="00E15157" w:rsidRDefault="00BA2979" w:rsidP="00E15157">
            <w:r>
              <w:rPr>
                <w:noProof/>
                <w:lang w:val="en-AU" w:eastAsia="en-AU"/>
              </w:rPr>
              <w:drawing>
                <wp:inline distT="0" distB="0" distL="0" distR="0" wp14:anchorId="0B03090B" wp14:editId="0E7EB39B">
                  <wp:extent cx="776798" cy="439616"/>
                  <wp:effectExtent l="0" t="0" r="4445" b="0"/>
                  <wp:docPr id="1" name="Picture 1" descr="State Government of Victoria insignia" title="Victoria State Gover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GV Insignia 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53" cy="442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5157" w:rsidRDefault="00E15157" w:rsidP="00E15157"/>
    <w:p w:rsidR="00607468" w:rsidRDefault="00607468" w:rsidP="00E15157">
      <w:pPr>
        <w:rPr>
          <w:rFonts w:ascii="Palatino Linotype" w:hAnsi="Palatino Linotype" w:cs="Arial"/>
        </w:rPr>
      </w:pPr>
    </w:p>
    <w:p w:rsidR="00607468" w:rsidRDefault="00607468" w:rsidP="00E15157">
      <w:pPr>
        <w:rPr>
          <w:rFonts w:ascii="Palatino Linotype" w:hAnsi="Palatino Linotype" w:cs="Arial"/>
        </w:rPr>
      </w:pPr>
    </w:p>
    <w:p w:rsidR="00607468" w:rsidRDefault="00607468" w:rsidP="00E15157">
      <w:pPr>
        <w:rPr>
          <w:rFonts w:ascii="Palatino Linotype" w:hAnsi="Palatino Linotype" w:cs="Arial"/>
        </w:rPr>
      </w:pPr>
    </w:p>
    <w:p w:rsidR="00601393" w:rsidRPr="00D04A6B" w:rsidRDefault="00A447FE" w:rsidP="00D04A6B">
      <w:pPr>
        <w:rPr>
          <w:rFonts w:ascii="Palatino Linotype" w:hAnsi="Palatino Linotype" w:cs="Arial"/>
        </w:rPr>
        <w:sectPr w:rsidR="00601393" w:rsidRPr="00D04A6B" w:rsidSect="006074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  <w:r>
        <w:t>Copyright © VCAA, 201</w:t>
      </w:r>
      <w:r w:rsidR="005C3B42">
        <w:t>7</w:t>
      </w:r>
    </w:p>
    <w:p w:rsidR="00810B48" w:rsidRDefault="00810B48" w:rsidP="00892417">
      <w:pPr>
        <w:pStyle w:val="Heading1"/>
      </w:pPr>
      <w:r>
        <w:lastRenderedPageBreak/>
        <w:t>Section 5</w:t>
      </w:r>
    </w:p>
    <w:p w:rsidR="00810B48" w:rsidRPr="00606A4E" w:rsidRDefault="00810B48" w:rsidP="00892417">
      <w:pPr>
        <w:pStyle w:val="Heading1"/>
        <w:spacing w:before="0"/>
        <w:rPr>
          <w:rFonts w:ascii="Times New Roman" w:hAnsi="Times New Roman"/>
          <w:b w:val="0"/>
          <w:color w:val="000000"/>
          <w:kern w:val="0"/>
          <w:sz w:val="20"/>
        </w:rPr>
      </w:pPr>
    </w:p>
    <w:p w:rsidR="00810B48" w:rsidRPr="007C5918" w:rsidRDefault="007C5918" w:rsidP="00892417">
      <w:pPr>
        <w:jc w:val="both"/>
        <w:rPr>
          <w:sz w:val="28"/>
          <w:szCs w:val="24"/>
        </w:rPr>
      </w:pPr>
      <w:r w:rsidRPr="007C5918">
        <w:rPr>
          <w:b/>
          <w:sz w:val="28"/>
          <w:szCs w:val="24"/>
        </w:rPr>
        <w:t>Victorian Certificate of Applied Learning</w:t>
      </w:r>
    </w:p>
    <w:p w:rsidR="007C5918" w:rsidRDefault="007C5918" w:rsidP="00892417">
      <w:pPr>
        <w:jc w:val="both"/>
        <w:rPr>
          <w:sz w:val="24"/>
          <w:szCs w:val="24"/>
        </w:rPr>
      </w:pPr>
    </w:p>
    <w:p w:rsidR="00810B48" w:rsidRPr="005C613D" w:rsidRDefault="00810B48" w:rsidP="00892417">
      <w:pPr>
        <w:jc w:val="both"/>
        <w:rPr>
          <w:sz w:val="24"/>
          <w:szCs w:val="24"/>
        </w:rPr>
      </w:pPr>
      <w:r w:rsidRPr="005C613D">
        <w:rPr>
          <w:sz w:val="24"/>
          <w:szCs w:val="24"/>
        </w:rPr>
        <w:t xml:space="preserve">There were </w:t>
      </w:r>
      <w:r w:rsidR="006E4511">
        <w:rPr>
          <w:sz w:val="24"/>
          <w:szCs w:val="24"/>
        </w:rPr>
        <w:t>23,784</w:t>
      </w:r>
      <w:r>
        <w:rPr>
          <w:sz w:val="24"/>
          <w:szCs w:val="24"/>
        </w:rPr>
        <w:t xml:space="preserve"> </w:t>
      </w:r>
      <w:r w:rsidR="00F61724">
        <w:rPr>
          <w:sz w:val="24"/>
          <w:szCs w:val="24"/>
        </w:rPr>
        <w:t>enrolments in VCAL certificates</w:t>
      </w:r>
      <w:r w:rsidRPr="005C613D">
        <w:rPr>
          <w:sz w:val="24"/>
          <w:szCs w:val="24"/>
        </w:rPr>
        <w:t xml:space="preserve"> </w:t>
      </w:r>
      <w:r w:rsidR="00751EFB">
        <w:rPr>
          <w:sz w:val="24"/>
          <w:szCs w:val="24"/>
        </w:rPr>
        <w:t xml:space="preserve">in </w:t>
      </w:r>
      <w:r w:rsidR="00907075">
        <w:rPr>
          <w:sz w:val="24"/>
          <w:szCs w:val="24"/>
        </w:rPr>
        <w:t>2016</w:t>
      </w:r>
      <w:r w:rsidRPr="005C613D">
        <w:rPr>
          <w:sz w:val="24"/>
          <w:szCs w:val="24"/>
        </w:rPr>
        <w:t xml:space="preserve">.  </w:t>
      </w:r>
      <w:r w:rsidR="00444961">
        <w:rPr>
          <w:sz w:val="24"/>
          <w:szCs w:val="24"/>
        </w:rPr>
        <w:t>Students</w:t>
      </w:r>
      <w:r w:rsidRPr="005C613D">
        <w:rPr>
          <w:sz w:val="24"/>
          <w:szCs w:val="24"/>
        </w:rPr>
        <w:t xml:space="preserve"> were enrolled with </w:t>
      </w:r>
      <w:r w:rsidR="00026FCD">
        <w:rPr>
          <w:sz w:val="24"/>
          <w:szCs w:val="24"/>
        </w:rPr>
        <w:t>44</w:t>
      </w:r>
      <w:r w:rsidR="003C5803">
        <w:rPr>
          <w:sz w:val="24"/>
          <w:szCs w:val="24"/>
        </w:rPr>
        <w:t>8</w:t>
      </w:r>
      <w:r w:rsidRPr="005C613D">
        <w:rPr>
          <w:sz w:val="24"/>
          <w:szCs w:val="24"/>
        </w:rPr>
        <w:t xml:space="preserve"> providers. </w:t>
      </w:r>
      <w:r w:rsidR="00843C78">
        <w:rPr>
          <w:sz w:val="24"/>
          <w:szCs w:val="24"/>
        </w:rPr>
        <w:t xml:space="preserve"> </w:t>
      </w:r>
      <w:r w:rsidR="00727695">
        <w:rPr>
          <w:sz w:val="24"/>
          <w:szCs w:val="24"/>
        </w:rPr>
        <w:t>Nearly</w:t>
      </w:r>
      <w:r w:rsidR="004D3292">
        <w:rPr>
          <w:sz w:val="24"/>
          <w:szCs w:val="24"/>
        </w:rPr>
        <w:t xml:space="preserve"> two thirds</w:t>
      </w:r>
      <w:r w:rsidR="00A00AA8">
        <w:rPr>
          <w:sz w:val="24"/>
          <w:szCs w:val="24"/>
        </w:rPr>
        <w:t xml:space="preserve"> of all </w:t>
      </w:r>
      <w:r w:rsidR="00564102">
        <w:rPr>
          <w:sz w:val="24"/>
          <w:szCs w:val="24"/>
        </w:rPr>
        <w:t xml:space="preserve">VCAL certificate enrolments </w:t>
      </w:r>
      <w:r w:rsidR="00564102" w:rsidRPr="005C613D">
        <w:rPr>
          <w:sz w:val="24"/>
          <w:szCs w:val="24"/>
        </w:rPr>
        <w:t>(</w:t>
      </w:r>
      <w:r w:rsidR="00727695">
        <w:rPr>
          <w:sz w:val="24"/>
          <w:szCs w:val="24"/>
        </w:rPr>
        <w:t>62</w:t>
      </w:r>
      <w:r w:rsidR="006E4511">
        <w:rPr>
          <w:sz w:val="24"/>
          <w:szCs w:val="24"/>
        </w:rPr>
        <w:t>.</w:t>
      </w:r>
      <w:r w:rsidR="003C5803">
        <w:rPr>
          <w:sz w:val="24"/>
          <w:szCs w:val="24"/>
        </w:rPr>
        <w:t>7</w:t>
      </w:r>
      <w:r w:rsidR="00564102" w:rsidRPr="00BA1629">
        <w:rPr>
          <w:sz w:val="24"/>
          <w:szCs w:val="24"/>
        </w:rPr>
        <w:t>%)</w:t>
      </w:r>
      <w:r w:rsidR="00564102">
        <w:rPr>
          <w:sz w:val="24"/>
          <w:szCs w:val="24"/>
        </w:rPr>
        <w:t xml:space="preserve"> were </w:t>
      </w:r>
      <w:r w:rsidR="00A00AA8">
        <w:rPr>
          <w:sz w:val="24"/>
          <w:szCs w:val="24"/>
        </w:rPr>
        <w:t>students</w:t>
      </w:r>
      <w:r w:rsidR="00444961">
        <w:rPr>
          <w:sz w:val="24"/>
          <w:szCs w:val="24"/>
        </w:rPr>
        <w:t xml:space="preserve"> enrolled in G</w:t>
      </w:r>
      <w:r w:rsidRPr="005C613D">
        <w:rPr>
          <w:sz w:val="24"/>
          <w:szCs w:val="24"/>
        </w:rPr>
        <w:t>overnment schools.</w:t>
      </w:r>
    </w:p>
    <w:p w:rsidR="00810B48" w:rsidRDefault="00810B48" w:rsidP="00892417">
      <w:pPr>
        <w:jc w:val="both"/>
      </w:pPr>
    </w:p>
    <w:p w:rsidR="00273B59" w:rsidRDefault="00273B59" w:rsidP="00892417">
      <w:pPr>
        <w:jc w:val="both"/>
      </w:pPr>
    </w:p>
    <w:p w:rsidR="00CC789D" w:rsidRDefault="007C5918" w:rsidP="00407B1D">
      <w:pPr>
        <w:ind w:left="993" w:hanging="993"/>
        <w:jc w:val="both"/>
        <w:rPr>
          <w:b/>
          <w:sz w:val="22"/>
        </w:rPr>
      </w:pPr>
      <w:r w:rsidRPr="007C5918">
        <w:rPr>
          <w:b/>
          <w:sz w:val="22"/>
        </w:rPr>
        <w:t>Table 5.1</w:t>
      </w:r>
      <w:r w:rsidR="00407B1D">
        <w:rPr>
          <w:b/>
          <w:sz w:val="22"/>
        </w:rPr>
        <w:t xml:space="preserve">: </w:t>
      </w:r>
      <w:r w:rsidRPr="007C5918">
        <w:rPr>
          <w:b/>
          <w:sz w:val="22"/>
        </w:rPr>
        <w:t>Numbers of Schools Providing VCAL and VCAL Certif</w:t>
      </w:r>
      <w:r w:rsidR="00727695">
        <w:rPr>
          <w:b/>
          <w:sz w:val="22"/>
        </w:rPr>
        <w:t xml:space="preserve">icate Enrolments </w:t>
      </w:r>
    </w:p>
    <w:p w:rsidR="003B3D34" w:rsidRDefault="00CC789D" w:rsidP="00CC789D">
      <w:pPr>
        <w:ind w:left="1077" w:hanging="1077"/>
        <w:jc w:val="both"/>
        <w:rPr>
          <w:b/>
          <w:sz w:val="22"/>
        </w:rPr>
      </w:pPr>
      <w:r>
        <w:rPr>
          <w:b/>
          <w:sz w:val="22"/>
        </w:rPr>
        <w:tab/>
      </w:r>
      <w:r w:rsidR="00727695">
        <w:rPr>
          <w:b/>
          <w:sz w:val="22"/>
        </w:rPr>
        <w:t xml:space="preserve">by Sector, </w:t>
      </w:r>
      <w:r w:rsidR="00907075">
        <w:rPr>
          <w:b/>
          <w:sz w:val="22"/>
        </w:rPr>
        <w:t>2016</w:t>
      </w:r>
    </w:p>
    <w:p w:rsidR="00727695" w:rsidRPr="007C5918" w:rsidRDefault="00727695" w:rsidP="00407B1D">
      <w:pPr>
        <w:ind w:left="993" w:hanging="993"/>
        <w:jc w:val="both"/>
        <w:rPr>
          <w:b/>
          <w:sz w:val="22"/>
        </w:rPr>
      </w:pPr>
    </w:p>
    <w:tbl>
      <w:tblPr>
        <w:tblW w:w="5600" w:type="dxa"/>
        <w:tblInd w:w="93" w:type="dxa"/>
        <w:tblLook w:val="04A0" w:firstRow="1" w:lastRow="0" w:firstColumn="1" w:lastColumn="0" w:noHBand="0" w:noVBand="1"/>
      </w:tblPr>
      <w:tblGrid>
        <w:gridCol w:w="1840"/>
        <w:gridCol w:w="1840"/>
        <w:gridCol w:w="1920"/>
      </w:tblGrid>
      <w:tr w:rsidR="005A4BAB" w:rsidRPr="005A4BAB" w:rsidTr="005A4BAB">
        <w:trPr>
          <w:trHeight w:val="585"/>
        </w:trPr>
        <w:tc>
          <w:tcPr>
            <w:tcW w:w="18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84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center"/>
            <w:hideMark/>
          </w:tcPr>
          <w:p w:rsidR="005A4BAB" w:rsidRPr="005A4BAB" w:rsidRDefault="005A4BAB" w:rsidP="005A4BAB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Schools</w:t>
            </w:r>
          </w:p>
        </w:tc>
        <w:tc>
          <w:tcPr>
            <w:tcW w:w="1920" w:type="dxa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5A4BAB" w:rsidRPr="005A4BAB" w:rsidRDefault="005A4BAB" w:rsidP="005A4BAB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VCAL Certificate Enrolments</w:t>
            </w:r>
          </w:p>
        </w:tc>
      </w:tr>
      <w:tr w:rsidR="005A4BAB" w:rsidRPr="005A4BAB" w:rsidTr="005A4BA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Government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ind w:firstLineChars="200" w:firstLine="440"/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286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14,904</w:t>
            </w:r>
          </w:p>
        </w:tc>
      </w:tr>
      <w:tr w:rsidR="005A4BAB" w:rsidRPr="005A4BAB" w:rsidTr="005A4BA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Catholic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ind w:firstLineChars="200" w:firstLine="440"/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83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3,406</w:t>
            </w:r>
          </w:p>
        </w:tc>
      </w:tr>
      <w:tr w:rsidR="005A4BAB" w:rsidRPr="005A4BAB" w:rsidTr="005A4BA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Independent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ind w:firstLineChars="200" w:firstLine="440"/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934</w:t>
            </w:r>
          </w:p>
        </w:tc>
      </w:tr>
      <w:tr w:rsidR="005A4BAB" w:rsidRPr="005A4BAB" w:rsidTr="005A4BA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Adult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ind w:firstLineChars="200" w:firstLine="440"/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5A4BAB">
              <w:rPr>
                <w:sz w:val="22"/>
                <w:szCs w:val="22"/>
                <w:lang w:val="en-AU" w:eastAsia="en-AU"/>
              </w:rPr>
              <w:t>4,540</w:t>
            </w:r>
          </w:p>
        </w:tc>
      </w:tr>
      <w:tr w:rsidR="005A4BAB" w:rsidRPr="005A4BAB" w:rsidTr="005A4BAB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ind w:firstLineChars="200" w:firstLine="442"/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448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A4BAB" w:rsidRPr="005A4BAB" w:rsidRDefault="005A4BAB" w:rsidP="005A4BAB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5A4BAB">
              <w:rPr>
                <w:b/>
                <w:bCs/>
                <w:sz w:val="22"/>
                <w:szCs w:val="22"/>
                <w:lang w:val="en-AU" w:eastAsia="en-AU"/>
              </w:rPr>
              <w:t>23,784</w:t>
            </w:r>
          </w:p>
        </w:tc>
      </w:tr>
    </w:tbl>
    <w:p w:rsidR="007C5918" w:rsidRDefault="007C5918" w:rsidP="00892417">
      <w:pPr>
        <w:jc w:val="both"/>
        <w:rPr>
          <w:sz w:val="24"/>
          <w:szCs w:val="24"/>
        </w:rPr>
      </w:pPr>
    </w:p>
    <w:p w:rsidR="00727695" w:rsidRDefault="00727695" w:rsidP="00892417">
      <w:pPr>
        <w:jc w:val="both"/>
        <w:rPr>
          <w:sz w:val="24"/>
          <w:szCs w:val="24"/>
        </w:rPr>
      </w:pPr>
    </w:p>
    <w:p w:rsidR="00810B48" w:rsidRPr="005C613D" w:rsidRDefault="00810B48" w:rsidP="00892417">
      <w:pPr>
        <w:jc w:val="both"/>
        <w:rPr>
          <w:sz w:val="24"/>
          <w:szCs w:val="24"/>
        </w:rPr>
      </w:pPr>
      <w:r w:rsidRPr="005C613D">
        <w:rPr>
          <w:sz w:val="24"/>
          <w:szCs w:val="24"/>
        </w:rPr>
        <w:t>With respect to the level of certificate</w:t>
      </w:r>
      <w:r>
        <w:rPr>
          <w:sz w:val="24"/>
          <w:szCs w:val="24"/>
        </w:rPr>
        <w:t>s</w:t>
      </w:r>
      <w:r w:rsidR="00A00AA8">
        <w:rPr>
          <w:sz w:val="24"/>
          <w:szCs w:val="24"/>
        </w:rPr>
        <w:t xml:space="preserve"> studied</w:t>
      </w:r>
      <w:r w:rsidRPr="005C613D">
        <w:rPr>
          <w:sz w:val="24"/>
          <w:szCs w:val="24"/>
        </w:rPr>
        <w:t xml:space="preserve"> </w:t>
      </w:r>
      <w:r w:rsidR="00564102">
        <w:rPr>
          <w:sz w:val="24"/>
          <w:szCs w:val="24"/>
        </w:rPr>
        <w:t>(see Table 5.2</w:t>
      </w:r>
      <w:r>
        <w:rPr>
          <w:sz w:val="24"/>
          <w:szCs w:val="24"/>
        </w:rPr>
        <w:t xml:space="preserve">) </w:t>
      </w:r>
      <w:r w:rsidR="00E90EFC">
        <w:rPr>
          <w:sz w:val="24"/>
          <w:szCs w:val="24"/>
        </w:rPr>
        <w:t>2</w:t>
      </w:r>
      <w:r w:rsidR="00295F33">
        <w:rPr>
          <w:sz w:val="24"/>
          <w:szCs w:val="24"/>
        </w:rPr>
        <w:t>6.8</w:t>
      </w:r>
      <w:r w:rsidRPr="0083136F">
        <w:rPr>
          <w:sz w:val="24"/>
          <w:szCs w:val="24"/>
        </w:rPr>
        <w:t>%</w:t>
      </w:r>
      <w:r w:rsidRPr="005C6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444961">
        <w:rPr>
          <w:sz w:val="24"/>
          <w:szCs w:val="24"/>
        </w:rPr>
        <w:t>VCAL students were enrolled in F</w:t>
      </w:r>
      <w:r w:rsidRPr="005C613D">
        <w:rPr>
          <w:sz w:val="24"/>
          <w:szCs w:val="24"/>
        </w:rPr>
        <w:t xml:space="preserve">oundation </w:t>
      </w:r>
      <w:r w:rsidRPr="0083136F">
        <w:rPr>
          <w:sz w:val="24"/>
          <w:szCs w:val="24"/>
        </w:rPr>
        <w:t xml:space="preserve">and </w:t>
      </w:r>
      <w:r w:rsidR="00295F33">
        <w:rPr>
          <w:sz w:val="24"/>
          <w:szCs w:val="24"/>
        </w:rPr>
        <w:t>41.8</w:t>
      </w:r>
      <w:r w:rsidRPr="0083136F">
        <w:rPr>
          <w:sz w:val="24"/>
          <w:szCs w:val="24"/>
        </w:rPr>
        <w:t>%</w:t>
      </w:r>
      <w:r w:rsidR="00444961">
        <w:rPr>
          <w:sz w:val="24"/>
          <w:szCs w:val="24"/>
        </w:rPr>
        <w:t xml:space="preserve"> in I</w:t>
      </w:r>
      <w:r w:rsidRPr="005C613D">
        <w:rPr>
          <w:sz w:val="24"/>
          <w:szCs w:val="24"/>
        </w:rPr>
        <w:t>ntermediate lev</w:t>
      </w:r>
      <w:r w:rsidR="00444961">
        <w:rPr>
          <w:sz w:val="24"/>
          <w:szCs w:val="24"/>
        </w:rPr>
        <w:t>el certificates.  Senior and Senior E</w:t>
      </w:r>
      <w:r w:rsidRPr="005C613D">
        <w:rPr>
          <w:sz w:val="24"/>
          <w:szCs w:val="24"/>
        </w:rPr>
        <w:t xml:space="preserve">xtension enrolments comprised </w:t>
      </w:r>
      <w:r w:rsidR="00295F33">
        <w:rPr>
          <w:sz w:val="24"/>
          <w:szCs w:val="24"/>
        </w:rPr>
        <w:t>31.4</w:t>
      </w:r>
      <w:r>
        <w:rPr>
          <w:sz w:val="24"/>
          <w:szCs w:val="24"/>
        </w:rPr>
        <w:t>% of enrolments</w:t>
      </w:r>
      <w:r w:rsidRPr="005C613D">
        <w:rPr>
          <w:sz w:val="24"/>
          <w:szCs w:val="24"/>
        </w:rPr>
        <w:t>.</w:t>
      </w:r>
    </w:p>
    <w:p w:rsidR="00810B48" w:rsidRDefault="00810B48" w:rsidP="00892417">
      <w:pPr>
        <w:tabs>
          <w:tab w:val="left" w:pos="10206"/>
        </w:tabs>
      </w:pPr>
    </w:p>
    <w:p w:rsidR="00727695" w:rsidRDefault="00727695" w:rsidP="00892417">
      <w:pPr>
        <w:tabs>
          <w:tab w:val="left" w:pos="10206"/>
        </w:tabs>
      </w:pPr>
    </w:p>
    <w:p w:rsidR="0075230F" w:rsidRPr="007C5918" w:rsidRDefault="007C5918" w:rsidP="007C5918">
      <w:pPr>
        <w:tabs>
          <w:tab w:val="left" w:pos="1276"/>
        </w:tabs>
        <w:jc w:val="both"/>
        <w:rPr>
          <w:b/>
          <w:sz w:val="22"/>
        </w:rPr>
      </w:pPr>
      <w:r w:rsidRPr="007C5918">
        <w:rPr>
          <w:b/>
          <w:sz w:val="22"/>
        </w:rPr>
        <w:t>Table 5.2</w:t>
      </w:r>
      <w:r w:rsidR="00407B1D">
        <w:rPr>
          <w:b/>
          <w:sz w:val="22"/>
        </w:rPr>
        <w:t xml:space="preserve">: </w:t>
      </w:r>
      <w:r w:rsidRPr="007C5918">
        <w:rPr>
          <w:b/>
          <w:sz w:val="22"/>
        </w:rPr>
        <w:t>VCAL Enrolments by Cer</w:t>
      </w:r>
      <w:r w:rsidR="002C3BF8">
        <w:rPr>
          <w:b/>
          <w:sz w:val="22"/>
        </w:rPr>
        <w:t xml:space="preserve">tificate, Gender and Level, </w:t>
      </w:r>
      <w:r w:rsidR="00907075">
        <w:rPr>
          <w:b/>
          <w:sz w:val="22"/>
        </w:rPr>
        <w:t>2016</w:t>
      </w:r>
    </w:p>
    <w:p w:rsidR="007C5918" w:rsidRDefault="007C5918" w:rsidP="00892417">
      <w:pPr>
        <w:jc w:val="both"/>
        <w:rPr>
          <w:b/>
          <w:sz w:val="24"/>
          <w:szCs w:val="24"/>
        </w:rPr>
      </w:pPr>
    </w:p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2260"/>
        <w:gridCol w:w="3300"/>
        <w:gridCol w:w="995"/>
        <w:gridCol w:w="885"/>
        <w:gridCol w:w="940"/>
      </w:tblGrid>
      <w:tr w:rsidR="003C5803" w:rsidRPr="003C5803" w:rsidTr="003C5803">
        <w:trPr>
          <w:trHeight w:val="300"/>
        </w:trPr>
        <w:tc>
          <w:tcPr>
            <w:tcW w:w="226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 </w:t>
            </w:r>
          </w:p>
        </w:tc>
        <w:tc>
          <w:tcPr>
            <w:tcW w:w="330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Gender</w:t>
            </w:r>
          </w:p>
        </w:tc>
        <w:tc>
          <w:tcPr>
            <w:tcW w:w="940" w:type="dxa"/>
            <w:tcBorders>
              <w:top w:val="single" w:sz="4" w:space="0" w:color="969696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 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Level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Title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Female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Male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All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>Foundation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>VCAL (Foundation)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2,316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4,053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6,369 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i/>
                <w:iCs/>
                <w:lang w:val="en-AU" w:eastAsia="en-AU"/>
              </w:rPr>
            </w:pPr>
            <w:r w:rsidRPr="003C5803">
              <w:rPr>
                <w:b/>
                <w:bCs/>
                <w:i/>
                <w:iCs/>
                <w:lang w:val="en-AU" w:eastAsia="en-AU"/>
              </w:rPr>
              <w:t>Foundation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2,316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4,053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6,369 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>Intermediate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>VCAL (Intermediate)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3,788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6,147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9,935 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i/>
                <w:iCs/>
                <w:lang w:val="en-AU" w:eastAsia="en-AU"/>
              </w:rPr>
            </w:pPr>
            <w:r w:rsidRPr="003C5803">
              <w:rPr>
                <w:b/>
                <w:bCs/>
                <w:i/>
                <w:iCs/>
                <w:lang w:val="en-AU" w:eastAsia="en-AU"/>
              </w:rPr>
              <w:t>Intermediate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3,788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6,147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9,935 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>Senior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>VCAL (Senior)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2,900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4,500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7,400 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i/>
                <w:iCs/>
                <w:lang w:val="en-AU" w:eastAsia="en-AU"/>
              </w:rPr>
            </w:pPr>
            <w:r w:rsidRPr="003C5803">
              <w:rPr>
                <w:b/>
                <w:bCs/>
                <w:i/>
                <w:iCs/>
                <w:lang w:val="en-AU" w:eastAsia="en-A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>Senior Extension (Folio Enhancement)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lang w:val="en-AU" w:eastAsia="en-AU"/>
              </w:rPr>
            </w:pPr>
            <w:r w:rsidRPr="003C5803">
              <w:rPr>
                <w:lang w:val="en-AU" w:eastAsia="en-AU"/>
              </w:rPr>
              <w:t xml:space="preserve">80 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i/>
                <w:iCs/>
                <w:lang w:val="en-AU" w:eastAsia="en-AU"/>
              </w:rPr>
            </w:pPr>
            <w:r w:rsidRPr="003C5803">
              <w:rPr>
                <w:b/>
                <w:bCs/>
                <w:i/>
                <w:iCs/>
                <w:lang w:val="en-AU" w:eastAsia="en-AU"/>
              </w:rPr>
              <w:t>Senior&amp;SeniorExt.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2,960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4,520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7,480 </w:t>
            </w:r>
          </w:p>
        </w:tc>
      </w:tr>
      <w:tr w:rsidR="003C5803" w:rsidRPr="003C5803" w:rsidTr="003C580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ALL</w:t>
            </w:r>
          </w:p>
        </w:tc>
        <w:tc>
          <w:tcPr>
            <w:tcW w:w="330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>Total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9,064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14,720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lang w:val="en-AU" w:eastAsia="en-AU"/>
              </w:rPr>
            </w:pPr>
            <w:r w:rsidRPr="003C5803">
              <w:rPr>
                <w:b/>
                <w:bCs/>
                <w:lang w:val="en-AU" w:eastAsia="en-AU"/>
              </w:rPr>
              <w:t xml:space="preserve">23,784 </w:t>
            </w:r>
          </w:p>
        </w:tc>
      </w:tr>
    </w:tbl>
    <w:p w:rsidR="00727695" w:rsidRDefault="00727695" w:rsidP="00892417">
      <w:pPr>
        <w:jc w:val="both"/>
        <w:rPr>
          <w:b/>
          <w:sz w:val="24"/>
          <w:szCs w:val="24"/>
        </w:rPr>
      </w:pPr>
    </w:p>
    <w:p w:rsidR="00727695" w:rsidRDefault="00727695" w:rsidP="00892417">
      <w:pPr>
        <w:jc w:val="both"/>
        <w:rPr>
          <w:b/>
          <w:sz w:val="24"/>
          <w:szCs w:val="24"/>
        </w:rPr>
      </w:pPr>
    </w:p>
    <w:p w:rsidR="00810B48" w:rsidRPr="005C613D" w:rsidRDefault="00810B48" w:rsidP="00892417">
      <w:pPr>
        <w:jc w:val="both"/>
        <w:rPr>
          <w:b/>
          <w:sz w:val="24"/>
          <w:szCs w:val="24"/>
        </w:rPr>
      </w:pPr>
      <w:r w:rsidRPr="005C613D">
        <w:rPr>
          <w:b/>
          <w:sz w:val="24"/>
          <w:szCs w:val="24"/>
        </w:rPr>
        <w:t>Gender</w:t>
      </w:r>
    </w:p>
    <w:p w:rsidR="00810B48" w:rsidRDefault="00810B48" w:rsidP="00892417">
      <w:pPr>
        <w:rPr>
          <w:sz w:val="24"/>
          <w:szCs w:val="24"/>
        </w:rPr>
      </w:pPr>
      <w:r>
        <w:rPr>
          <w:sz w:val="24"/>
          <w:szCs w:val="24"/>
        </w:rPr>
        <w:t xml:space="preserve">About </w:t>
      </w:r>
      <w:r w:rsidRPr="00F55F14">
        <w:rPr>
          <w:sz w:val="24"/>
          <w:szCs w:val="24"/>
        </w:rPr>
        <w:t>three in five</w:t>
      </w:r>
      <w:r w:rsidR="001B016F">
        <w:rPr>
          <w:sz w:val="24"/>
          <w:szCs w:val="24"/>
        </w:rPr>
        <w:t xml:space="preserve"> VCAL student enrolments in </w:t>
      </w:r>
      <w:r w:rsidR="00907075">
        <w:rPr>
          <w:sz w:val="24"/>
          <w:szCs w:val="24"/>
        </w:rPr>
        <w:t>2016</w:t>
      </w:r>
      <w:r w:rsidRPr="00F55F14">
        <w:rPr>
          <w:sz w:val="24"/>
          <w:szCs w:val="24"/>
        </w:rPr>
        <w:t xml:space="preserve"> were male (</w:t>
      </w:r>
      <w:r w:rsidR="00295F33">
        <w:rPr>
          <w:sz w:val="24"/>
          <w:szCs w:val="24"/>
        </w:rPr>
        <w:t>61.9</w:t>
      </w:r>
      <w:r w:rsidRPr="00F55F14">
        <w:rPr>
          <w:sz w:val="24"/>
          <w:szCs w:val="24"/>
        </w:rPr>
        <w:t>%).</w:t>
      </w:r>
      <w:r w:rsidR="00F32434">
        <w:rPr>
          <w:sz w:val="24"/>
          <w:szCs w:val="24"/>
        </w:rPr>
        <w:t xml:space="preserve"> </w:t>
      </w:r>
    </w:p>
    <w:p w:rsidR="00F32434" w:rsidRDefault="00F32434" w:rsidP="00892417">
      <w:pPr>
        <w:rPr>
          <w:sz w:val="24"/>
          <w:szCs w:val="24"/>
        </w:rPr>
      </w:pPr>
    </w:p>
    <w:p w:rsidR="00B97626" w:rsidRPr="000E3F57" w:rsidRDefault="00B97626" w:rsidP="00892417">
      <w:pPr>
        <w:rPr>
          <w:sz w:val="24"/>
          <w:szCs w:val="24"/>
        </w:rPr>
      </w:pPr>
    </w:p>
    <w:p w:rsidR="00810B48" w:rsidRPr="00B978CA" w:rsidRDefault="00810B48" w:rsidP="00892417">
      <w:pPr>
        <w:rPr>
          <w:b/>
          <w:sz w:val="24"/>
          <w:szCs w:val="24"/>
        </w:rPr>
      </w:pPr>
      <w:r w:rsidRPr="00B978CA">
        <w:rPr>
          <w:b/>
          <w:sz w:val="24"/>
          <w:szCs w:val="24"/>
        </w:rPr>
        <w:t>Unit Completions</w:t>
      </w:r>
    </w:p>
    <w:p w:rsidR="00810B48" w:rsidRDefault="00273B59" w:rsidP="008924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907075">
        <w:rPr>
          <w:sz w:val="24"/>
          <w:szCs w:val="24"/>
        </w:rPr>
        <w:t>2016</w:t>
      </w:r>
      <w:r w:rsidR="007F7B0C">
        <w:rPr>
          <w:sz w:val="24"/>
          <w:szCs w:val="24"/>
        </w:rPr>
        <w:t xml:space="preserve"> there were a total</w:t>
      </w:r>
      <w:r w:rsidR="003718C2">
        <w:rPr>
          <w:sz w:val="24"/>
          <w:szCs w:val="24"/>
        </w:rPr>
        <w:t xml:space="preserve"> of </w:t>
      </w:r>
      <w:r w:rsidR="009D4BD5">
        <w:rPr>
          <w:sz w:val="24"/>
          <w:szCs w:val="24"/>
        </w:rPr>
        <w:t>135,792</w:t>
      </w:r>
      <w:r w:rsidR="00810B48" w:rsidRPr="0074572E">
        <w:rPr>
          <w:sz w:val="24"/>
          <w:szCs w:val="24"/>
        </w:rPr>
        <w:t xml:space="preserve"> VCAL unit </w:t>
      </w:r>
      <w:r w:rsidR="00D85E9F">
        <w:rPr>
          <w:sz w:val="24"/>
          <w:szCs w:val="24"/>
        </w:rPr>
        <w:t>completion</w:t>
      </w:r>
      <w:r w:rsidR="00810B48" w:rsidRPr="0074572E">
        <w:rPr>
          <w:sz w:val="24"/>
          <w:szCs w:val="24"/>
        </w:rPr>
        <w:t>s</w:t>
      </w:r>
      <w:r w:rsidR="00564102">
        <w:rPr>
          <w:sz w:val="24"/>
          <w:szCs w:val="24"/>
        </w:rPr>
        <w:t xml:space="preserve"> (See table 5.3</w:t>
      </w:r>
      <w:r w:rsidR="00810B48">
        <w:rPr>
          <w:sz w:val="24"/>
          <w:szCs w:val="24"/>
        </w:rPr>
        <w:t>)</w:t>
      </w:r>
      <w:r w:rsidR="00A77634">
        <w:rPr>
          <w:sz w:val="24"/>
          <w:szCs w:val="24"/>
        </w:rPr>
        <w:t>.</w:t>
      </w:r>
      <w:r w:rsidR="00810B48">
        <w:rPr>
          <w:sz w:val="24"/>
          <w:szCs w:val="24"/>
        </w:rPr>
        <w:t xml:space="preserve"> </w:t>
      </w:r>
    </w:p>
    <w:p w:rsidR="00810B48" w:rsidRDefault="00810B48" w:rsidP="0089241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VCAL units are not the full range of curriculum that contributed towards the attainment of a VCAL. Students enrolled in any VCAL certificate can also gain credit f</w:t>
      </w:r>
      <w:r w:rsidR="00444961">
        <w:rPr>
          <w:sz w:val="24"/>
          <w:szCs w:val="24"/>
        </w:rPr>
        <w:t>rom</w:t>
      </w:r>
      <w:r>
        <w:rPr>
          <w:sz w:val="24"/>
          <w:szCs w:val="24"/>
        </w:rPr>
        <w:t xml:space="preserve"> VET and VCE studies towards their </w:t>
      </w:r>
      <w:r w:rsidR="00444961">
        <w:rPr>
          <w:sz w:val="24"/>
          <w:szCs w:val="24"/>
        </w:rPr>
        <w:t xml:space="preserve">VCAL </w:t>
      </w:r>
      <w:r w:rsidR="00017E47">
        <w:rPr>
          <w:sz w:val="24"/>
          <w:szCs w:val="24"/>
        </w:rPr>
        <w:t xml:space="preserve">qualification. </w:t>
      </w:r>
      <w:r>
        <w:rPr>
          <w:sz w:val="24"/>
          <w:szCs w:val="24"/>
        </w:rPr>
        <w:t xml:space="preserve">VCAL students enrolled in </w:t>
      </w:r>
      <w:r w:rsidR="00017E47">
        <w:rPr>
          <w:sz w:val="24"/>
          <w:szCs w:val="24"/>
        </w:rPr>
        <w:t>VET</w:t>
      </w:r>
      <w:r w:rsidR="00CE20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VCE units are included in the participation and completion reports for those units and certificates. </w:t>
      </w:r>
    </w:p>
    <w:p w:rsidR="00810B48" w:rsidRDefault="00810B48" w:rsidP="00892417">
      <w:pPr>
        <w:jc w:val="both"/>
        <w:rPr>
          <w:sz w:val="24"/>
          <w:szCs w:val="24"/>
        </w:rPr>
      </w:pPr>
    </w:p>
    <w:p w:rsidR="00810B48" w:rsidRPr="00CC73FD" w:rsidRDefault="00810B48" w:rsidP="00892417">
      <w:pPr>
        <w:jc w:val="both"/>
        <w:rPr>
          <w:sz w:val="24"/>
          <w:szCs w:val="24"/>
        </w:rPr>
      </w:pPr>
      <w:r w:rsidRPr="00CC73FD">
        <w:rPr>
          <w:sz w:val="24"/>
          <w:szCs w:val="24"/>
        </w:rPr>
        <w:t>VCAL Personal Development units (</w:t>
      </w:r>
      <w:r w:rsidR="005229D6">
        <w:rPr>
          <w:sz w:val="24"/>
          <w:szCs w:val="24"/>
        </w:rPr>
        <w:t>29.3</w:t>
      </w:r>
      <w:r w:rsidRPr="00CC73FD">
        <w:rPr>
          <w:sz w:val="24"/>
          <w:szCs w:val="24"/>
        </w:rPr>
        <w:t>%) and VCAL Work Related Skills units (</w:t>
      </w:r>
      <w:r w:rsidR="00E512E5">
        <w:rPr>
          <w:sz w:val="24"/>
          <w:szCs w:val="24"/>
        </w:rPr>
        <w:t>27.</w:t>
      </w:r>
      <w:r w:rsidR="005229D6">
        <w:rPr>
          <w:sz w:val="24"/>
          <w:szCs w:val="24"/>
        </w:rPr>
        <w:t>8</w:t>
      </w:r>
      <w:r w:rsidRPr="00CC73FD">
        <w:rPr>
          <w:sz w:val="24"/>
          <w:szCs w:val="24"/>
        </w:rPr>
        <w:t>%) accounted for the majority of enrolments in VCAL units.</w:t>
      </w:r>
    </w:p>
    <w:p w:rsidR="00810B48" w:rsidRPr="00CC73FD" w:rsidRDefault="00810B48" w:rsidP="00892417">
      <w:pPr>
        <w:jc w:val="both"/>
        <w:rPr>
          <w:sz w:val="24"/>
          <w:szCs w:val="24"/>
        </w:rPr>
      </w:pPr>
    </w:p>
    <w:p w:rsidR="009B73A5" w:rsidRDefault="00810B48" w:rsidP="00892417">
      <w:pPr>
        <w:jc w:val="both"/>
        <w:rPr>
          <w:sz w:val="24"/>
          <w:szCs w:val="24"/>
        </w:rPr>
      </w:pPr>
      <w:r w:rsidRPr="00CC73FD">
        <w:rPr>
          <w:sz w:val="24"/>
          <w:szCs w:val="24"/>
        </w:rPr>
        <w:t xml:space="preserve">Overall </w:t>
      </w:r>
      <w:r w:rsidR="00E512E5">
        <w:rPr>
          <w:sz w:val="24"/>
          <w:szCs w:val="24"/>
        </w:rPr>
        <w:t>76.5</w:t>
      </w:r>
      <w:r w:rsidRPr="00CC73FD">
        <w:rPr>
          <w:sz w:val="24"/>
          <w:szCs w:val="24"/>
        </w:rPr>
        <w:t xml:space="preserve">% of VCAL units </w:t>
      </w:r>
      <w:r w:rsidR="00922878">
        <w:rPr>
          <w:sz w:val="24"/>
          <w:szCs w:val="24"/>
        </w:rPr>
        <w:t xml:space="preserve">were satisfactorily completed. </w:t>
      </w:r>
      <w:r w:rsidRPr="00CC73FD">
        <w:rPr>
          <w:sz w:val="24"/>
          <w:szCs w:val="24"/>
        </w:rPr>
        <w:t>Males (</w:t>
      </w:r>
      <w:r w:rsidR="00705703">
        <w:rPr>
          <w:sz w:val="24"/>
          <w:szCs w:val="24"/>
        </w:rPr>
        <w:t>76.7</w:t>
      </w:r>
      <w:r w:rsidRPr="00CC73FD">
        <w:rPr>
          <w:sz w:val="24"/>
          <w:szCs w:val="24"/>
        </w:rPr>
        <w:t>%) and females (</w:t>
      </w:r>
      <w:r w:rsidR="00705703">
        <w:rPr>
          <w:sz w:val="24"/>
          <w:szCs w:val="24"/>
        </w:rPr>
        <w:t>76.1</w:t>
      </w:r>
      <w:r w:rsidR="008829EE">
        <w:rPr>
          <w:sz w:val="24"/>
          <w:szCs w:val="24"/>
        </w:rPr>
        <w:t xml:space="preserve">%) had </w:t>
      </w:r>
      <w:r w:rsidRPr="00CC73FD">
        <w:rPr>
          <w:sz w:val="24"/>
          <w:szCs w:val="24"/>
        </w:rPr>
        <w:t xml:space="preserve">similar completion rates across all units. </w:t>
      </w:r>
      <w:r w:rsidR="00922878">
        <w:rPr>
          <w:sz w:val="24"/>
          <w:szCs w:val="24"/>
        </w:rPr>
        <w:t>The overall completion rates for each major unit were a</w:t>
      </w:r>
      <w:r w:rsidR="00E12CCF">
        <w:rPr>
          <w:sz w:val="24"/>
          <w:szCs w:val="24"/>
        </w:rPr>
        <w:t>s follows: Literacy Skills (</w:t>
      </w:r>
      <w:r w:rsidR="00083941">
        <w:rPr>
          <w:sz w:val="24"/>
          <w:szCs w:val="24"/>
        </w:rPr>
        <w:t>7</w:t>
      </w:r>
      <w:r w:rsidR="00705703">
        <w:rPr>
          <w:sz w:val="24"/>
          <w:szCs w:val="24"/>
        </w:rPr>
        <w:t>5.3</w:t>
      </w:r>
      <w:r w:rsidR="00E12CCF">
        <w:rPr>
          <w:sz w:val="24"/>
          <w:szCs w:val="24"/>
        </w:rPr>
        <w:t>%); Numeracy Skills (</w:t>
      </w:r>
      <w:r w:rsidR="00566326">
        <w:rPr>
          <w:sz w:val="24"/>
          <w:szCs w:val="24"/>
        </w:rPr>
        <w:t>73.</w:t>
      </w:r>
      <w:r w:rsidR="00705703">
        <w:rPr>
          <w:sz w:val="24"/>
          <w:szCs w:val="24"/>
        </w:rPr>
        <w:t>5</w:t>
      </w:r>
      <w:r w:rsidR="00922878">
        <w:rPr>
          <w:sz w:val="24"/>
          <w:szCs w:val="24"/>
        </w:rPr>
        <w:t>%); Personal Development Skills (</w:t>
      </w:r>
      <w:r w:rsidR="00705703">
        <w:rPr>
          <w:sz w:val="24"/>
          <w:szCs w:val="24"/>
        </w:rPr>
        <w:t>78.1</w:t>
      </w:r>
      <w:r w:rsidR="00C63B21">
        <w:rPr>
          <w:sz w:val="24"/>
          <w:szCs w:val="24"/>
        </w:rPr>
        <w:t>%) and Work Related Skills (</w:t>
      </w:r>
      <w:r w:rsidR="00705703">
        <w:rPr>
          <w:sz w:val="24"/>
          <w:szCs w:val="24"/>
        </w:rPr>
        <w:t>77.2</w:t>
      </w:r>
      <w:r w:rsidR="00922878">
        <w:rPr>
          <w:sz w:val="24"/>
          <w:szCs w:val="24"/>
        </w:rPr>
        <w:t>%).</w:t>
      </w:r>
    </w:p>
    <w:p w:rsidR="00922878" w:rsidRDefault="00922878" w:rsidP="00892417">
      <w:pPr>
        <w:jc w:val="both"/>
        <w:rPr>
          <w:sz w:val="24"/>
          <w:szCs w:val="24"/>
        </w:rPr>
      </w:pPr>
    </w:p>
    <w:p w:rsidR="001B016F" w:rsidRPr="00297DCD" w:rsidRDefault="00297DCD" w:rsidP="00297DCD">
      <w:pPr>
        <w:tabs>
          <w:tab w:val="left" w:pos="1276"/>
        </w:tabs>
        <w:rPr>
          <w:b/>
          <w:sz w:val="22"/>
        </w:rPr>
      </w:pPr>
      <w:r w:rsidRPr="00297DCD">
        <w:rPr>
          <w:b/>
          <w:sz w:val="22"/>
        </w:rPr>
        <w:t>Table 5.3</w:t>
      </w:r>
      <w:r w:rsidR="00407B1D">
        <w:rPr>
          <w:b/>
          <w:sz w:val="22"/>
        </w:rPr>
        <w:t xml:space="preserve">: </w:t>
      </w:r>
      <w:r w:rsidRPr="00297DCD">
        <w:rPr>
          <w:b/>
          <w:sz w:val="22"/>
        </w:rPr>
        <w:t>V</w:t>
      </w:r>
      <w:r>
        <w:rPr>
          <w:b/>
          <w:sz w:val="22"/>
        </w:rPr>
        <w:t>CAL Unit Completions by Gender a</w:t>
      </w:r>
      <w:r w:rsidR="00C328F0">
        <w:rPr>
          <w:b/>
          <w:sz w:val="22"/>
        </w:rPr>
        <w:t xml:space="preserve">nd Level, </w:t>
      </w:r>
      <w:r w:rsidR="00907075">
        <w:rPr>
          <w:b/>
          <w:sz w:val="22"/>
        </w:rPr>
        <w:t>2016</w:t>
      </w:r>
    </w:p>
    <w:p w:rsidR="00297DCD" w:rsidRDefault="00297DCD" w:rsidP="00810B48">
      <w:pPr>
        <w:rPr>
          <w:b/>
          <w:sz w:val="18"/>
          <w:szCs w:val="18"/>
          <w:lang w:val="en-AU"/>
        </w:rPr>
      </w:pPr>
    </w:p>
    <w:tbl>
      <w:tblPr>
        <w:tblW w:w="9437" w:type="dxa"/>
        <w:tblInd w:w="93" w:type="dxa"/>
        <w:tblLook w:val="04A0" w:firstRow="1" w:lastRow="0" w:firstColumn="1" w:lastColumn="0" w:noHBand="0" w:noVBand="1"/>
      </w:tblPr>
      <w:tblGrid>
        <w:gridCol w:w="3156"/>
        <w:gridCol w:w="738"/>
        <w:gridCol w:w="738"/>
        <w:gridCol w:w="551"/>
        <w:gridCol w:w="738"/>
        <w:gridCol w:w="738"/>
        <w:gridCol w:w="551"/>
        <w:gridCol w:w="838"/>
        <w:gridCol w:w="838"/>
        <w:gridCol w:w="551"/>
      </w:tblGrid>
      <w:tr w:rsidR="003C5803" w:rsidRPr="003C5803" w:rsidTr="003C5803">
        <w:trPr>
          <w:trHeight w:val="300"/>
        </w:trPr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 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Female</w:t>
            </w:r>
          </w:p>
        </w:tc>
        <w:tc>
          <w:tcPr>
            <w:tcW w:w="2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Male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All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DESCRIPTION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% 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% 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Total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center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% S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Advanced Numeracy Skills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60.7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71.1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67.6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Advanced Study Skills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98.3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95.0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Folio Enhancement and Presentation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98.3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90.0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96.2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Literacy Skills (F) Oral Communication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1,629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59.8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1,719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2,840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2,693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4,469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60.3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Literacy Skills (F) Reading and Writing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950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1,697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56.0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1,675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2,998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55.9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2,625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4,695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55.9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Literacy Skills (I) Oral Communication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2,410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3,098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77.8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3,988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5,106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78.1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6,398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8,204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78.0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Literacy Skills (I) Reading and Writing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2,380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3,167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75.1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3,920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5,196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75.4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6,300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8,363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75.3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Literacy Skills (S) Oral Communication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2,258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2,663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84.8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3,538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4,122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5,796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6,785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85.4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Literacy Skills (S) Reading and Writing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2,320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2,736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84.8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3,646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4,279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5,966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7,015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85.0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Numeracy Skills (F)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1,051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1,748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1,769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2,932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2,820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4,680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60.3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Numeracy Skills (I)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2,099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2,860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73.4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3,534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4,579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77.2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5,633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7,439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75.7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Numeracy Skills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1,733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2,127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81.5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2,687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3,249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82.7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4,420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5,376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82.2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Pathways Planning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98.3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95.0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Personal Development Skills Unit 1 (F)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1,213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1,800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67.4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2,174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3,187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68.2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3,387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4,987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67.9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Personal Development Skills Unit 1 (I)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2,724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3,392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80.3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4,509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5,574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80.9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7,233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8,966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80.7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Personal Development Skills Unit 1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2,382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2,774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3,749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4,370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7,144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85.8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Personal Development Skills Unit 2 (F)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1,511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61.7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1,740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2,818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61.7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2,672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4,329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61.7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Personal Development Skills Unit 2 (I)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2,527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3,237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78.1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4,158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5,216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79.7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6,685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8,453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79.1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Personal Development Skills Unit 2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1,986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2,384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83.3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2,960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3,497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84.6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4,946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5,881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84.1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Skills for Further Study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239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76.8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359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74.6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598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75.5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Work Related Skills Unit 1 (F)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1,217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1,835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66.3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2,138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3,196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66.9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3,355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5,031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66.7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Work Related Skills Unit 1 (I)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2,497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3,188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78.3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4,199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5,230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80.3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6,696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8,418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79.5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Work Related Skills Unit 1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1,979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2,345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84.4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3,079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3,560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86.5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5,058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5,905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85.7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Work Related Skills Unit 2 (F)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929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1,498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62.0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1,696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2,707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62.7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2,625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4,205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62.4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Work Related Skills Unit 2 (I)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2,368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3,077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77.0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3,890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4,984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78.0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6,258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8,061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77.6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color w:val="000000"/>
                <w:sz w:val="18"/>
                <w:szCs w:val="18"/>
                <w:lang w:val="en-AU" w:eastAsia="en-AU"/>
              </w:rPr>
              <w:t>Work Related Skills Unit 2 (S)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1,995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2,410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82.8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3,182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3,775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84.3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5,177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6,185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sz w:val="18"/>
                <w:szCs w:val="18"/>
                <w:lang w:val="en-AU" w:eastAsia="en-AU"/>
              </w:rPr>
            </w:pPr>
            <w:r w:rsidRPr="003C5803">
              <w:rPr>
                <w:sz w:val="18"/>
                <w:szCs w:val="18"/>
                <w:lang w:val="en-AU" w:eastAsia="en-AU"/>
              </w:rPr>
              <w:t>83.7</w:t>
            </w:r>
          </w:p>
        </w:tc>
      </w:tr>
      <w:tr w:rsidR="003C5803" w:rsidRPr="003C5803" w:rsidTr="003C5803">
        <w:trPr>
          <w:trHeight w:val="300"/>
        </w:trPr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color w:val="000000"/>
                <w:sz w:val="18"/>
                <w:szCs w:val="18"/>
                <w:lang w:val="en-AU" w:eastAsia="en-AU"/>
              </w:rPr>
              <w:t>Grand Total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39,373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51,722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76.1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64,442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84,070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76.7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103,815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135,792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803" w:rsidRPr="003C5803" w:rsidRDefault="003C5803" w:rsidP="003C5803">
            <w:pPr>
              <w:jc w:val="right"/>
              <w:rPr>
                <w:b/>
                <w:bCs/>
                <w:sz w:val="18"/>
                <w:szCs w:val="18"/>
                <w:lang w:val="en-AU" w:eastAsia="en-AU"/>
              </w:rPr>
            </w:pPr>
            <w:r w:rsidRPr="003C5803">
              <w:rPr>
                <w:b/>
                <w:bCs/>
                <w:sz w:val="18"/>
                <w:szCs w:val="18"/>
                <w:lang w:val="en-AU" w:eastAsia="en-AU"/>
              </w:rPr>
              <w:t>76.5</w:t>
            </w:r>
          </w:p>
        </w:tc>
      </w:tr>
    </w:tbl>
    <w:p w:rsidR="00C001E9" w:rsidRDefault="00C001E9" w:rsidP="00810B48">
      <w:pPr>
        <w:rPr>
          <w:b/>
          <w:sz w:val="18"/>
          <w:szCs w:val="18"/>
          <w:lang w:val="en-AU"/>
        </w:rPr>
      </w:pPr>
    </w:p>
    <w:p w:rsidR="005D147D" w:rsidRDefault="005D147D" w:rsidP="00810B48">
      <w:pPr>
        <w:rPr>
          <w:sz w:val="18"/>
          <w:szCs w:val="18"/>
          <w:lang w:val="en-AU"/>
        </w:rPr>
      </w:pPr>
      <w:r w:rsidRPr="005D147D">
        <w:rPr>
          <w:sz w:val="18"/>
          <w:szCs w:val="18"/>
          <w:lang w:val="en-AU"/>
        </w:rPr>
        <w:t>Note</w:t>
      </w:r>
      <w:r>
        <w:rPr>
          <w:sz w:val="18"/>
          <w:szCs w:val="18"/>
          <w:lang w:val="en-AU"/>
        </w:rPr>
        <w:t>: F=Foundation, I=Intermediate,</w:t>
      </w:r>
      <w:r w:rsidR="004C4B9E">
        <w:rPr>
          <w:sz w:val="18"/>
          <w:szCs w:val="18"/>
          <w:lang w:val="en-AU"/>
        </w:rPr>
        <w:t xml:space="preserve"> S=Senior</w:t>
      </w:r>
    </w:p>
    <w:p w:rsidR="00C84473" w:rsidRDefault="005D147D" w:rsidP="00232CD3">
      <w:pPr>
        <w:rPr>
          <w:b/>
          <w:sz w:val="24"/>
          <w:szCs w:val="24"/>
        </w:rPr>
      </w:pPr>
      <w:r>
        <w:rPr>
          <w:sz w:val="18"/>
          <w:szCs w:val="18"/>
          <w:lang w:val="en-AU"/>
        </w:rPr>
        <w:t>Where a student has formally withdrawn from the Unit, these have been excluded from the above table.</w:t>
      </w:r>
      <w:r w:rsidR="00232CD3">
        <w:rPr>
          <w:b/>
          <w:sz w:val="24"/>
          <w:szCs w:val="24"/>
        </w:rPr>
        <w:t xml:space="preserve"> </w:t>
      </w:r>
    </w:p>
    <w:p w:rsidR="00810B48" w:rsidRPr="005C613D" w:rsidRDefault="008964A4" w:rsidP="00810B4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10B48">
        <w:rPr>
          <w:b/>
          <w:sz w:val="24"/>
          <w:szCs w:val="24"/>
        </w:rPr>
        <w:lastRenderedPageBreak/>
        <w:t xml:space="preserve">Certificate </w:t>
      </w:r>
      <w:r w:rsidR="00810B48" w:rsidRPr="005C613D">
        <w:rPr>
          <w:b/>
          <w:sz w:val="24"/>
          <w:szCs w:val="24"/>
        </w:rPr>
        <w:t>Completions</w:t>
      </w:r>
    </w:p>
    <w:p w:rsidR="00810B48" w:rsidRDefault="00810B48" w:rsidP="00477C38">
      <w:pPr>
        <w:ind w:right="-94"/>
        <w:rPr>
          <w:sz w:val="24"/>
          <w:szCs w:val="24"/>
        </w:rPr>
      </w:pPr>
      <w:r w:rsidRPr="005C613D">
        <w:rPr>
          <w:sz w:val="24"/>
          <w:szCs w:val="24"/>
        </w:rPr>
        <w:t xml:space="preserve">There were </w:t>
      </w:r>
      <w:r w:rsidR="00146786">
        <w:rPr>
          <w:sz w:val="24"/>
          <w:szCs w:val="24"/>
        </w:rPr>
        <w:t>13,2</w:t>
      </w:r>
      <w:r w:rsidR="00477C38">
        <w:rPr>
          <w:sz w:val="24"/>
          <w:szCs w:val="24"/>
        </w:rPr>
        <w:t>08</w:t>
      </w:r>
      <w:r w:rsidRPr="005C613D">
        <w:rPr>
          <w:sz w:val="24"/>
          <w:szCs w:val="24"/>
        </w:rPr>
        <w:t xml:space="preserve"> VCAL certificate completions </w:t>
      </w:r>
      <w:r>
        <w:rPr>
          <w:sz w:val="24"/>
          <w:szCs w:val="24"/>
        </w:rPr>
        <w:t xml:space="preserve">out of </w:t>
      </w:r>
      <w:r w:rsidR="00146786">
        <w:rPr>
          <w:sz w:val="24"/>
          <w:szCs w:val="24"/>
        </w:rPr>
        <w:t>17,</w:t>
      </w:r>
      <w:r w:rsidR="00477C38">
        <w:rPr>
          <w:sz w:val="24"/>
          <w:szCs w:val="24"/>
        </w:rPr>
        <w:t>886</w:t>
      </w:r>
      <w:r w:rsidR="003A136C">
        <w:rPr>
          <w:sz w:val="24"/>
          <w:szCs w:val="24"/>
        </w:rPr>
        <w:t xml:space="preserve"> </w:t>
      </w:r>
      <w:r>
        <w:rPr>
          <w:sz w:val="24"/>
          <w:szCs w:val="24"/>
        </w:rPr>
        <w:t>enrolments which w</w:t>
      </w:r>
      <w:r w:rsidR="000E47EC">
        <w:rPr>
          <w:sz w:val="24"/>
          <w:szCs w:val="24"/>
        </w:rPr>
        <w:t xml:space="preserve">ere eligible to complete in </w:t>
      </w:r>
      <w:r w:rsidR="00907075">
        <w:rPr>
          <w:sz w:val="24"/>
          <w:szCs w:val="24"/>
        </w:rPr>
        <w:t>2016</w:t>
      </w:r>
      <w:r w:rsidR="007C143D">
        <w:rPr>
          <w:sz w:val="24"/>
          <w:szCs w:val="24"/>
        </w:rPr>
        <w:t>.  This is</w:t>
      </w:r>
      <w:r w:rsidR="00564102">
        <w:rPr>
          <w:sz w:val="24"/>
          <w:szCs w:val="24"/>
        </w:rPr>
        <w:t xml:space="preserve"> </w:t>
      </w:r>
      <w:r w:rsidR="00010492">
        <w:rPr>
          <w:sz w:val="24"/>
          <w:szCs w:val="24"/>
        </w:rPr>
        <w:t xml:space="preserve">a completion rate of </w:t>
      </w:r>
      <w:r w:rsidR="00146786">
        <w:rPr>
          <w:sz w:val="24"/>
          <w:szCs w:val="24"/>
        </w:rPr>
        <w:t>7</w:t>
      </w:r>
      <w:r w:rsidR="00477C38">
        <w:rPr>
          <w:sz w:val="24"/>
          <w:szCs w:val="24"/>
        </w:rPr>
        <w:t>3.8</w:t>
      </w:r>
      <w:r w:rsidR="007C143D">
        <w:rPr>
          <w:sz w:val="24"/>
          <w:szCs w:val="24"/>
        </w:rPr>
        <w:t>% (See Table 5.4)</w:t>
      </w:r>
      <w:r>
        <w:rPr>
          <w:sz w:val="24"/>
          <w:szCs w:val="24"/>
        </w:rPr>
        <w:t>.</w:t>
      </w:r>
      <w:r w:rsidRPr="005C61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 student is eligible to complete a qualification if they have </w:t>
      </w:r>
      <w:r w:rsidRPr="00E5056B">
        <w:rPr>
          <w:sz w:val="24"/>
          <w:szCs w:val="24"/>
        </w:rPr>
        <w:t>comp</w:t>
      </w:r>
      <w:r>
        <w:rPr>
          <w:sz w:val="24"/>
          <w:szCs w:val="24"/>
        </w:rPr>
        <w:t>l</w:t>
      </w:r>
      <w:r w:rsidRPr="00E5056B">
        <w:rPr>
          <w:sz w:val="24"/>
          <w:szCs w:val="24"/>
        </w:rPr>
        <w:t>eted</w:t>
      </w:r>
      <w:r>
        <w:rPr>
          <w:sz w:val="24"/>
          <w:szCs w:val="24"/>
        </w:rPr>
        <w:t xml:space="preserve"> sufficient units or modules</w:t>
      </w:r>
      <w:r w:rsidR="007C143D">
        <w:rPr>
          <w:sz w:val="24"/>
          <w:szCs w:val="24"/>
        </w:rPr>
        <w:t>,</w:t>
      </w:r>
      <w:r>
        <w:rPr>
          <w:sz w:val="24"/>
          <w:szCs w:val="24"/>
        </w:rPr>
        <w:t xml:space="preserve"> or are enrolled in sufficient units or modules that, if completed satisfactorily, </w:t>
      </w:r>
      <w:r w:rsidR="007C143D">
        <w:rPr>
          <w:sz w:val="24"/>
          <w:szCs w:val="24"/>
        </w:rPr>
        <w:t xml:space="preserve">would </w:t>
      </w:r>
      <w:r>
        <w:rPr>
          <w:sz w:val="24"/>
          <w:szCs w:val="24"/>
        </w:rPr>
        <w:t>me</w:t>
      </w:r>
      <w:r w:rsidR="007C143D">
        <w:rPr>
          <w:sz w:val="24"/>
          <w:szCs w:val="24"/>
        </w:rPr>
        <w:t>e</w:t>
      </w:r>
      <w:r>
        <w:rPr>
          <w:sz w:val="24"/>
          <w:szCs w:val="24"/>
        </w:rPr>
        <w:t>t the requirements for satisfactory co</w:t>
      </w:r>
      <w:r w:rsidR="00DF58F1">
        <w:rPr>
          <w:sz w:val="24"/>
          <w:szCs w:val="24"/>
        </w:rPr>
        <w:t xml:space="preserve">mpletion of the qualification. </w:t>
      </w:r>
      <w:r>
        <w:rPr>
          <w:sz w:val="24"/>
          <w:szCs w:val="24"/>
        </w:rPr>
        <w:t xml:space="preserve">Students may also gain credit </w:t>
      </w:r>
      <w:r w:rsidR="007C143D">
        <w:rPr>
          <w:sz w:val="24"/>
          <w:szCs w:val="24"/>
        </w:rPr>
        <w:t xml:space="preserve">towards their VCAL </w:t>
      </w:r>
      <w:r>
        <w:rPr>
          <w:sz w:val="24"/>
          <w:szCs w:val="24"/>
        </w:rPr>
        <w:t xml:space="preserve">from VCE units and </w:t>
      </w:r>
      <w:r w:rsidR="00BB4074">
        <w:rPr>
          <w:sz w:val="24"/>
          <w:szCs w:val="24"/>
        </w:rPr>
        <w:t>VET</w:t>
      </w:r>
      <w:bookmarkStart w:id="0" w:name="_GoBack"/>
      <w:bookmarkEnd w:id="0"/>
      <w:r>
        <w:rPr>
          <w:sz w:val="24"/>
          <w:szCs w:val="24"/>
        </w:rPr>
        <w:t xml:space="preserve"> units of competence.</w:t>
      </w:r>
    </w:p>
    <w:p w:rsidR="00810B48" w:rsidRDefault="00810B48" w:rsidP="0021048C">
      <w:pPr>
        <w:ind w:right="-94"/>
        <w:jc w:val="both"/>
        <w:rPr>
          <w:sz w:val="24"/>
          <w:szCs w:val="24"/>
        </w:rPr>
      </w:pPr>
    </w:p>
    <w:p w:rsidR="00810B48" w:rsidRPr="00B40898" w:rsidRDefault="0022217F" w:rsidP="00D93A4C">
      <w:pPr>
        <w:ind w:right="-94"/>
        <w:jc w:val="both"/>
        <w:rPr>
          <w:sz w:val="24"/>
          <w:szCs w:val="24"/>
        </w:rPr>
      </w:pPr>
      <w:r>
        <w:rPr>
          <w:sz w:val="24"/>
          <w:szCs w:val="24"/>
        </w:rPr>
        <w:t>Of those students eligible to complete, t</w:t>
      </w:r>
      <w:r w:rsidR="00D84C42">
        <w:rPr>
          <w:sz w:val="24"/>
          <w:szCs w:val="24"/>
        </w:rPr>
        <w:t xml:space="preserve">he </w:t>
      </w:r>
      <w:r w:rsidR="00810B48">
        <w:rPr>
          <w:sz w:val="24"/>
          <w:szCs w:val="24"/>
        </w:rPr>
        <w:t>completion rate</w:t>
      </w:r>
      <w:r w:rsidR="00D84C42">
        <w:rPr>
          <w:sz w:val="24"/>
          <w:szCs w:val="24"/>
        </w:rPr>
        <w:t>s for male and female students were</w:t>
      </w:r>
      <w:r>
        <w:rPr>
          <w:sz w:val="24"/>
          <w:szCs w:val="24"/>
        </w:rPr>
        <w:t xml:space="preserve"> </w:t>
      </w:r>
      <w:r w:rsidR="00804A11">
        <w:rPr>
          <w:sz w:val="24"/>
          <w:szCs w:val="24"/>
        </w:rPr>
        <w:t>73.4</w:t>
      </w:r>
      <w:r w:rsidR="00203DB4">
        <w:rPr>
          <w:sz w:val="24"/>
          <w:szCs w:val="24"/>
        </w:rPr>
        <w:t xml:space="preserve">% </w:t>
      </w:r>
      <w:r w:rsidR="00D84C42">
        <w:rPr>
          <w:sz w:val="24"/>
          <w:szCs w:val="24"/>
        </w:rPr>
        <w:t xml:space="preserve">and </w:t>
      </w:r>
      <w:r w:rsidR="00804A11">
        <w:rPr>
          <w:sz w:val="24"/>
          <w:szCs w:val="24"/>
        </w:rPr>
        <w:t>74.6</w:t>
      </w:r>
      <w:r w:rsidR="00810B48">
        <w:rPr>
          <w:sz w:val="24"/>
          <w:szCs w:val="24"/>
        </w:rPr>
        <w:t>%</w:t>
      </w:r>
      <w:r w:rsidR="00D84C42">
        <w:rPr>
          <w:sz w:val="24"/>
          <w:szCs w:val="24"/>
        </w:rPr>
        <w:t xml:space="preserve"> respectively.</w:t>
      </w:r>
    </w:p>
    <w:p w:rsidR="00564102" w:rsidRDefault="00564102" w:rsidP="00810B48">
      <w:pPr>
        <w:rPr>
          <w:b/>
        </w:rPr>
      </w:pPr>
    </w:p>
    <w:p w:rsidR="00232CD3" w:rsidRPr="00876B46" w:rsidRDefault="00876B46" w:rsidP="00876B46">
      <w:pPr>
        <w:tabs>
          <w:tab w:val="left" w:pos="1276"/>
        </w:tabs>
        <w:rPr>
          <w:b/>
          <w:sz w:val="22"/>
        </w:rPr>
      </w:pPr>
      <w:r w:rsidRPr="00876B46">
        <w:rPr>
          <w:b/>
          <w:sz w:val="22"/>
        </w:rPr>
        <w:t>Table 5.4</w:t>
      </w:r>
      <w:r w:rsidR="00407B1D">
        <w:rPr>
          <w:b/>
          <w:sz w:val="22"/>
        </w:rPr>
        <w:t xml:space="preserve">: </w:t>
      </w:r>
      <w:r>
        <w:rPr>
          <w:b/>
          <w:sz w:val="22"/>
        </w:rPr>
        <w:t>VCAL Certificate Completions by Gender a</w:t>
      </w:r>
      <w:r w:rsidR="00774D13">
        <w:rPr>
          <w:b/>
          <w:sz w:val="22"/>
        </w:rPr>
        <w:t xml:space="preserve">nd Level, </w:t>
      </w:r>
      <w:r w:rsidR="00907075">
        <w:rPr>
          <w:b/>
          <w:sz w:val="22"/>
        </w:rPr>
        <w:t>2016</w:t>
      </w:r>
    </w:p>
    <w:p w:rsidR="00876B46" w:rsidRDefault="00876B46"/>
    <w:tbl>
      <w:tblPr>
        <w:tblW w:w="7880" w:type="dxa"/>
        <w:tblInd w:w="93" w:type="dxa"/>
        <w:tblLook w:val="04A0" w:firstRow="1" w:lastRow="0" w:firstColumn="1" w:lastColumn="0" w:noHBand="0" w:noVBand="1"/>
      </w:tblPr>
      <w:tblGrid>
        <w:gridCol w:w="2940"/>
        <w:gridCol w:w="1243"/>
        <w:gridCol w:w="2160"/>
        <w:gridCol w:w="1600"/>
      </w:tblGrid>
      <w:tr w:rsidR="00477C38" w:rsidRPr="00477C38" w:rsidTr="00477C38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Level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Completed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vAlign w:val="bottom"/>
            <w:hideMark/>
          </w:tcPr>
          <w:p w:rsidR="00477C38" w:rsidRPr="00477C38" w:rsidRDefault="00477C38" w:rsidP="00477C38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Eligible to Complete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center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% Completed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653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1,164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56.1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2,148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2,923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969696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73.5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2,237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2,665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83.9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5,038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6,752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74.6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1,120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2,016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55.6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3,543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4,937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71.8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3,507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4,181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83.9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8,170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11,134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73.4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All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 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1,773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3,180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55.8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5,691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7,860</w:t>
            </w:r>
          </w:p>
        </w:tc>
        <w:tc>
          <w:tcPr>
            <w:tcW w:w="1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72.4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5,744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6,846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77C38">
              <w:rPr>
                <w:sz w:val="22"/>
                <w:szCs w:val="22"/>
                <w:lang w:val="en-AU" w:eastAsia="en-AU"/>
              </w:rPr>
              <w:t>83.9</w:t>
            </w:r>
          </w:p>
        </w:tc>
      </w:tr>
      <w:tr w:rsidR="00477C38" w:rsidRPr="00477C38" w:rsidTr="00477C38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i/>
                <w:i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13,208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17,886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77C38" w:rsidRPr="00477C38" w:rsidRDefault="00477C38" w:rsidP="00477C38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77C38">
              <w:rPr>
                <w:b/>
                <w:bCs/>
                <w:sz w:val="22"/>
                <w:szCs w:val="22"/>
                <w:lang w:val="en-AU" w:eastAsia="en-AU"/>
              </w:rPr>
              <w:t>73.8</w:t>
            </w:r>
          </w:p>
        </w:tc>
      </w:tr>
    </w:tbl>
    <w:p w:rsidR="00774D13" w:rsidRDefault="00774D13"/>
    <w:p w:rsidR="00E64489" w:rsidRDefault="00E64489"/>
    <w:p w:rsidR="00892417" w:rsidRDefault="00892417" w:rsidP="00892417">
      <w:pPr>
        <w:rPr>
          <w:sz w:val="24"/>
          <w:szCs w:val="24"/>
        </w:rPr>
      </w:pPr>
      <w:r>
        <w:rPr>
          <w:sz w:val="24"/>
          <w:szCs w:val="24"/>
        </w:rPr>
        <w:t xml:space="preserve">Of those students who completed a VCAL certificate, </w:t>
      </w:r>
      <w:r w:rsidR="00F2713A">
        <w:rPr>
          <w:sz w:val="24"/>
          <w:szCs w:val="24"/>
        </w:rPr>
        <w:t>61.9</w:t>
      </w:r>
      <w:r w:rsidR="00444961">
        <w:rPr>
          <w:sz w:val="24"/>
          <w:szCs w:val="24"/>
        </w:rPr>
        <w:t xml:space="preserve">% were male and </w:t>
      </w:r>
      <w:r w:rsidR="00F2713A">
        <w:rPr>
          <w:sz w:val="24"/>
          <w:szCs w:val="24"/>
        </w:rPr>
        <w:t>38.1</w:t>
      </w:r>
      <w:r>
        <w:rPr>
          <w:sz w:val="24"/>
          <w:szCs w:val="24"/>
        </w:rPr>
        <w:t>% were female.</w:t>
      </w:r>
      <w:r w:rsidR="00DF58F1">
        <w:rPr>
          <w:sz w:val="24"/>
          <w:szCs w:val="24"/>
        </w:rPr>
        <w:t xml:space="preserve"> This is a reflection of the enrolment pattern.</w:t>
      </w:r>
    </w:p>
    <w:p w:rsidR="0022217F" w:rsidRDefault="0022217F" w:rsidP="00892417"/>
    <w:p w:rsidR="00146786" w:rsidRDefault="00146786" w:rsidP="00892417"/>
    <w:p w:rsidR="00C022B7" w:rsidRDefault="00876B46" w:rsidP="00C022B7">
      <w:pPr>
        <w:tabs>
          <w:tab w:val="left" w:pos="1276"/>
        </w:tabs>
      </w:pPr>
      <w:r w:rsidRPr="00876B46">
        <w:rPr>
          <w:b/>
          <w:sz w:val="22"/>
          <w:szCs w:val="22"/>
        </w:rPr>
        <w:t>Table 5.5</w:t>
      </w:r>
      <w:r w:rsidR="00407B1D">
        <w:rPr>
          <w:b/>
          <w:sz w:val="22"/>
          <w:szCs w:val="22"/>
        </w:rPr>
        <w:t xml:space="preserve">: </w:t>
      </w:r>
      <w:r w:rsidRPr="00876B46">
        <w:rPr>
          <w:b/>
          <w:sz w:val="22"/>
          <w:szCs w:val="22"/>
        </w:rPr>
        <w:t xml:space="preserve">Percentages </w:t>
      </w:r>
      <w:r>
        <w:rPr>
          <w:b/>
          <w:sz w:val="22"/>
          <w:szCs w:val="22"/>
        </w:rPr>
        <w:t>o</w:t>
      </w:r>
      <w:r w:rsidRPr="00876B46">
        <w:rPr>
          <w:b/>
          <w:sz w:val="22"/>
          <w:szCs w:val="22"/>
        </w:rPr>
        <w:t>f V</w:t>
      </w:r>
      <w:r>
        <w:rPr>
          <w:b/>
          <w:sz w:val="22"/>
          <w:szCs w:val="22"/>
        </w:rPr>
        <w:t>CAL Certificate Completions b</w:t>
      </w:r>
      <w:r w:rsidRPr="00876B46">
        <w:rPr>
          <w:b/>
          <w:sz w:val="22"/>
          <w:szCs w:val="22"/>
        </w:rPr>
        <w:t xml:space="preserve">y Gender, </w:t>
      </w:r>
      <w:r w:rsidR="00907075">
        <w:rPr>
          <w:b/>
          <w:sz w:val="22"/>
          <w:szCs w:val="22"/>
        </w:rPr>
        <w:t>2016</w:t>
      </w:r>
    </w:p>
    <w:p w:rsidR="00C022B7" w:rsidRPr="00157035" w:rsidRDefault="00C022B7">
      <w:pPr>
        <w:rPr>
          <w:sz w:val="16"/>
        </w:rPr>
      </w:pPr>
    </w:p>
    <w:tbl>
      <w:tblPr>
        <w:tblW w:w="4780" w:type="dxa"/>
        <w:tblInd w:w="93" w:type="dxa"/>
        <w:tblLook w:val="04A0" w:firstRow="1" w:lastRow="0" w:firstColumn="1" w:lastColumn="0" w:noHBand="0" w:noVBand="1"/>
      </w:tblPr>
      <w:tblGrid>
        <w:gridCol w:w="3020"/>
        <w:gridCol w:w="1760"/>
      </w:tblGrid>
      <w:tr w:rsidR="00425BF7" w:rsidRPr="00425BF7" w:rsidTr="00425BF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Level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% Completed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Female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36.8%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37.7%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38.9%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38.1%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Male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 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Foundation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63.2%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Intermediate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62.3%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Senior and Senior Extension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sz w:val="22"/>
                <w:szCs w:val="22"/>
                <w:lang w:val="en-AU" w:eastAsia="en-AU"/>
              </w:rPr>
            </w:pPr>
            <w:r w:rsidRPr="00425BF7">
              <w:rPr>
                <w:sz w:val="22"/>
                <w:szCs w:val="22"/>
                <w:lang w:val="en-AU" w:eastAsia="en-AU"/>
              </w:rPr>
              <w:t>61.1%</w:t>
            </w:r>
          </w:p>
        </w:tc>
      </w:tr>
      <w:tr w:rsidR="00425BF7" w:rsidRPr="00425BF7" w:rsidTr="00425BF7">
        <w:trPr>
          <w:trHeight w:val="300"/>
        </w:trPr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Total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25BF7" w:rsidRPr="00425BF7" w:rsidRDefault="00425BF7" w:rsidP="00425BF7">
            <w:pPr>
              <w:jc w:val="right"/>
              <w:rPr>
                <w:b/>
                <w:bCs/>
                <w:sz w:val="22"/>
                <w:szCs w:val="22"/>
                <w:lang w:val="en-AU" w:eastAsia="en-AU"/>
              </w:rPr>
            </w:pPr>
            <w:r w:rsidRPr="00425BF7">
              <w:rPr>
                <w:b/>
                <w:bCs/>
                <w:sz w:val="22"/>
                <w:szCs w:val="22"/>
                <w:lang w:val="en-AU" w:eastAsia="en-AU"/>
              </w:rPr>
              <w:t>61.9%</w:t>
            </w:r>
          </w:p>
        </w:tc>
      </w:tr>
    </w:tbl>
    <w:p w:rsidR="00892417" w:rsidRDefault="00892417" w:rsidP="00157035"/>
    <w:sectPr w:rsidR="00892417" w:rsidSect="00892417"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13A" w:rsidRDefault="00F2713A">
      <w:r>
        <w:separator/>
      </w:r>
    </w:p>
  </w:endnote>
  <w:endnote w:type="continuationSeparator" w:id="0">
    <w:p w:rsidR="00F2713A" w:rsidRDefault="00F27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A" w:rsidRDefault="00F2713A" w:rsidP="00E15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13A" w:rsidRDefault="00F271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A" w:rsidRDefault="00F2713A" w:rsidP="00E1515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4074">
      <w:rPr>
        <w:rStyle w:val="PageNumber"/>
        <w:noProof/>
      </w:rPr>
      <w:t>3</w:t>
    </w:r>
    <w:r>
      <w:rPr>
        <w:rStyle w:val="PageNumber"/>
      </w:rPr>
      <w:fldChar w:fldCharType="end"/>
    </w:r>
  </w:p>
  <w:p w:rsidR="00F2713A" w:rsidRDefault="005C3B42">
    <w:pPr>
      <w:pStyle w:val="Footer"/>
    </w:pPr>
    <w:r>
      <w:t>© VCAA,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A" w:rsidRDefault="00F271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13A" w:rsidRDefault="00F2713A">
      <w:r>
        <w:separator/>
      </w:r>
    </w:p>
  </w:footnote>
  <w:footnote w:type="continuationSeparator" w:id="0">
    <w:p w:rsidR="00F2713A" w:rsidRDefault="00F27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A" w:rsidRDefault="00F27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A" w:rsidRPr="004868B6" w:rsidRDefault="00F2713A">
    <w:pPr>
      <w:pStyle w:val="Header"/>
      <w:rPr>
        <w:lang w:val="en-AU"/>
      </w:rPr>
    </w:pPr>
    <w:r>
      <w:rPr>
        <w:lang w:val="en-AU"/>
      </w:rPr>
      <w:t>DAMRU, VCAA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13A" w:rsidRDefault="00F27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fa035c3d-ad4e-47cc-a8a0-e4bac204dabc"/>
    <w:docVar w:name="_AMO_XmlVersion" w:val="Empty"/>
  </w:docVars>
  <w:rsids>
    <w:rsidRoot w:val="0068678D"/>
    <w:rsid w:val="000035D5"/>
    <w:rsid w:val="00010492"/>
    <w:rsid w:val="00017E47"/>
    <w:rsid w:val="00017F8F"/>
    <w:rsid w:val="000238C4"/>
    <w:rsid w:val="00026FCD"/>
    <w:rsid w:val="00032326"/>
    <w:rsid w:val="00042A2D"/>
    <w:rsid w:val="00050859"/>
    <w:rsid w:val="00051119"/>
    <w:rsid w:val="000523FD"/>
    <w:rsid w:val="00054D5C"/>
    <w:rsid w:val="00066B11"/>
    <w:rsid w:val="000713B8"/>
    <w:rsid w:val="00073F51"/>
    <w:rsid w:val="00074C70"/>
    <w:rsid w:val="00075AB9"/>
    <w:rsid w:val="00080F59"/>
    <w:rsid w:val="000815DB"/>
    <w:rsid w:val="00083941"/>
    <w:rsid w:val="00087554"/>
    <w:rsid w:val="00095152"/>
    <w:rsid w:val="000A0B9E"/>
    <w:rsid w:val="000A267E"/>
    <w:rsid w:val="000A4508"/>
    <w:rsid w:val="000A7011"/>
    <w:rsid w:val="000B58AF"/>
    <w:rsid w:val="000B75B0"/>
    <w:rsid w:val="000C0883"/>
    <w:rsid w:val="000C28FD"/>
    <w:rsid w:val="000C561D"/>
    <w:rsid w:val="000D0FEB"/>
    <w:rsid w:val="000D32CF"/>
    <w:rsid w:val="000D4CE5"/>
    <w:rsid w:val="000E17CF"/>
    <w:rsid w:val="000E1E4B"/>
    <w:rsid w:val="000E3F57"/>
    <w:rsid w:val="000E47EC"/>
    <w:rsid w:val="000F224E"/>
    <w:rsid w:val="000F3A14"/>
    <w:rsid w:val="000F3B12"/>
    <w:rsid w:val="00111272"/>
    <w:rsid w:val="00111468"/>
    <w:rsid w:val="0012478B"/>
    <w:rsid w:val="00125265"/>
    <w:rsid w:val="00132FF3"/>
    <w:rsid w:val="00136CC1"/>
    <w:rsid w:val="001461EC"/>
    <w:rsid w:val="00146786"/>
    <w:rsid w:val="001470FA"/>
    <w:rsid w:val="00157035"/>
    <w:rsid w:val="00160D06"/>
    <w:rsid w:val="00161246"/>
    <w:rsid w:val="00167EF0"/>
    <w:rsid w:val="00173D2D"/>
    <w:rsid w:val="00173E80"/>
    <w:rsid w:val="001840C2"/>
    <w:rsid w:val="00186E99"/>
    <w:rsid w:val="00194515"/>
    <w:rsid w:val="001A3377"/>
    <w:rsid w:val="001A3B00"/>
    <w:rsid w:val="001B016F"/>
    <w:rsid w:val="001B6634"/>
    <w:rsid w:val="001C2EC8"/>
    <w:rsid w:val="001D2D5D"/>
    <w:rsid w:val="001D4DCF"/>
    <w:rsid w:val="001E4AB9"/>
    <w:rsid w:val="001F64CE"/>
    <w:rsid w:val="00200254"/>
    <w:rsid w:val="00202CE4"/>
    <w:rsid w:val="00203DB4"/>
    <w:rsid w:val="00203FC3"/>
    <w:rsid w:val="0021048C"/>
    <w:rsid w:val="00211658"/>
    <w:rsid w:val="0022217F"/>
    <w:rsid w:val="0023093F"/>
    <w:rsid w:val="00230D26"/>
    <w:rsid w:val="00231470"/>
    <w:rsid w:val="00231667"/>
    <w:rsid w:val="00232CD3"/>
    <w:rsid w:val="00251550"/>
    <w:rsid w:val="002549D9"/>
    <w:rsid w:val="00254DBC"/>
    <w:rsid w:val="00256EF2"/>
    <w:rsid w:val="00261D74"/>
    <w:rsid w:val="00271C42"/>
    <w:rsid w:val="00273B59"/>
    <w:rsid w:val="0028203B"/>
    <w:rsid w:val="00282A96"/>
    <w:rsid w:val="00286408"/>
    <w:rsid w:val="00291E24"/>
    <w:rsid w:val="00293034"/>
    <w:rsid w:val="0029379F"/>
    <w:rsid w:val="00295F33"/>
    <w:rsid w:val="00297DCD"/>
    <w:rsid w:val="002A1FE8"/>
    <w:rsid w:val="002A5786"/>
    <w:rsid w:val="002B4164"/>
    <w:rsid w:val="002B4CDD"/>
    <w:rsid w:val="002C05FD"/>
    <w:rsid w:val="002C304B"/>
    <w:rsid w:val="002C3BF8"/>
    <w:rsid w:val="002C6FEC"/>
    <w:rsid w:val="002D432B"/>
    <w:rsid w:val="002D652A"/>
    <w:rsid w:val="002E1BDC"/>
    <w:rsid w:val="002E5542"/>
    <w:rsid w:val="002F2379"/>
    <w:rsid w:val="002F3772"/>
    <w:rsid w:val="00305F79"/>
    <w:rsid w:val="00312602"/>
    <w:rsid w:val="00316E6D"/>
    <w:rsid w:val="00321149"/>
    <w:rsid w:val="00330D11"/>
    <w:rsid w:val="00330D8D"/>
    <w:rsid w:val="0033583F"/>
    <w:rsid w:val="00337719"/>
    <w:rsid w:val="0035652A"/>
    <w:rsid w:val="00366585"/>
    <w:rsid w:val="003713C0"/>
    <w:rsid w:val="003718C2"/>
    <w:rsid w:val="00371A03"/>
    <w:rsid w:val="00372739"/>
    <w:rsid w:val="00373BC5"/>
    <w:rsid w:val="003759B2"/>
    <w:rsid w:val="00385C0B"/>
    <w:rsid w:val="003875BD"/>
    <w:rsid w:val="003A136C"/>
    <w:rsid w:val="003A541B"/>
    <w:rsid w:val="003B39CB"/>
    <w:rsid w:val="003B3D34"/>
    <w:rsid w:val="003C44BE"/>
    <w:rsid w:val="003C4C32"/>
    <w:rsid w:val="003C5803"/>
    <w:rsid w:val="003C72EF"/>
    <w:rsid w:val="003D6DA3"/>
    <w:rsid w:val="003E3F18"/>
    <w:rsid w:val="003E425D"/>
    <w:rsid w:val="003F23D3"/>
    <w:rsid w:val="003F3F95"/>
    <w:rsid w:val="003F733B"/>
    <w:rsid w:val="0040454E"/>
    <w:rsid w:val="00407B1D"/>
    <w:rsid w:val="00410BB8"/>
    <w:rsid w:val="00412559"/>
    <w:rsid w:val="00413248"/>
    <w:rsid w:val="004136B5"/>
    <w:rsid w:val="00423A82"/>
    <w:rsid w:val="00425BF7"/>
    <w:rsid w:val="00430028"/>
    <w:rsid w:val="004329E7"/>
    <w:rsid w:val="00440DF3"/>
    <w:rsid w:val="00444961"/>
    <w:rsid w:val="00450FC0"/>
    <w:rsid w:val="00451AD8"/>
    <w:rsid w:val="004563FB"/>
    <w:rsid w:val="0046128B"/>
    <w:rsid w:val="0046290D"/>
    <w:rsid w:val="00462E3F"/>
    <w:rsid w:val="004638DF"/>
    <w:rsid w:val="00463984"/>
    <w:rsid w:val="00464B27"/>
    <w:rsid w:val="004672D0"/>
    <w:rsid w:val="00474AB8"/>
    <w:rsid w:val="00474E01"/>
    <w:rsid w:val="00476CB0"/>
    <w:rsid w:val="00477C38"/>
    <w:rsid w:val="00482CEF"/>
    <w:rsid w:val="004868B6"/>
    <w:rsid w:val="00491EA9"/>
    <w:rsid w:val="004945DF"/>
    <w:rsid w:val="0049549B"/>
    <w:rsid w:val="00497158"/>
    <w:rsid w:val="004A5C61"/>
    <w:rsid w:val="004A7D0B"/>
    <w:rsid w:val="004B2990"/>
    <w:rsid w:val="004C4B9E"/>
    <w:rsid w:val="004C5024"/>
    <w:rsid w:val="004D1FE5"/>
    <w:rsid w:val="004D2440"/>
    <w:rsid w:val="004D3292"/>
    <w:rsid w:val="004D6CAB"/>
    <w:rsid w:val="004E7112"/>
    <w:rsid w:val="004F0B98"/>
    <w:rsid w:val="004F2870"/>
    <w:rsid w:val="004F5411"/>
    <w:rsid w:val="00500612"/>
    <w:rsid w:val="005045F0"/>
    <w:rsid w:val="00507ACB"/>
    <w:rsid w:val="00513890"/>
    <w:rsid w:val="005229D6"/>
    <w:rsid w:val="005267E5"/>
    <w:rsid w:val="005272EC"/>
    <w:rsid w:val="005358FD"/>
    <w:rsid w:val="00546501"/>
    <w:rsid w:val="005552E8"/>
    <w:rsid w:val="00562769"/>
    <w:rsid w:val="00563879"/>
    <w:rsid w:val="00563FEF"/>
    <w:rsid w:val="00564102"/>
    <w:rsid w:val="00566326"/>
    <w:rsid w:val="0057185B"/>
    <w:rsid w:val="0057513E"/>
    <w:rsid w:val="00575B12"/>
    <w:rsid w:val="00584828"/>
    <w:rsid w:val="005948D8"/>
    <w:rsid w:val="00596E73"/>
    <w:rsid w:val="005A340D"/>
    <w:rsid w:val="005A4BAB"/>
    <w:rsid w:val="005A6152"/>
    <w:rsid w:val="005B0799"/>
    <w:rsid w:val="005B123B"/>
    <w:rsid w:val="005B207A"/>
    <w:rsid w:val="005B3A04"/>
    <w:rsid w:val="005B4432"/>
    <w:rsid w:val="005C3B42"/>
    <w:rsid w:val="005D147D"/>
    <w:rsid w:val="005D6F7F"/>
    <w:rsid w:val="005E2051"/>
    <w:rsid w:val="005E3BD1"/>
    <w:rsid w:val="005F118B"/>
    <w:rsid w:val="005F789B"/>
    <w:rsid w:val="00600B05"/>
    <w:rsid w:val="00601393"/>
    <w:rsid w:val="0060739C"/>
    <w:rsid w:val="00607468"/>
    <w:rsid w:val="00611CD2"/>
    <w:rsid w:val="00612481"/>
    <w:rsid w:val="00614559"/>
    <w:rsid w:val="00614D4B"/>
    <w:rsid w:val="006153CE"/>
    <w:rsid w:val="00631AB6"/>
    <w:rsid w:val="006332AC"/>
    <w:rsid w:val="0063350E"/>
    <w:rsid w:val="00633F31"/>
    <w:rsid w:val="006410B5"/>
    <w:rsid w:val="00646BCE"/>
    <w:rsid w:val="00651FF2"/>
    <w:rsid w:val="00653869"/>
    <w:rsid w:val="00654D89"/>
    <w:rsid w:val="00657DA4"/>
    <w:rsid w:val="00662E53"/>
    <w:rsid w:val="006654F3"/>
    <w:rsid w:val="006667A2"/>
    <w:rsid w:val="00675952"/>
    <w:rsid w:val="00685594"/>
    <w:rsid w:val="0068678D"/>
    <w:rsid w:val="00687DE1"/>
    <w:rsid w:val="0069691B"/>
    <w:rsid w:val="006A1587"/>
    <w:rsid w:val="006B6719"/>
    <w:rsid w:val="006C295E"/>
    <w:rsid w:val="006C5B86"/>
    <w:rsid w:val="006C5B89"/>
    <w:rsid w:val="006C6591"/>
    <w:rsid w:val="006D5C80"/>
    <w:rsid w:val="006E2C80"/>
    <w:rsid w:val="006E4511"/>
    <w:rsid w:val="006F04F1"/>
    <w:rsid w:val="006F1043"/>
    <w:rsid w:val="006F57AD"/>
    <w:rsid w:val="006F7C86"/>
    <w:rsid w:val="0070557F"/>
    <w:rsid w:val="00705703"/>
    <w:rsid w:val="00707388"/>
    <w:rsid w:val="00722347"/>
    <w:rsid w:val="007243BC"/>
    <w:rsid w:val="0072524E"/>
    <w:rsid w:val="00727695"/>
    <w:rsid w:val="00735396"/>
    <w:rsid w:val="0074157F"/>
    <w:rsid w:val="00745D73"/>
    <w:rsid w:val="00751EFB"/>
    <w:rsid w:val="0075230F"/>
    <w:rsid w:val="00752C7F"/>
    <w:rsid w:val="00754048"/>
    <w:rsid w:val="00762D89"/>
    <w:rsid w:val="007668AC"/>
    <w:rsid w:val="007745D8"/>
    <w:rsid w:val="00774D13"/>
    <w:rsid w:val="00780167"/>
    <w:rsid w:val="00781B98"/>
    <w:rsid w:val="007833FE"/>
    <w:rsid w:val="007840BF"/>
    <w:rsid w:val="0079147D"/>
    <w:rsid w:val="007943B2"/>
    <w:rsid w:val="00794A3D"/>
    <w:rsid w:val="00794BD4"/>
    <w:rsid w:val="007B0953"/>
    <w:rsid w:val="007B0BE1"/>
    <w:rsid w:val="007C143D"/>
    <w:rsid w:val="007C30D6"/>
    <w:rsid w:val="007C5918"/>
    <w:rsid w:val="007C6B15"/>
    <w:rsid w:val="007C7DFF"/>
    <w:rsid w:val="007D5C37"/>
    <w:rsid w:val="007E2990"/>
    <w:rsid w:val="007F3AB7"/>
    <w:rsid w:val="007F52FD"/>
    <w:rsid w:val="007F56D3"/>
    <w:rsid w:val="007F7B0C"/>
    <w:rsid w:val="00803C67"/>
    <w:rsid w:val="00804A11"/>
    <w:rsid w:val="008055E8"/>
    <w:rsid w:val="00810B48"/>
    <w:rsid w:val="008123A7"/>
    <w:rsid w:val="0082497B"/>
    <w:rsid w:val="008249CA"/>
    <w:rsid w:val="00825407"/>
    <w:rsid w:val="0083164B"/>
    <w:rsid w:val="00834B09"/>
    <w:rsid w:val="00835784"/>
    <w:rsid w:val="008366CF"/>
    <w:rsid w:val="00843C78"/>
    <w:rsid w:val="00847812"/>
    <w:rsid w:val="00852A81"/>
    <w:rsid w:val="00853FDC"/>
    <w:rsid w:val="00862ACF"/>
    <w:rsid w:val="008761C2"/>
    <w:rsid w:val="00876B46"/>
    <w:rsid w:val="00877BA3"/>
    <w:rsid w:val="00881B63"/>
    <w:rsid w:val="00882550"/>
    <w:rsid w:val="008829EE"/>
    <w:rsid w:val="00884FFD"/>
    <w:rsid w:val="00891407"/>
    <w:rsid w:val="00892417"/>
    <w:rsid w:val="008928BC"/>
    <w:rsid w:val="008964A4"/>
    <w:rsid w:val="00896F2E"/>
    <w:rsid w:val="008A429B"/>
    <w:rsid w:val="008A7646"/>
    <w:rsid w:val="008B07CD"/>
    <w:rsid w:val="008B19B3"/>
    <w:rsid w:val="008B2B8A"/>
    <w:rsid w:val="008B3DCC"/>
    <w:rsid w:val="008B50BA"/>
    <w:rsid w:val="008B52F4"/>
    <w:rsid w:val="008C01F5"/>
    <w:rsid w:val="008C095C"/>
    <w:rsid w:val="008D16F1"/>
    <w:rsid w:val="008D753C"/>
    <w:rsid w:val="008E1B82"/>
    <w:rsid w:val="008E4243"/>
    <w:rsid w:val="008F29AE"/>
    <w:rsid w:val="008F4429"/>
    <w:rsid w:val="00903A34"/>
    <w:rsid w:val="00904C9B"/>
    <w:rsid w:val="009054E9"/>
    <w:rsid w:val="00907075"/>
    <w:rsid w:val="00912D93"/>
    <w:rsid w:val="00916C44"/>
    <w:rsid w:val="00922629"/>
    <w:rsid w:val="00922878"/>
    <w:rsid w:val="00927ED7"/>
    <w:rsid w:val="00927FF7"/>
    <w:rsid w:val="0093198B"/>
    <w:rsid w:val="00932844"/>
    <w:rsid w:val="0093373A"/>
    <w:rsid w:val="009339F1"/>
    <w:rsid w:val="009340F3"/>
    <w:rsid w:val="0094248E"/>
    <w:rsid w:val="00945B13"/>
    <w:rsid w:val="00950038"/>
    <w:rsid w:val="00951C2D"/>
    <w:rsid w:val="009544C4"/>
    <w:rsid w:val="00957633"/>
    <w:rsid w:val="00960DA5"/>
    <w:rsid w:val="009631BC"/>
    <w:rsid w:val="00966FAE"/>
    <w:rsid w:val="00972870"/>
    <w:rsid w:val="00973DD7"/>
    <w:rsid w:val="00980CE5"/>
    <w:rsid w:val="00983F87"/>
    <w:rsid w:val="009851AA"/>
    <w:rsid w:val="009865C8"/>
    <w:rsid w:val="009878C1"/>
    <w:rsid w:val="009879AC"/>
    <w:rsid w:val="00990B46"/>
    <w:rsid w:val="009932E4"/>
    <w:rsid w:val="009A2B1E"/>
    <w:rsid w:val="009B5291"/>
    <w:rsid w:val="009B5C1D"/>
    <w:rsid w:val="009B73A5"/>
    <w:rsid w:val="009C39F9"/>
    <w:rsid w:val="009C3AD3"/>
    <w:rsid w:val="009C5A01"/>
    <w:rsid w:val="009D2AA5"/>
    <w:rsid w:val="009D2B56"/>
    <w:rsid w:val="009D35E9"/>
    <w:rsid w:val="009D4BD5"/>
    <w:rsid w:val="009D5807"/>
    <w:rsid w:val="009E30F4"/>
    <w:rsid w:val="009E5A43"/>
    <w:rsid w:val="009E7543"/>
    <w:rsid w:val="009F00F2"/>
    <w:rsid w:val="009F105E"/>
    <w:rsid w:val="009F19B2"/>
    <w:rsid w:val="009F3A48"/>
    <w:rsid w:val="00A00AA8"/>
    <w:rsid w:val="00A03E88"/>
    <w:rsid w:val="00A140C7"/>
    <w:rsid w:val="00A2307D"/>
    <w:rsid w:val="00A234D9"/>
    <w:rsid w:val="00A23CBB"/>
    <w:rsid w:val="00A24F4F"/>
    <w:rsid w:val="00A26C84"/>
    <w:rsid w:val="00A447FE"/>
    <w:rsid w:val="00A470A9"/>
    <w:rsid w:val="00A476D3"/>
    <w:rsid w:val="00A47947"/>
    <w:rsid w:val="00A619B8"/>
    <w:rsid w:val="00A61A7C"/>
    <w:rsid w:val="00A62E21"/>
    <w:rsid w:val="00A64F36"/>
    <w:rsid w:val="00A71586"/>
    <w:rsid w:val="00A7522E"/>
    <w:rsid w:val="00A760E9"/>
    <w:rsid w:val="00A77634"/>
    <w:rsid w:val="00A9590F"/>
    <w:rsid w:val="00A9693F"/>
    <w:rsid w:val="00AA169F"/>
    <w:rsid w:val="00AA2C16"/>
    <w:rsid w:val="00AB15FA"/>
    <w:rsid w:val="00AC2191"/>
    <w:rsid w:val="00AC2E5C"/>
    <w:rsid w:val="00AC35C1"/>
    <w:rsid w:val="00AC77F9"/>
    <w:rsid w:val="00AD185F"/>
    <w:rsid w:val="00AD4E62"/>
    <w:rsid w:val="00AE0EC8"/>
    <w:rsid w:val="00AE2D2C"/>
    <w:rsid w:val="00AE5F6E"/>
    <w:rsid w:val="00AF01A9"/>
    <w:rsid w:val="00B07D66"/>
    <w:rsid w:val="00B1705D"/>
    <w:rsid w:val="00B247F5"/>
    <w:rsid w:val="00B2585A"/>
    <w:rsid w:val="00B26D76"/>
    <w:rsid w:val="00B2762C"/>
    <w:rsid w:val="00B31E07"/>
    <w:rsid w:val="00B33E56"/>
    <w:rsid w:val="00B34924"/>
    <w:rsid w:val="00B34B1F"/>
    <w:rsid w:val="00B3547D"/>
    <w:rsid w:val="00B405B8"/>
    <w:rsid w:val="00B41511"/>
    <w:rsid w:val="00B429CC"/>
    <w:rsid w:val="00B4495A"/>
    <w:rsid w:val="00B51349"/>
    <w:rsid w:val="00B51868"/>
    <w:rsid w:val="00B53072"/>
    <w:rsid w:val="00B55988"/>
    <w:rsid w:val="00B56258"/>
    <w:rsid w:val="00B56EAE"/>
    <w:rsid w:val="00B70F72"/>
    <w:rsid w:val="00B77055"/>
    <w:rsid w:val="00B808AD"/>
    <w:rsid w:val="00B87694"/>
    <w:rsid w:val="00B9162D"/>
    <w:rsid w:val="00B916E1"/>
    <w:rsid w:val="00B92CC7"/>
    <w:rsid w:val="00B92D0A"/>
    <w:rsid w:val="00B96A09"/>
    <w:rsid w:val="00B97626"/>
    <w:rsid w:val="00BA0062"/>
    <w:rsid w:val="00BA0357"/>
    <w:rsid w:val="00BA1629"/>
    <w:rsid w:val="00BA2979"/>
    <w:rsid w:val="00BA4E91"/>
    <w:rsid w:val="00BA5D35"/>
    <w:rsid w:val="00BA7E8D"/>
    <w:rsid w:val="00BB4074"/>
    <w:rsid w:val="00BB5688"/>
    <w:rsid w:val="00BC14CE"/>
    <w:rsid w:val="00BC47B4"/>
    <w:rsid w:val="00BC5B12"/>
    <w:rsid w:val="00BC7D7A"/>
    <w:rsid w:val="00BD4AD6"/>
    <w:rsid w:val="00BE26FC"/>
    <w:rsid w:val="00BE4A32"/>
    <w:rsid w:val="00C001E9"/>
    <w:rsid w:val="00C0219F"/>
    <w:rsid w:val="00C022B7"/>
    <w:rsid w:val="00C07BF4"/>
    <w:rsid w:val="00C12687"/>
    <w:rsid w:val="00C1692D"/>
    <w:rsid w:val="00C20F21"/>
    <w:rsid w:val="00C21ABF"/>
    <w:rsid w:val="00C2348E"/>
    <w:rsid w:val="00C25ADA"/>
    <w:rsid w:val="00C269B5"/>
    <w:rsid w:val="00C26C9D"/>
    <w:rsid w:val="00C321DD"/>
    <w:rsid w:val="00C328F0"/>
    <w:rsid w:val="00C36F3B"/>
    <w:rsid w:val="00C370B7"/>
    <w:rsid w:val="00C379B9"/>
    <w:rsid w:val="00C429C7"/>
    <w:rsid w:val="00C43A8B"/>
    <w:rsid w:val="00C619CB"/>
    <w:rsid w:val="00C63B21"/>
    <w:rsid w:val="00C734B8"/>
    <w:rsid w:val="00C73822"/>
    <w:rsid w:val="00C753FF"/>
    <w:rsid w:val="00C826B0"/>
    <w:rsid w:val="00C84473"/>
    <w:rsid w:val="00C8466A"/>
    <w:rsid w:val="00CB4370"/>
    <w:rsid w:val="00CB470F"/>
    <w:rsid w:val="00CB5099"/>
    <w:rsid w:val="00CC6A9F"/>
    <w:rsid w:val="00CC7649"/>
    <w:rsid w:val="00CC789D"/>
    <w:rsid w:val="00CD0027"/>
    <w:rsid w:val="00CD0A28"/>
    <w:rsid w:val="00CD409B"/>
    <w:rsid w:val="00CE0435"/>
    <w:rsid w:val="00CE20C0"/>
    <w:rsid w:val="00CE2AED"/>
    <w:rsid w:val="00CE7D92"/>
    <w:rsid w:val="00CF1079"/>
    <w:rsid w:val="00CF2FD7"/>
    <w:rsid w:val="00CF426B"/>
    <w:rsid w:val="00CF61A5"/>
    <w:rsid w:val="00D0083E"/>
    <w:rsid w:val="00D04A6B"/>
    <w:rsid w:val="00D0546A"/>
    <w:rsid w:val="00D06291"/>
    <w:rsid w:val="00D062E8"/>
    <w:rsid w:val="00D06BDF"/>
    <w:rsid w:val="00D14EFB"/>
    <w:rsid w:val="00D17E84"/>
    <w:rsid w:val="00D2167D"/>
    <w:rsid w:val="00D227D8"/>
    <w:rsid w:val="00D27184"/>
    <w:rsid w:val="00D3200B"/>
    <w:rsid w:val="00D35C66"/>
    <w:rsid w:val="00D360DC"/>
    <w:rsid w:val="00D362AD"/>
    <w:rsid w:val="00D407D7"/>
    <w:rsid w:val="00D435CB"/>
    <w:rsid w:val="00D506EF"/>
    <w:rsid w:val="00D544BC"/>
    <w:rsid w:val="00D62A61"/>
    <w:rsid w:val="00D63F70"/>
    <w:rsid w:val="00D64256"/>
    <w:rsid w:val="00D64C52"/>
    <w:rsid w:val="00D71A9E"/>
    <w:rsid w:val="00D72E14"/>
    <w:rsid w:val="00D737C8"/>
    <w:rsid w:val="00D74957"/>
    <w:rsid w:val="00D76DBF"/>
    <w:rsid w:val="00D80A78"/>
    <w:rsid w:val="00D80EF1"/>
    <w:rsid w:val="00D84C42"/>
    <w:rsid w:val="00D8542B"/>
    <w:rsid w:val="00D85E9F"/>
    <w:rsid w:val="00D922FB"/>
    <w:rsid w:val="00D93A4C"/>
    <w:rsid w:val="00D94F3B"/>
    <w:rsid w:val="00D959C1"/>
    <w:rsid w:val="00D95D07"/>
    <w:rsid w:val="00DA511F"/>
    <w:rsid w:val="00DA6DE7"/>
    <w:rsid w:val="00DB4A1D"/>
    <w:rsid w:val="00DB78A8"/>
    <w:rsid w:val="00DC0E80"/>
    <w:rsid w:val="00DC13B7"/>
    <w:rsid w:val="00DD5E84"/>
    <w:rsid w:val="00DE0CB0"/>
    <w:rsid w:val="00DF3C11"/>
    <w:rsid w:val="00DF58F1"/>
    <w:rsid w:val="00E038E0"/>
    <w:rsid w:val="00E05797"/>
    <w:rsid w:val="00E12CCF"/>
    <w:rsid w:val="00E148D4"/>
    <w:rsid w:val="00E15157"/>
    <w:rsid w:val="00E17444"/>
    <w:rsid w:val="00E2256D"/>
    <w:rsid w:val="00E225E4"/>
    <w:rsid w:val="00E30D27"/>
    <w:rsid w:val="00E34DE2"/>
    <w:rsid w:val="00E34EB8"/>
    <w:rsid w:val="00E512E5"/>
    <w:rsid w:val="00E52508"/>
    <w:rsid w:val="00E56C86"/>
    <w:rsid w:val="00E64489"/>
    <w:rsid w:val="00E704BA"/>
    <w:rsid w:val="00E74E8F"/>
    <w:rsid w:val="00E77D7A"/>
    <w:rsid w:val="00E82472"/>
    <w:rsid w:val="00E83A48"/>
    <w:rsid w:val="00E84611"/>
    <w:rsid w:val="00E85417"/>
    <w:rsid w:val="00E90EFC"/>
    <w:rsid w:val="00E94277"/>
    <w:rsid w:val="00E972A2"/>
    <w:rsid w:val="00EA5CDF"/>
    <w:rsid w:val="00EC0767"/>
    <w:rsid w:val="00EC6D28"/>
    <w:rsid w:val="00ED7033"/>
    <w:rsid w:val="00EE1226"/>
    <w:rsid w:val="00EE1912"/>
    <w:rsid w:val="00F01934"/>
    <w:rsid w:val="00F061F6"/>
    <w:rsid w:val="00F06F67"/>
    <w:rsid w:val="00F110D0"/>
    <w:rsid w:val="00F113AB"/>
    <w:rsid w:val="00F11F29"/>
    <w:rsid w:val="00F22971"/>
    <w:rsid w:val="00F25F6D"/>
    <w:rsid w:val="00F26A71"/>
    <w:rsid w:val="00F2713A"/>
    <w:rsid w:val="00F273B7"/>
    <w:rsid w:val="00F32434"/>
    <w:rsid w:val="00F41690"/>
    <w:rsid w:val="00F42D6E"/>
    <w:rsid w:val="00F4373B"/>
    <w:rsid w:val="00F44D65"/>
    <w:rsid w:val="00F450E9"/>
    <w:rsid w:val="00F470A6"/>
    <w:rsid w:val="00F47B4F"/>
    <w:rsid w:val="00F47E2B"/>
    <w:rsid w:val="00F53EB2"/>
    <w:rsid w:val="00F61049"/>
    <w:rsid w:val="00F61724"/>
    <w:rsid w:val="00F64996"/>
    <w:rsid w:val="00F722CF"/>
    <w:rsid w:val="00F72ACD"/>
    <w:rsid w:val="00F75EB5"/>
    <w:rsid w:val="00F86877"/>
    <w:rsid w:val="00F879BB"/>
    <w:rsid w:val="00F91EA5"/>
    <w:rsid w:val="00FA0191"/>
    <w:rsid w:val="00FA2277"/>
    <w:rsid w:val="00FA374C"/>
    <w:rsid w:val="00FA386E"/>
    <w:rsid w:val="00FA5F7D"/>
    <w:rsid w:val="00FA6EB7"/>
    <w:rsid w:val="00FB2AFB"/>
    <w:rsid w:val="00FB633C"/>
    <w:rsid w:val="00FC1444"/>
    <w:rsid w:val="00FC587A"/>
    <w:rsid w:val="00FD0569"/>
    <w:rsid w:val="00FF041D"/>
    <w:rsid w:val="00FF4788"/>
    <w:rsid w:val="00FF53EE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149"/>
    <w:rPr>
      <w:lang w:val="en-GB" w:eastAsia="en-US"/>
    </w:rPr>
  </w:style>
  <w:style w:type="paragraph" w:styleId="Heading1">
    <w:name w:val="heading 1"/>
    <w:basedOn w:val="Normal"/>
    <w:next w:val="Normal"/>
    <w:qFormat/>
    <w:rsid w:val="00810B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11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119"/>
  </w:style>
  <w:style w:type="table" w:styleId="TableGrid">
    <w:name w:val="Table Grid"/>
    <w:basedOn w:val="TableNormal"/>
    <w:rsid w:val="00D8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549D9"/>
    <w:rPr>
      <w:color w:val="606420"/>
      <w:u w:val="single"/>
    </w:rPr>
  </w:style>
  <w:style w:type="paragraph" w:styleId="Header">
    <w:name w:val="header"/>
    <w:basedOn w:val="Normal"/>
    <w:rsid w:val="004868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9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1149"/>
    <w:rPr>
      <w:lang w:val="en-GB" w:eastAsia="en-US"/>
    </w:rPr>
  </w:style>
  <w:style w:type="paragraph" w:styleId="Heading1">
    <w:name w:val="heading 1"/>
    <w:basedOn w:val="Normal"/>
    <w:next w:val="Normal"/>
    <w:qFormat/>
    <w:rsid w:val="00810B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111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1119"/>
  </w:style>
  <w:style w:type="table" w:styleId="TableGrid">
    <w:name w:val="Table Grid"/>
    <w:basedOn w:val="TableNormal"/>
    <w:rsid w:val="00D84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2549D9"/>
    <w:rPr>
      <w:color w:val="606420"/>
      <w:u w:val="single"/>
    </w:rPr>
  </w:style>
  <w:style w:type="paragraph" w:styleId="Header">
    <w:name w:val="header"/>
    <w:basedOn w:val="Normal"/>
    <w:rsid w:val="004868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A42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429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52EED380-37B3-454B-93D4-98B982A37F5A}"/>
</file>

<file path=customXml/itemProps2.xml><?xml version="1.0" encoding="utf-8"?>
<ds:datastoreItem xmlns:ds="http://schemas.openxmlformats.org/officeDocument/2006/customXml" ds:itemID="{77E764BC-659F-44B2-AF4F-AB79E824EA69}"/>
</file>

<file path=customXml/itemProps3.xml><?xml version="1.0" encoding="utf-8"?>
<ds:datastoreItem xmlns:ds="http://schemas.openxmlformats.org/officeDocument/2006/customXml" ds:itemID="{A561C10D-C606-45E7-A9F8-C5164D6578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4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Certificate Of Applied Learning</vt:lpstr>
    </vt:vector>
  </TitlesOfParts>
  <Company>Victorian Curriculum and Assessment Authority (VCAA)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Certificate Of Applied Learning</dc:title>
  <dc:subject>VCAL Participation and Completion 2016</dc:subject>
  <dc:creator>Victorian Curriculum and Assessment Authority (VCAA)</dc:creator>
  <cp:keywords>VCAL; Victorian Certificate Of Applied Learning;enrolments;level;Foundation;Intermediate;Senior;title;gender;unit;results;completions;eligible to complete;satisfactorily;credit;units of competence;female;male;completion rate;Senior Extension;</cp:keywords>
  <cp:lastModifiedBy>Bui, Joe Q</cp:lastModifiedBy>
  <cp:revision>94</cp:revision>
  <cp:lastPrinted>2013-01-24T23:28:00Z</cp:lastPrinted>
  <dcterms:created xsi:type="dcterms:W3CDTF">2012-01-18T01:10:00Z</dcterms:created>
  <dcterms:modified xsi:type="dcterms:W3CDTF">2017-02-15T04:14:00Z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</Properties>
</file>