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bookmarkStart w:id="0" w:name="_GoBack"/>
      <w:bookmarkEnd w:id="0"/>
      <w:r w:rsidRPr="00D91EFE">
        <w:rPr>
          <w:sz w:val="40"/>
          <w:szCs w:val="40"/>
        </w:rPr>
        <w:t xml:space="preserve">VCE </w:t>
      </w:r>
      <w:r w:rsidR="00AB7C2B">
        <w:rPr>
          <w:sz w:val="40"/>
          <w:szCs w:val="40"/>
        </w:rPr>
        <w:t>Agricultural and Horticultural Studies p</w:t>
      </w:r>
      <w:r w:rsidRPr="00D91EFE">
        <w:rPr>
          <w:sz w:val="40"/>
          <w:szCs w:val="40"/>
        </w:rPr>
        <w:t xml:space="preserve">erformance </w:t>
      </w:r>
      <w:r w:rsidR="00AB7C2B">
        <w:rPr>
          <w:sz w:val="40"/>
          <w:szCs w:val="40"/>
        </w:rPr>
        <w:t>d</w:t>
      </w:r>
      <w:r w:rsidRPr="00D91EFE">
        <w:rPr>
          <w:sz w:val="40"/>
          <w:szCs w:val="40"/>
        </w:rPr>
        <w:t>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0072A5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 w:rsidRPr="005C11A9"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VCE AGRICULTURAL AND HORTICULTURAL STUDIES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0072A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 xml:space="preserve">Performance </w:t>
            </w:r>
            <w:r w:rsidR="000072A5">
              <w:rPr>
                <w:rFonts w:ascii="Arial Narrow" w:eastAsia="Calibri" w:hAnsi="Arial Narrow" w:cs="Cordia New"/>
                <w:b/>
                <w:sz w:val="20"/>
                <w:szCs w:val="20"/>
              </w:rPr>
              <w:t>d</w:t>
            </w: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C3D7A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7C3D7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 w:rsidR="000072A5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3</w:t>
            </w:r>
          </w:p>
          <w:p w:rsidR="00EC42E9" w:rsidRPr="007C3D7A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7C3D7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 w:rsidR="00477B20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2</w:t>
            </w:r>
          </w:p>
          <w:p w:rsidR="00EC42E9" w:rsidRPr="007C3D7A" w:rsidRDefault="00111822" w:rsidP="007C3D7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I</w:t>
            </w:r>
            <w:r w:rsidR="00BA13BA" w:rsidRPr="00100109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 xml:space="preserve">dentify </w:t>
            </w:r>
            <w:r w:rsidR="00BA13BA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 xml:space="preserve">and describe </w:t>
            </w:r>
            <w:r w:rsidR="00BA13BA" w:rsidRPr="00100109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 xml:space="preserve">pests, diseases </w:t>
            </w:r>
            <w:r w:rsidR="00BA13BA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 xml:space="preserve">and weeds </w:t>
            </w:r>
            <w:r w:rsidR="00BA13BA" w:rsidRPr="00100109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 xml:space="preserve">of concern to Victorian food and </w:t>
            </w:r>
            <w:proofErr w:type="spellStart"/>
            <w:r w:rsidR="00BA13BA" w:rsidRPr="00100109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fib</w:t>
            </w:r>
            <w:r w:rsidR="00BA13BA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re</w:t>
            </w:r>
            <w:proofErr w:type="spellEnd"/>
            <w:r w:rsidR="00BA13BA" w:rsidRPr="00100109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 xml:space="preserve"> industries, describe princip</w:t>
            </w:r>
            <w:r w:rsidR="00BA13BA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les</w:t>
            </w:r>
            <w:r w:rsidR="00BA13BA" w:rsidRPr="00100109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 xml:space="preserve"> of integrated pest and weed management, </w:t>
            </w:r>
            <w:proofErr w:type="spellStart"/>
            <w:r w:rsidR="00BA13BA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analyse</w:t>
            </w:r>
            <w:proofErr w:type="spellEnd"/>
            <w:r w:rsidR="00BA13BA" w:rsidRPr="00100109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 xml:space="preserve"> the problem of biological resistance and </w:t>
            </w:r>
            <w:r w:rsidR="00BA13BA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discuss the role</w:t>
            </w:r>
            <w:r w:rsidR="00BA13BA" w:rsidRPr="00100109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 xml:space="preserve"> of biosecurity.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BA13BA" w:rsidTr="00D91EFE">
        <w:tc>
          <w:tcPr>
            <w:tcW w:w="2543" w:type="dxa"/>
            <w:vMerge/>
            <w:vAlign w:val="center"/>
          </w:tcPr>
          <w:p w:rsidR="00BA13BA" w:rsidRDefault="00BA13BA" w:rsidP="00BA13BA"/>
        </w:tc>
        <w:tc>
          <w:tcPr>
            <w:tcW w:w="2551" w:type="dxa"/>
          </w:tcPr>
          <w:p w:rsidR="00BA13BA" w:rsidRPr="006713FC" w:rsidRDefault="00BA13BA" w:rsidP="00BA13BA">
            <w:pPr>
              <w:spacing w:before="120"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Limited</w:t>
            </w: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identification</w:t>
            </w: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of pests, weeds and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/or</w:t>
            </w: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diseases of concern to Victorian food and </w:t>
            </w:r>
            <w:proofErr w:type="spellStart"/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>fibre</w:t>
            </w:r>
            <w:proofErr w:type="spellEnd"/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industries </w:t>
            </w:r>
          </w:p>
        </w:tc>
        <w:tc>
          <w:tcPr>
            <w:tcW w:w="2559" w:type="dxa"/>
          </w:tcPr>
          <w:p w:rsidR="00BA13BA" w:rsidRPr="006713FC" w:rsidRDefault="00BA13BA" w:rsidP="00BA13BA">
            <w:pPr>
              <w:spacing w:before="120" w:after="120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Identification</w:t>
            </w: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of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some </w:t>
            </w: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pests, weeds and diseases of concern to Victorian food and </w:t>
            </w:r>
            <w:proofErr w:type="spellStart"/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>fibre</w:t>
            </w:r>
            <w:proofErr w:type="spellEnd"/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industries</w:t>
            </w:r>
          </w:p>
        </w:tc>
        <w:tc>
          <w:tcPr>
            <w:tcW w:w="2551" w:type="dxa"/>
          </w:tcPr>
          <w:p w:rsidR="00BA13BA" w:rsidRPr="006713FC" w:rsidRDefault="00BA13BA" w:rsidP="00BA13BA">
            <w:pPr>
              <w:spacing w:before="120" w:after="120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Satisfactory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identification</w:t>
            </w: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of pests, weeds and diseases of concern to Victorian food and </w:t>
            </w:r>
            <w:proofErr w:type="spellStart"/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>fibre</w:t>
            </w:r>
            <w:proofErr w:type="spellEnd"/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industries</w:t>
            </w:r>
          </w:p>
        </w:tc>
        <w:tc>
          <w:tcPr>
            <w:tcW w:w="2608" w:type="dxa"/>
          </w:tcPr>
          <w:p w:rsidR="00BA13BA" w:rsidRPr="006713FC" w:rsidRDefault="00BA13BA" w:rsidP="00BA13BA">
            <w:pPr>
              <w:spacing w:before="120" w:after="120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Accurate</w:t>
            </w: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identification</w:t>
            </w: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of pests, weeds and diseases of concern to Victorian food and </w:t>
            </w:r>
            <w:proofErr w:type="spellStart"/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>fibre</w:t>
            </w:r>
            <w:proofErr w:type="spellEnd"/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industries</w:t>
            </w:r>
          </w:p>
        </w:tc>
        <w:tc>
          <w:tcPr>
            <w:tcW w:w="2567" w:type="dxa"/>
          </w:tcPr>
          <w:p w:rsidR="00BA13BA" w:rsidRPr="006713FC" w:rsidRDefault="00BA13BA" w:rsidP="00BA13BA">
            <w:pPr>
              <w:spacing w:before="120" w:after="120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Accurate and comprehensive</w:t>
            </w: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identification</w:t>
            </w: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of pests, weeds and diseases of concern to Victorian food and </w:t>
            </w:r>
            <w:proofErr w:type="spellStart"/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>fibre</w:t>
            </w:r>
            <w:proofErr w:type="spellEnd"/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industries</w:t>
            </w:r>
          </w:p>
        </w:tc>
      </w:tr>
      <w:tr w:rsidR="00BA13BA" w:rsidTr="00D91EFE">
        <w:tc>
          <w:tcPr>
            <w:tcW w:w="2543" w:type="dxa"/>
            <w:vMerge/>
          </w:tcPr>
          <w:p w:rsidR="00BA13BA" w:rsidRDefault="00BA13BA" w:rsidP="00BA13BA"/>
        </w:tc>
        <w:tc>
          <w:tcPr>
            <w:tcW w:w="2551" w:type="dxa"/>
          </w:tcPr>
          <w:p w:rsidR="00BA13BA" w:rsidRPr="006713FC" w:rsidRDefault="00BA13BA" w:rsidP="00BA13BA">
            <w:pPr>
              <w:spacing w:before="12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Limited</w:t>
            </w: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description of the princip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les</w:t>
            </w: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of integrated pest and weed management with little reference to an integrate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d pest and weed management plan</w:t>
            </w:r>
          </w:p>
        </w:tc>
        <w:tc>
          <w:tcPr>
            <w:tcW w:w="2559" w:type="dxa"/>
          </w:tcPr>
          <w:p w:rsidR="00BA13BA" w:rsidRPr="006713FC" w:rsidRDefault="00BA13BA" w:rsidP="00BA13BA">
            <w:pPr>
              <w:spacing w:before="12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Some description</w:t>
            </w: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of the princip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les</w:t>
            </w: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of integrated pest and weed management with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some</w:t>
            </w: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reference to an integrate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d pest and weed management plan</w:t>
            </w:r>
          </w:p>
        </w:tc>
        <w:tc>
          <w:tcPr>
            <w:tcW w:w="2551" w:type="dxa"/>
          </w:tcPr>
          <w:p w:rsidR="00BA13BA" w:rsidRPr="006713FC" w:rsidRDefault="00BA13BA" w:rsidP="00BA13BA">
            <w:pPr>
              <w:spacing w:before="12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Satisfactory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description</w:t>
            </w: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of the princip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les</w:t>
            </w: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of integrated pest and weed management with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adequate</w:t>
            </w: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reference to an integrated pest and weed management plan.</w:t>
            </w:r>
          </w:p>
        </w:tc>
        <w:tc>
          <w:tcPr>
            <w:tcW w:w="2608" w:type="dxa"/>
          </w:tcPr>
          <w:p w:rsidR="00BA13BA" w:rsidRPr="006713FC" w:rsidRDefault="00BA13BA" w:rsidP="00BA13BA">
            <w:pPr>
              <w:spacing w:before="12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Careful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description</w:t>
            </w: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of the princip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les</w:t>
            </w: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of integrated pest and weed management with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detailed</w:t>
            </w: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reference to an integrate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d pest and weed management plan</w:t>
            </w:r>
          </w:p>
        </w:tc>
        <w:tc>
          <w:tcPr>
            <w:tcW w:w="2567" w:type="dxa"/>
          </w:tcPr>
          <w:p w:rsidR="00BA13BA" w:rsidRPr="006713FC" w:rsidRDefault="00BA13BA" w:rsidP="00BA13BA">
            <w:pPr>
              <w:spacing w:before="12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Thorough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description</w:t>
            </w: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of the princip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les</w:t>
            </w: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of integrated pest and weed management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and a comprehensive</w:t>
            </w: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integrate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d pest and weed management plan</w:t>
            </w:r>
          </w:p>
        </w:tc>
      </w:tr>
      <w:tr w:rsidR="00BA13BA" w:rsidTr="008E619B">
        <w:trPr>
          <w:trHeight w:val="397"/>
        </w:trPr>
        <w:tc>
          <w:tcPr>
            <w:tcW w:w="2543" w:type="dxa"/>
            <w:vMerge/>
          </w:tcPr>
          <w:p w:rsidR="00BA13BA" w:rsidRDefault="00BA13BA" w:rsidP="00BA13BA"/>
        </w:tc>
        <w:tc>
          <w:tcPr>
            <w:tcW w:w="2551" w:type="dxa"/>
          </w:tcPr>
          <w:p w:rsidR="00BA13BA" w:rsidRPr="006713FC" w:rsidRDefault="00BA13BA" w:rsidP="00BA13BA">
            <w:pPr>
              <w:spacing w:before="12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Limited understanding</w:t>
            </w: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of the p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roblem of biological resistances, with no reference to causes or redress</w:t>
            </w:r>
          </w:p>
        </w:tc>
        <w:tc>
          <w:tcPr>
            <w:tcW w:w="2559" w:type="dxa"/>
          </w:tcPr>
          <w:p w:rsidR="00BA13BA" w:rsidRPr="006713FC" w:rsidRDefault="00BA13BA" w:rsidP="00BA13BA">
            <w:pPr>
              <w:spacing w:before="12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Some understanding</w:t>
            </w: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of the p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roblem of biological resistances, with some reference to causes and redress</w:t>
            </w:r>
          </w:p>
        </w:tc>
        <w:tc>
          <w:tcPr>
            <w:tcW w:w="2551" w:type="dxa"/>
          </w:tcPr>
          <w:p w:rsidR="00BA13BA" w:rsidRPr="006713FC" w:rsidRDefault="00BA13BA" w:rsidP="00BA13BA">
            <w:pPr>
              <w:spacing w:before="12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Appropriate synthesis of evidence with some analysis of the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causes of biological resistances and strategies to address it</w:t>
            </w:r>
          </w:p>
        </w:tc>
        <w:tc>
          <w:tcPr>
            <w:tcW w:w="2608" w:type="dxa"/>
          </w:tcPr>
          <w:p w:rsidR="00BA13BA" w:rsidRPr="006713FC" w:rsidRDefault="00BA13BA" w:rsidP="00BA13BA">
            <w:pPr>
              <w:spacing w:before="12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Detailed synthesis and clear analysis of evidence of the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causes of biological resistances and strategies to address it</w:t>
            </w:r>
          </w:p>
        </w:tc>
        <w:tc>
          <w:tcPr>
            <w:tcW w:w="2567" w:type="dxa"/>
          </w:tcPr>
          <w:p w:rsidR="00BA13BA" w:rsidRPr="006713FC" w:rsidRDefault="00BA13BA" w:rsidP="00BA13BA">
            <w:pPr>
              <w:spacing w:before="12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Critical synthesis and sophisticated analysis of evidence of the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causes of biological resistances and strategies to address it</w:t>
            </w:r>
          </w:p>
        </w:tc>
      </w:tr>
      <w:tr w:rsidR="00BA13BA" w:rsidTr="00D91EFE">
        <w:tc>
          <w:tcPr>
            <w:tcW w:w="2543" w:type="dxa"/>
            <w:vMerge/>
          </w:tcPr>
          <w:p w:rsidR="00BA13BA" w:rsidRDefault="00BA13BA" w:rsidP="00BA13BA"/>
        </w:tc>
        <w:tc>
          <w:tcPr>
            <w:tcW w:w="2551" w:type="dxa"/>
          </w:tcPr>
          <w:p w:rsidR="00BA13BA" w:rsidRPr="006713FC" w:rsidRDefault="00BA13BA" w:rsidP="00BA13BA">
            <w:pPr>
              <w:spacing w:before="12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>Very limited explanation of biosecurity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measures and laws in Australia</w:t>
            </w:r>
          </w:p>
        </w:tc>
        <w:tc>
          <w:tcPr>
            <w:tcW w:w="2559" w:type="dxa"/>
          </w:tcPr>
          <w:p w:rsidR="00BA13BA" w:rsidRPr="006713FC" w:rsidRDefault="00BA13BA" w:rsidP="00BA13BA">
            <w:pPr>
              <w:spacing w:before="12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>Some explanation of biosecurity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measures and laws in Australia </w:t>
            </w:r>
          </w:p>
        </w:tc>
        <w:tc>
          <w:tcPr>
            <w:tcW w:w="2551" w:type="dxa"/>
          </w:tcPr>
          <w:p w:rsidR="00BA13BA" w:rsidRPr="006713FC" w:rsidRDefault="00BA13BA" w:rsidP="00BA13BA">
            <w:pPr>
              <w:spacing w:before="12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Sound</w:t>
            </w: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explanation of biosecurity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measures and laws in Australia </w:t>
            </w:r>
          </w:p>
        </w:tc>
        <w:tc>
          <w:tcPr>
            <w:tcW w:w="2608" w:type="dxa"/>
          </w:tcPr>
          <w:p w:rsidR="00BA13BA" w:rsidRPr="006713FC" w:rsidRDefault="00BA13BA" w:rsidP="00BA13BA">
            <w:pPr>
              <w:spacing w:before="12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Clear</w:t>
            </w: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explanation of biosecurity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measures and laws in Australia </w:t>
            </w:r>
          </w:p>
        </w:tc>
        <w:tc>
          <w:tcPr>
            <w:tcW w:w="2567" w:type="dxa"/>
          </w:tcPr>
          <w:p w:rsidR="00BA13BA" w:rsidRPr="006713FC" w:rsidRDefault="00BA13BA" w:rsidP="00BA13BA">
            <w:pPr>
              <w:spacing w:before="12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Insightful</w:t>
            </w:r>
            <w:r w:rsidRPr="006713FC">
              <w:rPr>
                <w:rFonts w:cstheme="minorHAnsi"/>
                <w:color w:val="000000" w:themeColor="text1"/>
                <w:sz w:val="16"/>
                <w:szCs w:val="16"/>
              </w:rPr>
              <w:t xml:space="preserve"> explanation of biosecurity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measures and laws in Australia 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C3D7A" w:rsidRDefault="007C3D7A" w:rsidP="005B442F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>KEY to marking scale based on the Outcome contributing 50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EC42E9" w:rsidTr="007C3D7A">
        <w:tc>
          <w:tcPr>
            <w:tcW w:w="2062" w:type="dxa"/>
            <w:vAlign w:val="center"/>
          </w:tcPr>
          <w:p w:rsidR="007C3D7A" w:rsidRPr="004B7620" w:rsidRDefault="007C3D7A" w:rsidP="000072A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Low </w:t>
            </w:r>
            <w:r w:rsidR="000072A5">
              <w:rPr>
                <w:sz w:val="18"/>
                <w:szCs w:val="18"/>
              </w:rPr>
              <w:t>0</w:t>
            </w:r>
            <w:r w:rsidRPr="004B7620">
              <w:rPr>
                <w:sz w:val="18"/>
                <w:szCs w:val="18"/>
              </w:rPr>
              <w:t>–10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Low 11–20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Medium 21–30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High 31–40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High 41–50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D91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7A" w:rsidRDefault="007C3D7A" w:rsidP="00304EA1">
      <w:pPr>
        <w:spacing w:after="0" w:line="240" w:lineRule="auto"/>
      </w:pPr>
      <w:r>
        <w:separator/>
      </w:r>
    </w:p>
  </w:endnote>
  <w:end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B4" w:rsidRDefault="00582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243F0D" w:rsidRDefault="007C3D7A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5B442F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Default="007C3D7A" w:rsidP="00D3388E">
    <w:pPr>
      <w:pStyle w:val="VCAAcaptionsandfootnotes"/>
      <w:spacing w:before="520"/>
    </w:pPr>
    <w:r w:rsidRPr="00AB7C2B">
      <w:rPr>
        <w:rFonts w:ascii="Arial Narrow" w:hAnsi="Arial Narrow"/>
      </w:rPr>
      <w:t xml:space="preserve">© </w:t>
    </w:r>
    <w:hyperlink r:id="rId1" w:history="1">
      <w:r w:rsidRPr="00AB7C2B">
        <w:rPr>
          <w:rStyle w:val="Hyperlink"/>
          <w:rFonts w:ascii="Arial Narrow" w:hAnsi="Arial Narrow"/>
        </w:rPr>
        <w:t>VCAA</w:t>
      </w:r>
    </w:hyperlink>
    <w:r w:rsidR="00AB7C2B" w:rsidRPr="00AB7C2B">
      <w:rPr>
        <w:rFonts w:ascii="Arial Narrow" w:hAnsi="Arial Narrow"/>
      </w:rPr>
      <w:t xml:space="preserve">, </w:t>
    </w:r>
    <w:r w:rsidR="005827B4">
      <w:rPr>
        <w:rFonts w:ascii="Arial Narrow" w:hAnsi="Arial Narrow"/>
      </w:rPr>
      <w:t>March</w:t>
    </w:r>
    <w:r w:rsidR="00AB7C2B" w:rsidRPr="00AB7C2B">
      <w:rPr>
        <w:rFonts w:ascii="Arial Narrow" w:hAnsi="Arial Narrow"/>
      </w:rPr>
      <w:t xml:space="preserve"> 2019</w:t>
    </w:r>
    <w:r w:rsidRPr="00AB7C2B">
      <w:rPr>
        <w:rFonts w:ascii="Arial Narrow" w:hAnsi="Arial Narrow"/>
      </w:rP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7A" w:rsidRDefault="007C3D7A" w:rsidP="00304EA1">
      <w:pPr>
        <w:spacing w:after="0" w:line="240" w:lineRule="auto"/>
      </w:pPr>
      <w:r>
        <w:separator/>
      </w:r>
    </w:p>
  </w:footnote>
  <w:foot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B4" w:rsidRDefault="00582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C3D7A" w:rsidRPr="00D86DE4" w:rsidRDefault="003B1C03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Agricultural and Horticultural Studies: Performance Descriptors Unit X Outcome X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9370BC" w:rsidRDefault="007C3D7A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072A5"/>
    <w:rsid w:val="0001781E"/>
    <w:rsid w:val="00027228"/>
    <w:rsid w:val="0005780E"/>
    <w:rsid w:val="000A71F7"/>
    <w:rsid w:val="000F09E4"/>
    <w:rsid w:val="000F16FD"/>
    <w:rsid w:val="00111822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3B1C03"/>
    <w:rsid w:val="00400A2A"/>
    <w:rsid w:val="00416B45"/>
    <w:rsid w:val="00417AA3"/>
    <w:rsid w:val="00440B32"/>
    <w:rsid w:val="0046078D"/>
    <w:rsid w:val="00477B20"/>
    <w:rsid w:val="004A2ED8"/>
    <w:rsid w:val="004F5BDA"/>
    <w:rsid w:val="0051631E"/>
    <w:rsid w:val="00536E80"/>
    <w:rsid w:val="00566029"/>
    <w:rsid w:val="005827B4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E619B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AB7C2B"/>
    <w:rsid w:val="00B0738F"/>
    <w:rsid w:val="00B26601"/>
    <w:rsid w:val="00B41951"/>
    <w:rsid w:val="00B53229"/>
    <w:rsid w:val="00B62480"/>
    <w:rsid w:val="00B81B70"/>
    <w:rsid w:val="00BA13BA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42899EE5-5FF7-4FE7-AF04-81A853AF1612}"/>
</file>

<file path=customXml/itemProps2.xml><?xml version="1.0" encoding="utf-8"?>
<ds:datastoreItem xmlns:ds="http://schemas.openxmlformats.org/officeDocument/2006/customXml" ds:itemID="{AAB34B8A-2E31-43D6-AA63-05915D3364AA}"/>
</file>

<file path=customXml/itemProps3.xml><?xml version="1.0" encoding="utf-8"?>
<ds:datastoreItem xmlns:ds="http://schemas.openxmlformats.org/officeDocument/2006/customXml" ds:itemID="{29E8B685-1FAF-4B7D-9479-DAACA2567C2D}"/>
</file>

<file path=customXml/itemProps4.xml><?xml version="1.0" encoding="utf-8"?>
<ds:datastoreItem xmlns:ds="http://schemas.openxmlformats.org/officeDocument/2006/customXml" ds:itemID="{07930C02-CBC9-4909-BD2D-194170243910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&lt;Study&gt;: Performance Descriptors Unit X Outcome X</vt:lpstr>
    </vt:vector>
  </TitlesOfParts>
  <Company>Victorian Curriculum and Assessment Authority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Agricultural and Horticultural Studies: Performance Descriptors Unit X Outcome X</dc:title>
  <dc:subject>VCE</dc:subject>
  <dc:creator>VCAA</dc:creator>
  <cp:keywords>VCE, Agricultural and Horticultural Studies, Advice for teachers, Performance Descriptors, Unit X,Outcome X</cp:keywords>
  <cp:lastModifiedBy>Coleman, Julie J</cp:lastModifiedBy>
  <cp:revision>6</cp:revision>
  <cp:lastPrinted>2015-05-15T02:35:00Z</cp:lastPrinted>
  <dcterms:created xsi:type="dcterms:W3CDTF">2019-03-06T03:41:00Z</dcterms:created>
  <dcterms:modified xsi:type="dcterms:W3CDTF">2019-03-26T00:16:00Z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ContentTypeId">
    <vt:lpwstr>0x0101007BA2A11A40BE9045AE22BD0150786171</vt:lpwstr>
  </property>
  <property fmtid="{D5CDD505-2E9C-101B-9397-08002B2CF9AE}" pid="4" name="DEECD_ItemType">
    <vt:lpwstr>40;#Page|eb523acf-a821-456c-a76b-7607578309d7</vt:lpwstr>
  </property>
</Properties>
</file>