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1569CB">
      <w:pPr>
        <w:pStyle w:val="VCAADocumenttitle"/>
        <w:spacing w:before="0" w:after="120"/>
        <w:rPr>
          <w:sz w:val="40"/>
          <w:szCs w:val="40"/>
        </w:rPr>
      </w:pPr>
      <w:r w:rsidRPr="00D91EFE">
        <w:rPr>
          <w:sz w:val="40"/>
          <w:szCs w:val="40"/>
        </w:rPr>
        <w:t xml:space="preserve">VCE </w:t>
      </w:r>
      <w:r w:rsidR="00832E9B">
        <w:rPr>
          <w:sz w:val="40"/>
          <w:szCs w:val="40"/>
        </w:rPr>
        <w:t>Theatre Studies</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832E9B" w:rsidP="007C3D7A">
            <w:pPr>
              <w:tabs>
                <w:tab w:val="left" w:pos="9580"/>
              </w:tabs>
              <w:spacing w:before="120"/>
              <w:ind w:right="-136"/>
              <w:jc w:val="center"/>
              <w:rPr>
                <w:rFonts w:ascii="Arial Narrow" w:hAnsi="Arial Narrow"/>
                <w:b/>
                <w:lang w:eastAsia="en-AU"/>
              </w:rPr>
            </w:pPr>
            <w:r>
              <w:rPr>
                <w:rFonts w:ascii="Arial Narrow" w:hAnsi="Arial Narrow"/>
                <w:b/>
                <w:lang w:eastAsia="en-AU"/>
              </w:rPr>
              <w:t>THEATRE STUDIES</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D403D3" w:rsidTr="00D91EFE">
        <w:tc>
          <w:tcPr>
            <w:tcW w:w="2543" w:type="dxa"/>
            <w:vMerge w:val="restart"/>
            <w:vAlign w:val="center"/>
          </w:tcPr>
          <w:p w:rsidR="00D403D3" w:rsidRPr="00832E9B" w:rsidRDefault="00D403D3" w:rsidP="007C3D7A">
            <w:pPr>
              <w:rPr>
                <w:rFonts w:ascii="Arial Narrow" w:eastAsia="Calibri" w:hAnsi="Arial Narrow" w:cs="Cordia New"/>
                <w:b/>
                <w:bCs/>
                <w:i/>
                <w:iCs/>
                <w:color w:val="221E1F"/>
                <w:sz w:val="18"/>
                <w:szCs w:val="18"/>
              </w:rPr>
            </w:pPr>
            <w:r w:rsidRPr="00832E9B">
              <w:rPr>
                <w:rFonts w:ascii="Arial Narrow" w:eastAsia="Calibri" w:hAnsi="Arial Narrow" w:cs="Cordia New"/>
                <w:b/>
                <w:bCs/>
                <w:i/>
                <w:iCs/>
                <w:color w:val="221E1F"/>
                <w:sz w:val="18"/>
                <w:szCs w:val="18"/>
              </w:rPr>
              <w:t xml:space="preserve">Unit </w:t>
            </w:r>
            <w:r w:rsidR="00456877">
              <w:rPr>
                <w:rFonts w:ascii="Arial Narrow" w:eastAsia="Calibri" w:hAnsi="Arial Narrow" w:cs="Cordia New"/>
                <w:b/>
                <w:bCs/>
                <w:i/>
                <w:iCs/>
                <w:color w:val="221E1F"/>
                <w:sz w:val="18"/>
                <w:szCs w:val="18"/>
              </w:rPr>
              <w:t>4</w:t>
            </w:r>
          </w:p>
          <w:p w:rsidR="00D403D3" w:rsidRPr="00832E9B" w:rsidRDefault="00D403D3" w:rsidP="007C3D7A">
            <w:pPr>
              <w:rPr>
                <w:rFonts w:ascii="Arial Narrow" w:eastAsia="Calibri" w:hAnsi="Arial Narrow" w:cs="Cordia New"/>
                <w:b/>
                <w:bCs/>
                <w:i/>
                <w:iCs/>
                <w:color w:val="221E1F"/>
                <w:sz w:val="18"/>
                <w:szCs w:val="18"/>
              </w:rPr>
            </w:pPr>
            <w:r w:rsidRPr="00832E9B">
              <w:rPr>
                <w:rFonts w:ascii="Arial Narrow" w:eastAsia="Calibri" w:hAnsi="Arial Narrow" w:cs="Cordia New"/>
                <w:b/>
                <w:bCs/>
                <w:i/>
                <w:iCs/>
                <w:color w:val="221E1F"/>
                <w:sz w:val="18"/>
                <w:szCs w:val="18"/>
              </w:rPr>
              <w:t xml:space="preserve">Outcome </w:t>
            </w:r>
            <w:r w:rsidR="00E846BB">
              <w:rPr>
                <w:rFonts w:ascii="Arial Narrow" w:eastAsia="Calibri" w:hAnsi="Arial Narrow" w:cs="Cordia New"/>
                <w:b/>
                <w:bCs/>
                <w:i/>
                <w:iCs/>
                <w:color w:val="221E1F"/>
                <w:sz w:val="18"/>
                <w:szCs w:val="18"/>
              </w:rPr>
              <w:t>3</w:t>
            </w:r>
          </w:p>
          <w:p w:rsidR="00D403D3" w:rsidRPr="001569CB" w:rsidRDefault="001569CB" w:rsidP="00BB0BC5">
            <w:pPr>
              <w:spacing w:before="120" w:after="120"/>
              <w:rPr>
                <w:rFonts w:ascii="Arial Narrow" w:hAnsi="Arial Narrow"/>
                <w:b/>
                <w:sz w:val="18"/>
                <w:szCs w:val="18"/>
              </w:rPr>
            </w:pPr>
            <w:proofErr w:type="spellStart"/>
            <w:r w:rsidRPr="001569CB">
              <w:rPr>
                <w:rFonts w:ascii="Arial Narrow" w:hAnsi="Arial Narrow"/>
                <w:sz w:val="18"/>
                <w:szCs w:val="18"/>
              </w:rPr>
              <w:t>Analyse</w:t>
            </w:r>
            <w:proofErr w:type="spellEnd"/>
            <w:r w:rsidRPr="001569CB">
              <w:rPr>
                <w:rFonts w:ascii="Arial Narrow" w:hAnsi="Arial Narrow"/>
                <w:sz w:val="18"/>
                <w:szCs w:val="18"/>
              </w:rPr>
              <w:t xml:space="preserve"> and evaluate acting, direction and design in a production.</w:t>
            </w:r>
            <w:bookmarkStart w:id="0" w:name="_GoBack"/>
            <w:bookmarkEnd w:id="0"/>
          </w:p>
        </w:tc>
        <w:tc>
          <w:tcPr>
            <w:tcW w:w="12836" w:type="dxa"/>
            <w:gridSpan w:val="5"/>
            <w:shd w:val="clear" w:color="auto" w:fill="DCE4F0" w:themeFill="accent6" w:themeFillTint="33"/>
            <w:vAlign w:val="center"/>
          </w:tcPr>
          <w:p w:rsidR="00D403D3" w:rsidRPr="00EC42E9" w:rsidRDefault="00D403D3"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D403D3" w:rsidRPr="00497336" w:rsidTr="00D91EFE">
        <w:trPr>
          <w:trHeight w:val="170"/>
        </w:trPr>
        <w:tc>
          <w:tcPr>
            <w:tcW w:w="2543" w:type="dxa"/>
            <w:vMerge/>
            <w:vAlign w:val="center"/>
          </w:tcPr>
          <w:p w:rsidR="00D403D3" w:rsidRPr="00497336" w:rsidRDefault="00D403D3" w:rsidP="007C3D7A">
            <w:pPr>
              <w:spacing w:before="120" w:after="120"/>
              <w:rPr>
                <w:rFonts w:ascii="Arial Narrow" w:hAnsi="Arial Narrow"/>
              </w:rPr>
            </w:pPr>
          </w:p>
        </w:tc>
        <w:tc>
          <w:tcPr>
            <w:tcW w:w="2551" w:type="dxa"/>
            <w:vAlign w:val="center"/>
          </w:tcPr>
          <w:p w:rsidR="00D403D3" w:rsidRPr="00497336" w:rsidRDefault="00D403D3"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1569CB" w:rsidTr="00D91EFE">
        <w:tc>
          <w:tcPr>
            <w:tcW w:w="2543" w:type="dxa"/>
            <w:vMerge/>
            <w:vAlign w:val="center"/>
          </w:tcPr>
          <w:p w:rsidR="001569CB" w:rsidRDefault="001569CB" w:rsidP="001569CB">
            <w:pPr>
              <w:spacing w:before="40" w:after="40"/>
            </w:pPr>
          </w:p>
        </w:tc>
        <w:tc>
          <w:tcPr>
            <w:tcW w:w="2551" w:type="dxa"/>
          </w:tcPr>
          <w:p w:rsidR="001569CB" w:rsidRPr="001569CB" w:rsidRDefault="001569CB" w:rsidP="001569CB">
            <w:pPr>
              <w:pStyle w:val="VCAAtablecondensed"/>
              <w:spacing w:line="240" w:lineRule="auto"/>
              <w:rPr>
                <w:sz w:val="18"/>
                <w:szCs w:val="18"/>
              </w:rPr>
            </w:pPr>
            <w:r w:rsidRPr="001569CB">
              <w:rPr>
                <w:sz w:val="18"/>
                <w:szCs w:val="18"/>
              </w:rPr>
              <w:t>Little analysis of character/s in a production supports limited evaluation of interrelated decisions executed by actor/s, director/s and des</w:t>
            </w:r>
            <w:r>
              <w:rPr>
                <w:sz w:val="18"/>
                <w:szCs w:val="18"/>
              </w:rPr>
              <w:t>igner/s to interpret a script.</w:t>
            </w:r>
          </w:p>
        </w:tc>
        <w:tc>
          <w:tcPr>
            <w:tcW w:w="2559" w:type="dxa"/>
          </w:tcPr>
          <w:p w:rsidR="001569CB" w:rsidRPr="001569CB" w:rsidRDefault="001569CB" w:rsidP="001569CB">
            <w:pPr>
              <w:pStyle w:val="VCAAtablecondensed"/>
              <w:spacing w:line="240" w:lineRule="auto"/>
              <w:rPr>
                <w:sz w:val="18"/>
                <w:szCs w:val="18"/>
              </w:rPr>
            </w:pPr>
            <w:r w:rsidRPr="001569CB">
              <w:rPr>
                <w:sz w:val="18"/>
                <w:szCs w:val="18"/>
              </w:rPr>
              <w:t xml:space="preserve">Some analysis of character/s in a production supports partial evaluation of interrelated decisions executed by actor/s, director/s and designer/s to interpret a script.  </w:t>
            </w:r>
          </w:p>
        </w:tc>
        <w:tc>
          <w:tcPr>
            <w:tcW w:w="2551" w:type="dxa"/>
          </w:tcPr>
          <w:p w:rsidR="001569CB" w:rsidRPr="001569CB" w:rsidRDefault="001569CB" w:rsidP="001569CB">
            <w:pPr>
              <w:pStyle w:val="VCAAtablecondensed"/>
              <w:spacing w:line="240" w:lineRule="auto"/>
              <w:rPr>
                <w:sz w:val="18"/>
                <w:szCs w:val="18"/>
              </w:rPr>
            </w:pPr>
            <w:r w:rsidRPr="001569CB">
              <w:rPr>
                <w:sz w:val="18"/>
                <w:szCs w:val="18"/>
              </w:rPr>
              <w:t>Satisfactory analysis of character/s in a production supports credible evaluation of interrelated decisions executed by actor/s, director/s and des</w:t>
            </w:r>
            <w:r>
              <w:rPr>
                <w:sz w:val="18"/>
                <w:szCs w:val="18"/>
              </w:rPr>
              <w:t>igner/s to interpret a script.</w:t>
            </w:r>
          </w:p>
        </w:tc>
        <w:tc>
          <w:tcPr>
            <w:tcW w:w="2608" w:type="dxa"/>
          </w:tcPr>
          <w:p w:rsidR="001569CB" w:rsidRPr="001569CB" w:rsidRDefault="001569CB" w:rsidP="001569CB">
            <w:pPr>
              <w:pStyle w:val="VCAAtablecondensed"/>
              <w:spacing w:line="240" w:lineRule="auto"/>
              <w:rPr>
                <w:sz w:val="18"/>
                <w:szCs w:val="18"/>
              </w:rPr>
            </w:pPr>
            <w:r w:rsidRPr="001569CB">
              <w:rPr>
                <w:sz w:val="18"/>
                <w:szCs w:val="18"/>
              </w:rPr>
              <w:t>Detailed analysis of character/s in a production supports substantial evaluation of interrelated decisions executed by actor/s, director/s and des</w:t>
            </w:r>
            <w:r>
              <w:rPr>
                <w:sz w:val="18"/>
                <w:szCs w:val="18"/>
              </w:rPr>
              <w:t>igner/s to interpret a script.</w:t>
            </w:r>
          </w:p>
        </w:tc>
        <w:tc>
          <w:tcPr>
            <w:tcW w:w="2567" w:type="dxa"/>
          </w:tcPr>
          <w:p w:rsidR="001569CB" w:rsidRPr="001569CB" w:rsidRDefault="001569CB" w:rsidP="001569CB">
            <w:pPr>
              <w:pStyle w:val="VCAAtablecondensed"/>
              <w:spacing w:line="240" w:lineRule="auto"/>
              <w:rPr>
                <w:sz w:val="18"/>
                <w:szCs w:val="18"/>
              </w:rPr>
            </w:pPr>
            <w:r w:rsidRPr="001569CB">
              <w:rPr>
                <w:sz w:val="18"/>
                <w:szCs w:val="18"/>
              </w:rPr>
              <w:t>Sophisticated analysis of character/s in a production supports insightful evaluation of interrelated decisions executed by actor/s, director/s and des</w:t>
            </w:r>
            <w:r>
              <w:rPr>
                <w:sz w:val="18"/>
                <w:szCs w:val="18"/>
              </w:rPr>
              <w:t>igner/s to interpret a script.</w:t>
            </w:r>
          </w:p>
        </w:tc>
      </w:tr>
      <w:tr w:rsidR="001569CB" w:rsidTr="00D91EFE">
        <w:tc>
          <w:tcPr>
            <w:tcW w:w="2543" w:type="dxa"/>
            <w:vMerge/>
          </w:tcPr>
          <w:p w:rsidR="001569CB" w:rsidRDefault="001569CB" w:rsidP="001569CB">
            <w:pPr>
              <w:spacing w:before="40" w:after="40"/>
            </w:pPr>
          </w:p>
        </w:tc>
        <w:tc>
          <w:tcPr>
            <w:tcW w:w="2551" w:type="dxa"/>
          </w:tcPr>
          <w:p w:rsidR="001569CB" w:rsidRPr="001569CB" w:rsidRDefault="001569CB" w:rsidP="001569CB">
            <w:pPr>
              <w:pStyle w:val="VCAAtablecondensed"/>
              <w:spacing w:line="240" w:lineRule="auto"/>
              <w:rPr>
                <w:sz w:val="18"/>
                <w:szCs w:val="18"/>
              </w:rPr>
            </w:pPr>
            <w:r w:rsidRPr="001569CB">
              <w:rPr>
                <w:sz w:val="18"/>
                <w:szCs w:val="18"/>
              </w:rPr>
              <w:t>Very limited analysis and evaluation of the way in which acting, direction and design interrelated to create meaning.</w:t>
            </w:r>
          </w:p>
        </w:tc>
        <w:tc>
          <w:tcPr>
            <w:tcW w:w="2559" w:type="dxa"/>
          </w:tcPr>
          <w:p w:rsidR="001569CB" w:rsidRPr="001569CB" w:rsidRDefault="001569CB" w:rsidP="001569CB">
            <w:pPr>
              <w:pStyle w:val="VCAAtablecondensed"/>
              <w:spacing w:line="240" w:lineRule="auto"/>
              <w:rPr>
                <w:sz w:val="18"/>
                <w:szCs w:val="18"/>
              </w:rPr>
            </w:pPr>
            <w:r w:rsidRPr="001569CB">
              <w:rPr>
                <w:sz w:val="18"/>
                <w:szCs w:val="18"/>
              </w:rPr>
              <w:t>Some Obvious analysis and evaluation of the way in which acting, direction and design interrelated to create meaning.</w:t>
            </w:r>
          </w:p>
        </w:tc>
        <w:tc>
          <w:tcPr>
            <w:tcW w:w="2551" w:type="dxa"/>
          </w:tcPr>
          <w:p w:rsidR="001569CB" w:rsidRPr="001569CB" w:rsidRDefault="001569CB" w:rsidP="001569CB">
            <w:pPr>
              <w:pStyle w:val="VCAAtablecondensed"/>
              <w:spacing w:line="240" w:lineRule="auto"/>
              <w:rPr>
                <w:sz w:val="18"/>
                <w:szCs w:val="18"/>
              </w:rPr>
            </w:pPr>
            <w:r w:rsidRPr="001569CB">
              <w:rPr>
                <w:sz w:val="18"/>
                <w:szCs w:val="18"/>
              </w:rPr>
              <w:t>Reasonable analysis and evaluation of the way in which acting, direction and design interrelated to create meaning, inclusive of how acting skills, focus, the acting space, verbal/non-verbal language and elements of theatre composition were applied.</w:t>
            </w:r>
          </w:p>
        </w:tc>
        <w:tc>
          <w:tcPr>
            <w:tcW w:w="2608" w:type="dxa"/>
          </w:tcPr>
          <w:p w:rsidR="001569CB" w:rsidRPr="001569CB" w:rsidRDefault="001569CB" w:rsidP="001569CB">
            <w:pPr>
              <w:pStyle w:val="VCAAtablecondensed"/>
              <w:spacing w:line="240" w:lineRule="auto"/>
              <w:rPr>
                <w:sz w:val="18"/>
                <w:szCs w:val="18"/>
              </w:rPr>
            </w:pPr>
            <w:r w:rsidRPr="001569CB">
              <w:rPr>
                <w:sz w:val="18"/>
                <w:szCs w:val="18"/>
              </w:rPr>
              <w:t>Well-informed analysis and clear evaluation of the way in which acting, direction and design interrelated to create meaning, inclusive of how acting skills, focus, the acting space, verbal/non-verbal language and elements of theatre composition were applied.</w:t>
            </w:r>
          </w:p>
        </w:tc>
        <w:tc>
          <w:tcPr>
            <w:tcW w:w="2567" w:type="dxa"/>
          </w:tcPr>
          <w:p w:rsidR="001569CB" w:rsidRPr="001569CB" w:rsidRDefault="001569CB" w:rsidP="001569CB">
            <w:pPr>
              <w:pStyle w:val="VCAAtablecondensed"/>
              <w:spacing w:line="240" w:lineRule="auto"/>
              <w:rPr>
                <w:sz w:val="18"/>
                <w:szCs w:val="18"/>
              </w:rPr>
            </w:pPr>
            <w:r w:rsidRPr="001569CB">
              <w:rPr>
                <w:sz w:val="18"/>
                <w:szCs w:val="18"/>
              </w:rPr>
              <w:t>Comprehensive analysis and complex evaluation of the way in which acting, direction and design interrelated to create meaning, inclusive of how acting skills, focus, the acting space, verbal/non-verbal language and elements of theatre composition were applied.</w:t>
            </w:r>
          </w:p>
        </w:tc>
      </w:tr>
      <w:tr w:rsidR="001569CB" w:rsidTr="008E619B">
        <w:trPr>
          <w:trHeight w:val="397"/>
        </w:trPr>
        <w:tc>
          <w:tcPr>
            <w:tcW w:w="2543" w:type="dxa"/>
            <w:vMerge/>
          </w:tcPr>
          <w:p w:rsidR="001569CB" w:rsidRDefault="001569CB" w:rsidP="001569CB">
            <w:pPr>
              <w:spacing w:before="40" w:after="40"/>
            </w:pPr>
          </w:p>
        </w:tc>
        <w:tc>
          <w:tcPr>
            <w:tcW w:w="2551" w:type="dxa"/>
          </w:tcPr>
          <w:p w:rsidR="001569CB" w:rsidRPr="001569CB" w:rsidRDefault="001569CB" w:rsidP="001569CB">
            <w:pPr>
              <w:pStyle w:val="VCAAtablecondensed"/>
              <w:spacing w:line="240" w:lineRule="auto"/>
              <w:rPr>
                <w:sz w:val="18"/>
                <w:szCs w:val="18"/>
              </w:rPr>
            </w:pPr>
            <w:r w:rsidRPr="001569CB">
              <w:rPr>
                <w:sz w:val="18"/>
                <w:szCs w:val="18"/>
              </w:rPr>
              <w:t>Few references to the relationship between the theatrical styles and the work of the actors, directors and designers with inconsistent evaluative commentary on their individual and collaborative contribution towards the establishment and maintenance of the actor-audience relationship.</w:t>
            </w:r>
          </w:p>
        </w:tc>
        <w:tc>
          <w:tcPr>
            <w:tcW w:w="2559" w:type="dxa"/>
          </w:tcPr>
          <w:p w:rsidR="001569CB" w:rsidRPr="001569CB" w:rsidRDefault="001569CB" w:rsidP="001569CB">
            <w:pPr>
              <w:pStyle w:val="VCAAtablecondensed"/>
              <w:spacing w:line="240" w:lineRule="auto"/>
              <w:rPr>
                <w:sz w:val="18"/>
                <w:szCs w:val="18"/>
              </w:rPr>
            </w:pPr>
            <w:r w:rsidRPr="001569CB">
              <w:rPr>
                <w:sz w:val="18"/>
                <w:szCs w:val="18"/>
              </w:rPr>
              <w:t>Disjointed analytical discussion investigating the relationship between the theatrical styles and the work of the actors, directors and designers with partially effective evaluative commentary on their individual and collaborative contribution towards the establishment and maintenance of the actor-audience relationship.</w:t>
            </w:r>
          </w:p>
        </w:tc>
        <w:tc>
          <w:tcPr>
            <w:tcW w:w="2551" w:type="dxa"/>
          </w:tcPr>
          <w:p w:rsidR="001569CB" w:rsidRPr="001569CB" w:rsidRDefault="001569CB" w:rsidP="001569CB">
            <w:pPr>
              <w:pStyle w:val="VCAAtablecondensed"/>
              <w:spacing w:line="240" w:lineRule="auto"/>
              <w:rPr>
                <w:sz w:val="18"/>
                <w:szCs w:val="18"/>
              </w:rPr>
            </w:pPr>
            <w:r w:rsidRPr="001569CB">
              <w:rPr>
                <w:sz w:val="18"/>
                <w:szCs w:val="18"/>
              </w:rPr>
              <w:t>Adequate analytical discussion investigating the relationship between the theatrical styles and the work of the actors, directors and designers with relevant evaluative commentary on their individual and collaborative contribution towards the establishment and maintenance of the actor-audience relationship.</w:t>
            </w:r>
          </w:p>
        </w:tc>
        <w:tc>
          <w:tcPr>
            <w:tcW w:w="2608" w:type="dxa"/>
          </w:tcPr>
          <w:p w:rsidR="001569CB" w:rsidRPr="001569CB" w:rsidRDefault="001569CB" w:rsidP="001569CB">
            <w:pPr>
              <w:pStyle w:val="VCAAtablecondensed"/>
              <w:spacing w:line="240" w:lineRule="auto"/>
              <w:rPr>
                <w:sz w:val="18"/>
                <w:szCs w:val="18"/>
              </w:rPr>
            </w:pPr>
            <w:r w:rsidRPr="001569CB">
              <w:rPr>
                <w:sz w:val="18"/>
                <w:szCs w:val="18"/>
              </w:rPr>
              <w:t xml:space="preserve">Perceptive analytical discussion investigating the relationship between the theatrical styles and the work of the actors, directors and designers with considered evaluative commentary on their individual and collaborative contribution towards the establishment and maintenance of the actor-audience relationship. </w:t>
            </w:r>
          </w:p>
        </w:tc>
        <w:tc>
          <w:tcPr>
            <w:tcW w:w="2567" w:type="dxa"/>
          </w:tcPr>
          <w:p w:rsidR="001569CB" w:rsidRPr="001569CB" w:rsidRDefault="001569CB" w:rsidP="001569CB">
            <w:pPr>
              <w:pStyle w:val="VCAAtablecondensed"/>
              <w:spacing w:line="240" w:lineRule="auto"/>
              <w:rPr>
                <w:sz w:val="18"/>
                <w:szCs w:val="18"/>
              </w:rPr>
            </w:pPr>
            <w:r w:rsidRPr="001569CB">
              <w:rPr>
                <w:sz w:val="18"/>
                <w:szCs w:val="18"/>
              </w:rPr>
              <w:t>Thorough analytical discussion investigating the relationship between the theatrical styles and the work of the actors, directors and designers with significant evaluative commentary on their individual and collaborative contribution towards the establishment and maintenance of the actor-audience relationship.</w:t>
            </w:r>
          </w:p>
        </w:tc>
      </w:tr>
      <w:tr w:rsidR="001569CB" w:rsidTr="00D91EFE">
        <w:tc>
          <w:tcPr>
            <w:tcW w:w="2543" w:type="dxa"/>
            <w:vMerge/>
          </w:tcPr>
          <w:p w:rsidR="001569CB" w:rsidRDefault="001569CB" w:rsidP="001569CB">
            <w:pPr>
              <w:spacing w:before="40" w:after="40"/>
            </w:pPr>
          </w:p>
        </w:tc>
        <w:tc>
          <w:tcPr>
            <w:tcW w:w="2551" w:type="dxa"/>
          </w:tcPr>
          <w:p w:rsidR="001569CB" w:rsidRPr="001569CB" w:rsidRDefault="001569CB" w:rsidP="001569CB">
            <w:pPr>
              <w:pStyle w:val="VCAAHeading5"/>
              <w:spacing w:before="80" w:after="80" w:line="240" w:lineRule="auto"/>
              <w:ind w:left="9"/>
              <w:contextualSpacing w:val="0"/>
              <w:rPr>
                <w:rFonts w:ascii="Arial Narrow" w:hAnsi="Arial Narrow"/>
                <w:b w:val="0"/>
                <w:color w:val="auto"/>
                <w:sz w:val="18"/>
                <w:szCs w:val="18"/>
              </w:rPr>
            </w:pPr>
            <w:r w:rsidRPr="001569CB">
              <w:rPr>
                <w:rFonts w:ascii="Arial Narrow" w:hAnsi="Arial Narrow"/>
                <w:b w:val="0"/>
                <w:sz w:val="18"/>
                <w:szCs w:val="18"/>
              </w:rPr>
              <w:t>The response uses theatre terminology and expression in a limited manner.</w:t>
            </w:r>
          </w:p>
        </w:tc>
        <w:tc>
          <w:tcPr>
            <w:tcW w:w="2559" w:type="dxa"/>
          </w:tcPr>
          <w:p w:rsidR="001569CB" w:rsidRPr="001569CB" w:rsidRDefault="001569CB" w:rsidP="001569CB">
            <w:pPr>
              <w:pStyle w:val="VCAAHeading5"/>
              <w:spacing w:before="80" w:after="80" w:line="240" w:lineRule="auto"/>
              <w:ind w:left="113"/>
              <w:contextualSpacing w:val="0"/>
              <w:rPr>
                <w:rFonts w:ascii="Arial Narrow" w:hAnsi="Arial Narrow"/>
                <w:b w:val="0"/>
                <w:color w:val="auto"/>
                <w:sz w:val="18"/>
                <w:szCs w:val="18"/>
              </w:rPr>
            </w:pPr>
            <w:r w:rsidRPr="001569CB">
              <w:rPr>
                <w:rFonts w:ascii="Arial Narrow" w:hAnsi="Arial Narrow"/>
                <w:b w:val="0"/>
                <w:sz w:val="18"/>
                <w:szCs w:val="18"/>
              </w:rPr>
              <w:t>The response uses theatre terminology and expression in a basic manner.</w:t>
            </w:r>
          </w:p>
        </w:tc>
        <w:tc>
          <w:tcPr>
            <w:tcW w:w="2551" w:type="dxa"/>
          </w:tcPr>
          <w:p w:rsidR="001569CB" w:rsidRPr="001569CB" w:rsidRDefault="001569CB" w:rsidP="001569CB">
            <w:pPr>
              <w:pStyle w:val="VCAAHeading5"/>
              <w:spacing w:before="80" w:after="80" w:line="240" w:lineRule="auto"/>
              <w:ind w:left="113"/>
              <w:contextualSpacing w:val="0"/>
              <w:rPr>
                <w:rFonts w:ascii="Arial Narrow" w:hAnsi="Arial Narrow"/>
                <w:b w:val="0"/>
                <w:color w:val="auto"/>
                <w:sz w:val="18"/>
                <w:szCs w:val="18"/>
              </w:rPr>
            </w:pPr>
            <w:r w:rsidRPr="001569CB">
              <w:rPr>
                <w:rFonts w:ascii="Arial Narrow" w:hAnsi="Arial Narrow"/>
                <w:b w:val="0"/>
                <w:sz w:val="18"/>
                <w:szCs w:val="18"/>
              </w:rPr>
              <w:t>The response uses theatre terminology and expression in a sound manner.</w:t>
            </w:r>
          </w:p>
        </w:tc>
        <w:tc>
          <w:tcPr>
            <w:tcW w:w="2608" w:type="dxa"/>
          </w:tcPr>
          <w:p w:rsidR="001569CB" w:rsidRPr="001569CB" w:rsidRDefault="001569CB" w:rsidP="001569CB">
            <w:pPr>
              <w:pStyle w:val="VCAAHeading5"/>
              <w:spacing w:before="80" w:after="80" w:line="240" w:lineRule="auto"/>
              <w:ind w:left="113"/>
              <w:contextualSpacing w:val="0"/>
              <w:rPr>
                <w:rFonts w:ascii="Arial Narrow" w:hAnsi="Arial Narrow"/>
                <w:b w:val="0"/>
                <w:color w:val="auto"/>
                <w:sz w:val="18"/>
                <w:szCs w:val="18"/>
              </w:rPr>
            </w:pPr>
            <w:r w:rsidRPr="001569CB">
              <w:rPr>
                <w:rFonts w:ascii="Arial Narrow" w:hAnsi="Arial Narrow"/>
                <w:b w:val="0"/>
                <w:sz w:val="18"/>
                <w:szCs w:val="18"/>
              </w:rPr>
              <w:t>The response uses theatre terminology and expression in a detailed manner.</w:t>
            </w:r>
          </w:p>
        </w:tc>
        <w:tc>
          <w:tcPr>
            <w:tcW w:w="2567" w:type="dxa"/>
          </w:tcPr>
          <w:p w:rsidR="001569CB" w:rsidRPr="001569CB" w:rsidRDefault="001569CB" w:rsidP="001569CB">
            <w:pPr>
              <w:spacing w:before="80" w:after="80"/>
              <w:rPr>
                <w:rFonts w:ascii="Arial Narrow" w:hAnsi="Arial Narrow"/>
                <w:sz w:val="18"/>
                <w:szCs w:val="18"/>
              </w:rPr>
            </w:pPr>
            <w:r w:rsidRPr="001569CB">
              <w:rPr>
                <w:rFonts w:ascii="Arial Narrow" w:hAnsi="Arial Narrow"/>
                <w:sz w:val="18"/>
                <w:szCs w:val="18"/>
              </w:rPr>
              <w:t>The response uses theatre terminology and expression in a refined and concise manner.</w:t>
            </w:r>
          </w:p>
        </w:tc>
      </w:tr>
    </w:tbl>
    <w:p w:rsidR="007C3D7A" w:rsidRPr="00832E9B" w:rsidRDefault="007C3D7A" w:rsidP="001569CB">
      <w:pPr>
        <w:spacing w:before="120" w:after="80" w:line="240" w:lineRule="auto"/>
        <w:rPr>
          <w:rFonts w:ascii="Arial Narrow" w:hAnsi="Arial Narrow" w:cs="Arial"/>
          <w:sz w:val="18"/>
          <w:szCs w:val="18"/>
        </w:rPr>
      </w:pPr>
      <w:r w:rsidRPr="00832E9B">
        <w:rPr>
          <w:rFonts w:ascii="Arial Narrow" w:hAnsi="Arial Narrow" w:cs="Arial"/>
          <w:sz w:val="18"/>
          <w:szCs w:val="18"/>
        </w:rPr>
        <w:t xml:space="preserve">KEY to marking scale based on the Outcome contributing </w:t>
      </w:r>
      <w:r w:rsidR="000A4368">
        <w:rPr>
          <w:rFonts w:ascii="Arial Narrow" w:hAnsi="Arial Narrow" w:cs="Arial"/>
          <w:sz w:val="18"/>
          <w:szCs w:val="18"/>
        </w:rPr>
        <w:t>2</w:t>
      </w:r>
      <w:r w:rsidR="00787FA8">
        <w:rPr>
          <w:rFonts w:ascii="Arial Narrow" w:hAnsi="Arial Narrow" w:cs="Arial"/>
          <w:sz w:val="18"/>
          <w:szCs w:val="18"/>
        </w:rPr>
        <w:t>0</w:t>
      </w:r>
      <w:r w:rsidRPr="00832E9B">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832E9B" w:rsidTr="007C3D7A">
        <w:tc>
          <w:tcPr>
            <w:tcW w:w="2062" w:type="dxa"/>
            <w:vAlign w:val="center"/>
          </w:tcPr>
          <w:p w:rsidR="007C3D7A" w:rsidRPr="00832E9B" w:rsidRDefault="007C3D7A" w:rsidP="000A436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Very Low 1–</w:t>
            </w:r>
            <w:r w:rsidR="000A4368">
              <w:rPr>
                <w:rFonts w:ascii="Arial Narrow" w:hAnsi="Arial Narrow"/>
                <w:sz w:val="18"/>
                <w:szCs w:val="18"/>
              </w:rPr>
              <w:t>3</w:t>
            </w:r>
          </w:p>
        </w:tc>
        <w:tc>
          <w:tcPr>
            <w:tcW w:w="2063" w:type="dxa"/>
            <w:vAlign w:val="center"/>
          </w:tcPr>
          <w:p w:rsidR="007C3D7A" w:rsidRPr="00832E9B" w:rsidRDefault="007C3D7A" w:rsidP="000A436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Low </w:t>
            </w:r>
            <w:r w:rsidR="000A4368">
              <w:rPr>
                <w:rFonts w:ascii="Arial Narrow" w:hAnsi="Arial Narrow"/>
                <w:sz w:val="18"/>
                <w:szCs w:val="18"/>
              </w:rPr>
              <w:t>4</w:t>
            </w:r>
            <w:r w:rsidRPr="00832E9B">
              <w:rPr>
                <w:rFonts w:ascii="Arial Narrow" w:hAnsi="Arial Narrow"/>
                <w:sz w:val="18"/>
                <w:szCs w:val="18"/>
              </w:rPr>
              <w:t>–</w:t>
            </w:r>
            <w:r w:rsidR="000A4368">
              <w:rPr>
                <w:rFonts w:ascii="Arial Narrow" w:hAnsi="Arial Narrow"/>
                <w:sz w:val="18"/>
                <w:szCs w:val="18"/>
              </w:rPr>
              <w:t>7</w:t>
            </w:r>
          </w:p>
        </w:tc>
        <w:tc>
          <w:tcPr>
            <w:tcW w:w="2063" w:type="dxa"/>
            <w:vAlign w:val="center"/>
          </w:tcPr>
          <w:p w:rsidR="007C3D7A" w:rsidRPr="00832E9B" w:rsidRDefault="007C3D7A" w:rsidP="000A436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Medium </w:t>
            </w:r>
            <w:r w:rsidR="000A4368">
              <w:rPr>
                <w:rFonts w:ascii="Arial Narrow" w:hAnsi="Arial Narrow"/>
                <w:sz w:val="18"/>
                <w:szCs w:val="18"/>
              </w:rPr>
              <w:t>8</w:t>
            </w:r>
            <w:r w:rsidRPr="00832E9B">
              <w:rPr>
                <w:rFonts w:ascii="Arial Narrow" w:hAnsi="Arial Narrow"/>
                <w:sz w:val="18"/>
                <w:szCs w:val="18"/>
              </w:rPr>
              <w:t>–</w:t>
            </w:r>
            <w:r w:rsidR="00D403D3" w:rsidRPr="00832E9B">
              <w:rPr>
                <w:rFonts w:ascii="Arial Narrow" w:hAnsi="Arial Narrow"/>
                <w:sz w:val="18"/>
                <w:szCs w:val="18"/>
              </w:rPr>
              <w:t>1</w:t>
            </w:r>
            <w:r w:rsidR="000A4368">
              <w:rPr>
                <w:rFonts w:ascii="Arial Narrow" w:hAnsi="Arial Narrow"/>
                <w:sz w:val="18"/>
                <w:szCs w:val="18"/>
              </w:rPr>
              <w:t>2</w:t>
            </w:r>
          </w:p>
        </w:tc>
        <w:tc>
          <w:tcPr>
            <w:tcW w:w="2063" w:type="dxa"/>
            <w:vAlign w:val="center"/>
          </w:tcPr>
          <w:p w:rsidR="007C3D7A" w:rsidRPr="00832E9B" w:rsidRDefault="007C3D7A" w:rsidP="000A436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High </w:t>
            </w:r>
            <w:r w:rsidR="00D403D3" w:rsidRPr="00832E9B">
              <w:rPr>
                <w:rFonts w:ascii="Arial Narrow" w:hAnsi="Arial Narrow"/>
                <w:sz w:val="18"/>
                <w:szCs w:val="18"/>
              </w:rPr>
              <w:t>1</w:t>
            </w:r>
            <w:r w:rsidR="000A4368">
              <w:rPr>
                <w:rFonts w:ascii="Arial Narrow" w:hAnsi="Arial Narrow"/>
                <w:sz w:val="18"/>
                <w:szCs w:val="18"/>
              </w:rPr>
              <w:t>3</w:t>
            </w:r>
            <w:r w:rsidRPr="00832E9B">
              <w:rPr>
                <w:rFonts w:ascii="Arial Narrow" w:hAnsi="Arial Narrow"/>
                <w:sz w:val="18"/>
                <w:szCs w:val="18"/>
              </w:rPr>
              <w:t>–</w:t>
            </w:r>
            <w:r w:rsidR="000A4368">
              <w:rPr>
                <w:rFonts w:ascii="Arial Narrow" w:hAnsi="Arial Narrow"/>
                <w:sz w:val="18"/>
                <w:szCs w:val="18"/>
              </w:rPr>
              <w:t>17</w:t>
            </w:r>
          </w:p>
        </w:tc>
        <w:tc>
          <w:tcPr>
            <w:tcW w:w="2063" w:type="dxa"/>
            <w:vAlign w:val="center"/>
          </w:tcPr>
          <w:p w:rsidR="007C3D7A" w:rsidRPr="00832E9B" w:rsidRDefault="007C3D7A" w:rsidP="000A436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Very High </w:t>
            </w:r>
            <w:r w:rsidR="000A4368">
              <w:rPr>
                <w:rFonts w:ascii="Arial Narrow" w:hAnsi="Arial Narrow"/>
                <w:sz w:val="18"/>
                <w:szCs w:val="18"/>
              </w:rPr>
              <w:t>18</w:t>
            </w:r>
            <w:r w:rsidRPr="00832E9B">
              <w:rPr>
                <w:rFonts w:ascii="Arial Narrow" w:hAnsi="Arial Narrow"/>
                <w:sz w:val="18"/>
                <w:szCs w:val="18"/>
              </w:rPr>
              <w:t>–</w:t>
            </w:r>
            <w:r w:rsidR="000A4368">
              <w:rPr>
                <w:rFonts w:ascii="Arial Narrow" w:hAnsi="Arial Narrow"/>
                <w:sz w:val="18"/>
                <w:szCs w:val="18"/>
              </w:rPr>
              <w:t>2</w:t>
            </w:r>
            <w:r w:rsidR="00787FA8">
              <w:rPr>
                <w:rFonts w:ascii="Arial Narrow" w:hAnsi="Arial Narrow"/>
                <w:sz w:val="18"/>
                <w:szCs w:val="18"/>
              </w:rPr>
              <w:t>0</w:t>
            </w:r>
          </w:p>
        </w:tc>
      </w:tr>
    </w:tbl>
    <w:p w:rsidR="00EC42E9" w:rsidRPr="00832E9B" w:rsidRDefault="00EC42E9" w:rsidP="001569CB">
      <w:pPr>
        <w:spacing w:after="0"/>
        <w:rPr>
          <w:rFonts w:ascii="Arial Narrow" w:hAnsi="Arial Narrow"/>
          <w:sz w:val="16"/>
          <w:szCs w:val="16"/>
        </w:rPr>
      </w:pPr>
    </w:p>
    <w:sectPr w:rsidR="00EC42E9" w:rsidRPr="00832E9B" w:rsidSect="001569CB">
      <w:headerReference w:type="default" r:id="rId8"/>
      <w:footerReference w:type="default" r:id="rId9"/>
      <w:headerReference w:type="first" r:id="rId10"/>
      <w:footerReference w:type="first" r:id="rId11"/>
      <w:type w:val="continuous"/>
      <w:pgSz w:w="16840" w:h="11907" w:orient="landscape" w:code="9"/>
      <w:pgMar w:top="567" w:right="851" w:bottom="567" w:left="851"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46" w:rsidRDefault="00FF2346" w:rsidP="00304EA1">
      <w:pPr>
        <w:spacing w:after="0" w:line="240" w:lineRule="auto"/>
      </w:pPr>
      <w:r>
        <w:separator/>
      </w:r>
    </w:p>
  </w:endnote>
  <w:endnote w:type="continuationSeparator" w:id="0">
    <w:p w:rsidR="00FF2346" w:rsidRDefault="00FF23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Pr="00243F0D" w:rsidRDefault="00FF2346"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w:t>
    </w:r>
    <w:r w:rsidR="00080EBC">
      <w:t>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569CB">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Default="00FF2346" w:rsidP="00D3388E">
    <w:pPr>
      <w:pStyle w:val="VCAAcaptionsandfootnotes"/>
      <w:spacing w:before="520"/>
    </w:pPr>
    <w:r w:rsidRPr="00832E9B">
      <w:rPr>
        <w:rFonts w:ascii="Arial Narrow" w:hAnsi="Arial Narrow"/>
      </w:rPr>
      <w:t xml:space="preserve">© </w:t>
    </w:r>
    <w:hyperlink r:id="rId1" w:history="1">
      <w:r w:rsidRPr="00832E9B">
        <w:rPr>
          <w:rStyle w:val="Hyperlink"/>
          <w:rFonts w:ascii="Arial Narrow" w:hAnsi="Arial Narrow"/>
        </w:rPr>
        <w:t>VCAA</w:t>
      </w:r>
    </w:hyperlink>
    <w:r w:rsidRPr="00832E9B">
      <w:rPr>
        <w:rStyle w:val="Hyperlink"/>
        <w:rFonts w:ascii="Arial Narrow" w:hAnsi="Arial Narrow"/>
      </w:rPr>
      <w:t xml:space="preserve"> </w:t>
    </w:r>
    <w:r w:rsidRPr="00832E9B">
      <w:rPr>
        <w:rFonts w:ascii="Arial Narrow" w:hAnsi="Arial Narrow"/>
      </w:rPr>
      <w:t>201</w:t>
    </w:r>
    <w:r w:rsidR="00D403D3" w:rsidRPr="00832E9B">
      <w:rPr>
        <w:rFonts w:ascii="Arial Narrow" w:hAnsi="Arial Narrow"/>
      </w:rPr>
      <w:t>8</w:t>
    </w:r>
    <w:r w:rsidRPr="00832E9B">
      <w:rPr>
        <w:rFonts w:ascii="Arial Narrow" w:hAnsi="Arial Narrow"/>
      </w:rP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46" w:rsidRDefault="00FF2346" w:rsidP="00304EA1">
      <w:pPr>
        <w:spacing w:after="0" w:line="240" w:lineRule="auto"/>
      </w:pPr>
      <w:r>
        <w:separator/>
      </w:r>
    </w:p>
  </w:footnote>
  <w:footnote w:type="continuationSeparator" w:id="0">
    <w:p w:rsidR="00FF2346" w:rsidRDefault="00FF23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FF2346" w:rsidRPr="00D86DE4" w:rsidRDefault="00E846BB" w:rsidP="00D86DE4">
        <w:pPr>
          <w:pStyle w:val="VCAAcaptionsandfootnotes"/>
          <w:rPr>
            <w:color w:val="999999" w:themeColor="accent2"/>
          </w:rPr>
        </w:pPr>
        <w:r>
          <w:rPr>
            <w:color w:val="999999" w:themeColor="accent2"/>
          </w:rPr>
          <w:t>VCE Theatre: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Pr="009370BC" w:rsidRDefault="00FF2346"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80EBC"/>
    <w:rsid w:val="000A4368"/>
    <w:rsid w:val="000A71F7"/>
    <w:rsid w:val="000F09E4"/>
    <w:rsid w:val="000F16FD"/>
    <w:rsid w:val="001569CB"/>
    <w:rsid w:val="00164D7A"/>
    <w:rsid w:val="00180973"/>
    <w:rsid w:val="00187DF2"/>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56877"/>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24507"/>
    <w:rsid w:val="00742306"/>
    <w:rsid w:val="00751217"/>
    <w:rsid w:val="0076106A"/>
    <w:rsid w:val="00773E6C"/>
    <w:rsid w:val="00787FA8"/>
    <w:rsid w:val="007B186E"/>
    <w:rsid w:val="007C3D7A"/>
    <w:rsid w:val="00813C37"/>
    <w:rsid w:val="008154B5"/>
    <w:rsid w:val="00823962"/>
    <w:rsid w:val="00832E9B"/>
    <w:rsid w:val="00852719"/>
    <w:rsid w:val="00860115"/>
    <w:rsid w:val="0088783C"/>
    <w:rsid w:val="008E619B"/>
    <w:rsid w:val="008F72A2"/>
    <w:rsid w:val="009370BC"/>
    <w:rsid w:val="0098739B"/>
    <w:rsid w:val="00A17661"/>
    <w:rsid w:val="00A24B2D"/>
    <w:rsid w:val="00A30AF1"/>
    <w:rsid w:val="00A40966"/>
    <w:rsid w:val="00A51560"/>
    <w:rsid w:val="00A6554D"/>
    <w:rsid w:val="00A921E0"/>
    <w:rsid w:val="00B0738F"/>
    <w:rsid w:val="00B26601"/>
    <w:rsid w:val="00B41951"/>
    <w:rsid w:val="00B53229"/>
    <w:rsid w:val="00B62480"/>
    <w:rsid w:val="00B81B70"/>
    <w:rsid w:val="00BB0BC5"/>
    <w:rsid w:val="00BD0724"/>
    <w:rsid w:val="00BE1A80"/>
    <w:rsid w:val="00BE5521"/>
    <w:rsid w:val="00C105C7"/>
    <w:rsid w:val="00C53263"/>
    <w:rsid w:val="00C75F1D"/>
    <w:rsid w:val="00C94A8B"/>
    <w:rsid w:val="00CC1EDB"/>
    <w:rsid w:val="00CC4094"/>
    <w:rsid w:val="00D3388E"/>
    <w:rsid w:val="00D338E4"/>
    <w:rsid w:val="00D403D3"/>
    <w:rsid w:val="00D51947"/>
    <w:rsid w:val="00D532F0"/>
    <w:rsid w:val="00D77413"/>
    <w:rsid w:val="00D82759"/>
    <w:rsid w:val="00D86DE4"/>
    <w:rsid w:val="00D91EFE"/>
    <w:rsid w:val="00DC21C3"/>
    <w:rsid w:val="00E23F1D"/>
    <w:rsid w:val="00E36361"/>
    <w:rsid w:val="00E55AE9"/>
    <w:rsid w:val="00E846BB"/>
    <w:rsid w:val="00EC42E9"/>
    <w:rsid w:val="00ED288F"/>
    <w:rsid w:val="00F40D53"/>
    <w:rsid w:val="00F4525C"/>
    <w:rsid w:val="00FA0648"/>
    <w:rsid w:val="00FC5E79"/>
    <w:rsid w:val="00FD4326"/>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727689"/>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1C7DB88-22C3-4A3E-9C43-769BEF3E0EB7}"/>
</file>

<file path=customXml/itemProps2.xml><?xml version="1.0" encoding="utf-8"?>
<ds:datastoreItem xmlns:ds="http://schemas.openxmlformats.org/officeDocument/2006/customXml" ds:itemID="{04284AD2-8862-40C9-95C6-BBDC2D895E71}"/>
</file>

<file path=customXml/itemProps3.xml><?xml version="1.0" encoding="utf-8"?>
<ds:datastoreItem xmlns:ds="http://schemas.openxmlformats.org/officeDocument/2006/customXml" ds:itemID="{B57B2BDE-720B-4A39-8F89-33FCAAE0CCAE}"/>
</file>

<file path=customXml/itemProps4.xml><?xml version="1.0" encoding="utf-8"?>
<ds:datastoreItem xmlns:ds="http://schemas.openxmlformats.org/officeDocument/2006/customXml" ds:itemID="{CC58309A-9322-411F-A444-1C60673FD203}"/>
</file>

<file path=docProps/app.xml><?xml version="1.0" encoding="utf-8"?>
<Properties xmlns="http://schemas.openxmlformats.org/officeDocument/2006/extended-properties" xmlns:vt="http://schemas.openxmlformats.org/officeDocument/2006/docPropsVTypes">
  <Template>VCAAA4landscape.dotx</Template>
  <TotalTime>2</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Theatre: Performance Descriptors Unit 4 Outcome 3</vt:lpstr>
    </vt:vector>
  </TitlesOfParts>
  <Company>Victorian Curriculum and Assessment Authority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Performance Descriptors Unit 4 Outcome 3</dc:title>
  <dc:subject>VCE Theatre Studies</dc:subject>
  <dc:creator>VCAA</dc:creator>
  <cp:keywords>VCE, Theatre, Advice for teachers, Performance Descriptors, Unit 4,Outcome 3, analysing, evaluating, performance</cp:keywords>
  <cp:lastModifiedBy>Coleman, Julie J</cp:lastModifiedBy>
  <cp:revision>4</cp:revision>
  <cp:lastPrinted>2015-05-15T02:35:00Z</cp:lastPrinted>
  <dcterms:created xsi:type="dcterms:W3CDTF">2018-11-07T02:47:00Z</dcterms:created>
  <dcterms:modified xsi:type="dcterms:W3CDTF">2018-11-19T02:35:00Z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ies>
</file>