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1B7FE" w14:textId="4252FABF" w:rsidR="00F143DB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bookmarkStart w:id="0" w:name="_GoBack"/>
      <w:bookmarkEnd w:id="0"/>
      <w:r w:rsidRPr="00D91EFE">
        <w:rPr>
          <w:sz w:val="40"/>
          <w:szCs w:val="40"/>
        </w:rPr>
        <w:t xml:space="preserve">VCE </w:t>
      </w:r>
      <w:r w:rsidR="00F143DB">
        <w:rPr>
          <w:sz w:val="40"/>
          <w:szCs w:val="40"/>
        </w:rPr>
        <w:t>Visual Communication Design</w:t>
      </w:r>
      <w:r w:rsidR="00F94C71">
        <w:rPr>
          <w:sz w:val="40"/>
          <w:szCs w:val="40"/>
        </w:rPr>
        <w:t xml:space="preserve"> 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29120F">
        <w:rPr>
          <w:sz w:val="40"/>
          <w:szCs w:val="40"/>
        </w:rPr>
        <w:t>3</w:t>
      </w:r>
    </w:p>
    <w:p w14:paraId="7921B7F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Visual Communication Design School-Assessed Coursework Performance Descriptors Unit 3 Outcome 2"/>
        <w:tblDescription w:val="VCE Visual Communication Design School-Assessed Coursework Performance Descriptors Unit 3 Outcome 2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7921B80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7921B800" w14:textId="77777777" w:rsidR="00804C86" w:rsidRPr="00F94C71" w:rsidRDefault="00804C86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 xml:space="preserve">VCE </w:t>
            </w:r>
            <w:r w:rsidR="00C94EEC">
              <w:rPr>
                <w:b/>
                <w:sz w:val="20"/>
                <w:szCs w:val="20"/>
                <w:lang w:eastAsia="en-AU"/>
              </w:rPr>
              <w:t>VISUAL COMMUNICATION DESIGN</w:t>
            </w:r>
          </w:p>
          <w:p w14:paraId="7921B80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7921B80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7921B80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7921B80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7921B80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7921B80C" w14:textId="77777777" w:rsidTr="00DB4A84">
        <w:tc>
          <w:tcPr>
            <w:tcW w:w="2093" w:type="dxa"/>
            <w:vMerge w:val="restart"/>
            <w:vAlign w:val="center"/>
          </w:tcPr>
          <w:p w14:paraId="7921B807" w14:textId="77777777" w:rsidR="00804C86" w:rsidRPr="00225C7A" w:rsidRDefault="00804C86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>Unit 3</w:t>
            </w:r>
          </w:p>
          <w:p w14:paraId="7921B808" w14:textId="77777777" w:rsidR="00804C86" w:rsidRDefault="00804C86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 xml:space="preserve">Outcome </w:t>
            </w:r>
            <w:r w:rsidR="00202485">
              <w:rPr>
                <w:b/>
                <w:i/>
                <w:sz w:val="18"/>
                <w:szCs w:val="18"/>
              </w:rPr>
              <w:t>2</w:t>
            </w:r>
          </w:p>
          <w:p w14:paraId="7921B809" w14:textId="77777777" w:rsidR="00202485" w:rsidRPr="00202485" w:rsidRDefault="00202485" w:rsidP="00202485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02485">
              <w:rPr>
                <w:b/>
                <w:i/>
                <w:sz w:val="18"/>
                <w:szCs w:val="18"/>
              </w:rPr>
              <w:t>On completion of this unit the student should be able to discuss the practices of a contemporary designer from</w:t>
            </w:r>
            <w:r w:rsidR="002E1E6B">
              <w:rPr>
                <w:b/>
                <w:i/>
                <w:sz w:val="18"/>
                <w:szCs w:val="18"/>
              </w:rPr>
              <w:t xml:space="preserve"> </w:t>
            </w:r>
            <w:r w:rsidRPr="00202485">
              <w:rPr>
                <w:b/>
                <w:i/>
                <w:sz w:val="18"/>
                <w:szCs w:val="18"/>
              </w:rPr>
              <w:t>each of the design fields and explain factors that influence these practices.</w:t>
            </w:r>
          </w:p>
          <w:p w14:paraId="7921B80A" w14:textId="77777777" w:rsidR="00202485" w:rsidRPr="00F143DB" w:rsidRDefault="00202485" w:rsidP="00202485">
            <w:pPr>
              <w:pStyle w:val="VCAAtablecondensed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7921B80B" w14:textId="77777777" w:rsidR="00804C86" w:rsidRPr="009B7B3B" w:rsidRDefault="00804C8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804C86" w:rsidRPr="00497336" w14:paraId="7921B813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7921B80D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7921B80E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7921B80F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7921B810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7921B811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7921B812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2E1E6B" w14:paraId="7921B81A" w14:textId="77777777" w:rsidTr="00DB4A84">
        <w:tc>
          <w:tcPr>
            <w:tcW w:w="2093" w:type="dxa"/>
            <w:vMerge/>
          </w:tcPr>
          <w:p w14:paraId="7921B814" w14:textId="77777777" w:rsidR="002E1E6B" w:rsidRDefault="002E1E6B" w:rsidP="007C3D7A"/>
        </w:tc>
        <w:tc>
          <w:tcPr>
            <w:tcW w:w="2665" w:type="dxa"/>
          </w:tcPr>
          <w:p w14:paraId="7921B815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>Very limited description of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 the roles and relationships between designers, specialists and clients, during key stages of the design processes as they relate to communication, industrial and environmental design.</w:t>
            </w:r>
          </w:p>
        </w:tc>
        <w:tc>
          <w:tcPr>
            <w:tcW w:w="2665" w:type="dxa"/>
          </w:tcPr>
          <w:p w14:paraId="7921B816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>Limited description of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 the roles and relationships between designers, specialists and clients, during key stages of the design processes as they relate to communication, industrial and environmental design.</w:t>
            </w:r>
          </w:p>
        </w:tc>
        <w:tc>
          <w:tcPr>
            <w:tcW w:w="2665" w:type="dxa"/>
          </w:tcPr>
          <w:p w14:paraId="7921B817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>Adequate descriptions of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 the roles and relationships between designers, specialists and clients, during key stages of the design processes as they relate to communication, industrial and environmental design.</w:t>
            </w:r>
          </w:p>
        </w:tc>
        <w:tc>
          <w:tcPr>
            <w:tcW w:w="2665" w:type="dxa"/>
          </w:tcPr>
          <w:p w14:paraId="7921B818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>Detailed and informative description of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 the roles and working relationships between designers, specialists and clients, during key stages of the design processes as they relate to communication, industrial and environmental design.</w:t>
            </w:r>
          </w:p>
        </w:tc>
        <w:tc>
          <w:tcPr>
            <w:tcW w:w="2665" w:type="dxa"/>
          </w:tcPr>
          <w:p w14:paraId="7921B819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>Comprehensive description of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 the roles and working relationships between designers, specialists and clients, during key stages of the design processes as they relate to communication, industrial and environmental design.</w:t>
            </w:r>
          </w:p>
        </w:tc>
      </w:tr>
      <w:tr w:rsidR="002E1E6B" w14:paraId="7921B821" w14:textId="77777777" w:rsidTr="00DB4A84">
        <w:trPr>
          <w:trHeight w:val="448"/>
        </w:trPr>
        <w:tc>
          <w:tcPr>
            <w:tcW w:w="2093" w:type="dxa"/>
            <w:vMerge/>
          </w:tcPr>
          <w:p w14:paraId="7921B81B" w14:textId="77777777" w:rsidR="002E1E6B" w:rsidRDefault="002E1E6B" w:rsidP="007C3D7A"/>
        </w:tc>
        <w:tc>
          <w:tcPr>
            <w:tcW w:w="2665" w:type="dxa"/>
          </w:tcPr>
          <w:p w14:paraId="7921B81C" w14:textId="77777777" w:rsidR="002E1E6B" w:rsidRPr="002E1E6B" w:rsidRDefault="002E1E6B" w:rsidP="002E1E6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Very limited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reference to the practices, techniques and processes used by designers when establishing and responding to briefs, and designing visual communications that fulfil clients’ needs.</w:t>
            </w:r>
            <w:r w:rsidRPr="002E1E6B" w:rsidDel="002A0DA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665" w:type="dxa"/>
          </w:tcPr>
          <w:p w14:paraId="7921B81D" w14:textId="77777777" w:rsidR="002E1E6B" w:rsidRPr="002E1E6B" w:rsidRDefault="002E1E6B" w:rsidP="002E1E6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Limited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explanation of the some of the practices, techniques and processes used by designers when establishing and responding to briefs, and designing visual communications that fulfil clients’ needs.</w:t>
            </w:r>
            <w:r w:rsidRPr="002E1E6B" w:rsidDel="002A0DA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665" w:type="dxa"/>
          </w:tcPr>
          <w:p w14:paraId="7921B81E" w14:textId="77777777" w:rsidR="002E1E6B" w:rsidRPr="002E1E6B" w:rsidRDefault="002E1E6B" w:rsidP="002E1E6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Satisfactory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explanation of the practices, techniques and processes used by designers when establishing and responding to briefs, and designing visual communications that fulfil clients’ needs.</w:t>
            </w:r>
          </w:p>
        </w:tc>
        <w:tc>
          <w:tcPr>
            <w:tcW w:w="2665" w:type="dxa"/>
          </w:tcPr>
          <w:p w14:paraId="7921B81F" w14:textId="77777777" w:rsidR="002E1E6B" w:rsidRPr="002E1E6B" w:rsidRDefault="002E1E6B" w:rsidP="002E1E6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Clear and informative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explanation of the practices, techniques and processes used by designers when establishing and responding to briefs, and designing visual communications that fulfil clients’ needs.</w:t>
            </w:r>
          </w:p>
        </w:tc>
        <w:tc>
          <w:tcPr>
            <w:tcW w:w="2665" w:type="dxa"/>
          </w:tcPr>
          <w:p w14:paraId="7921B820" w14:textId="77777777" w:rsidR="002E1E6B" w:rsidRPr="002E1E6B" w:rsidRDefault="002E1E6B" w:rsidP="002E1E6B">
            <w:pPr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Insightful and comprehensive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explanation of the practices, techniques and processes used by designers when establishing and responding to briefs, and designing visual communications that fulfil clients’ needs.</w:t>
            </w:r>
          </w:p>
        </w:tc>
      </w:tr>
      <w:tr w:rsidR="002E1E6B" w14:paraId="7921B828" w14:textId="77777777" w:rsidTr="002E1E6B">
        <w:trPr>
          <w:trHeight w:val="1070"/>
        </w:trPr>
        <w:tc>
          <w:tcPr>
            <w:tcW w:w="2093" w:type="dxa"/>
            <w:vMerge/>
          </w:tcPr>
          <w:p w14:paraId="7921B822" w14:textId="77777777" w:rsidR="002E1E6B" w:rsidRDefault="002E1E6B" w:rsidP="007C3D7A"/>
        </w:tc>
        <w:tc>
          <w:tcPr>
            <w:tcW w:w="2665" w:type="dxa"/>
          </w:tcPr>
          <w:p w14:paraId="7921B823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Very limited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discussion of the practices used for collaborating between designers and other specialists when developing, refining and presenting final presentations to clients.</w:t>
            </w:r>
          </w:p>
        </w:tc>
        <w:tc>
          <w:tcPr>
            <w:tcW w:w="2665" w:type="dxa"/>
          </w:tcPr>
          <w:p w14:paraId="7921B824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Limited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discussion of the practices used for collaborating between designers and other specialists when developing, refining and presenting final presentations to clients.</w:t>
            </w:r>
          </w:p>
        </w:tc>
        <w:tc>
          <w:tcPr>
            <w:tcW w:w="2665" w:type="dxa"/>
          </w:tcPr>
          <w:p w14:paraId="7921B825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>Satisfactory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 discussion of the practices used for collaborating between designers and other specialists when developing, refining and presenting final presentations to clients.</w:t>
            </w:r>
          </w:p>
        </w:tc>
        <w:tc>
          <w:tcPr>
            <w:tcW w:w="2665" w:type="dxa"/>
          </w:tcPr>
          <w:p w14:paraId="7921B826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Clear and informative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discussion of the practices used for collaborating between designers and other specialists when developing, refining and presenting final presentations to clients.</w:t>
            </w:r>
          </w:p>
        </w:tc>
        <w:tc>
          <w:tcPr>
            <w:tcW w:w="2665" w:type="dxa"/>
          </w:tcPr>
          <w:p w14:paraId="7921B827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Insightful and comprehensive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discussion of the practices used for collaborating between designers and other specialists when developing, refining and presenting final presentations to clients.</w:t>
            </w:r>
          </w:p>
        </w:tc>
      </w:tr>
      <w:tr w:rsidR="002E1E6B" w14:paraId="7921B831" w14:textId="77777777" w:rsidTr="00DB4A84">
        <w:tc>
          <w:tcPr>
            <w:tcW w:w="2093" w:type="dxa"/>
            <w:vMerge/>
          </w:tcPr>
          <w:p w14:paraId="7921B829" w14:textId="77777777" w:rsidR="002E1E6B" w:rsidRDefault="002E1E6B" w:rsidP="007C3D7A"/>
        </w:tc>
        <w:tc>
          <w:tcPr>
            <w:tcW w:w="2665" w:type="dxa"/>
          </w:tcPr>
          <w:p w14:paraId="7921B82A" w14:textId="77777777" w:rsidR="002E1E6B" w:rsidRPr="002E1E6B" w:rsidRDefault="002E1E6B" w:rsidP="002E1E6B">
            <w:pPr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Very limited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discussion of how design decisions may have been influenced by social, cultural, ethical, legal, financial and environmental factors.</w:t>
            </w:r>
          </w:p>
        </w:tc>
        <w:tc>
          <w:tcPr>
            <w:tcW w:w="2665" w:type="dxa"/>
          </w:tcPr>
          <w:p w14:paraId="7921B82B" w14:textId="77777777" w:rsidR="002E1E6B" w:rsidRPr="002E1E6B" w:rsidRDefault="002E1E6B" w:rsidP="002E1E6B">
            <w:pPr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Limited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explanation of how design decisions may have been influenced by social, cultural, ethical, legal, financial and environmental factors.</w:t>
            </w:r>
          </w:p>
        </w:tc>
        <w:tc>
          <w:tcPr>
            <w:tcW w:w="2665" w:type="dxa"/>
          </w:tcPr>
          <w:p w14:paraId="7921B82C" w14:textId="77777777" w:rsidR="002E1E6B" w:rsidRPr="002E1E6B" w:rsidRDefault="002E1E6B" w:rsidP="002E1E6B">
            <w:pPr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Satisfactory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explanation of how design decisions are influenced by a range of social, cultural, ethical, legal, financial and environmental factors.</w:t>
            </w:r>
            <w:r w:rsidRPr="002E1E6B" w:rsidDel="002A0DA7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2665" w:type="dxa"/>
          </w:tcPr>
          <w:p w14:paraId="7921B82D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Clear and informative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explanation of how design decisions are influenced by a range of social, cultural, ethical, legal, financial and environmental factors.</w:t>
            </w:r>
            <w:r w:rsidRPr="002E1E6B" w:rsidDel="002A0DA7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2665" w:type="dxa"/>
          </w:tcPr>
          <w:p w14:paraId="7921B82E" w14:textId="77777777" w:rsidR="002E1E6B" w:rsidRDefault="002E1E6B" w:rsidP="002E1E6B">
            <w:pPr>
              <w:spacing w:beforeLines="40" w:before="96" w:afterLines="40" w:after="96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Insightful and comprehensive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explanation of how design decisions are influenced by a range of social, cultural, ethical, legal, financial and environmental factors.</w:t>
            </w:r>
            <w:r w:rsidRPr="002E1E6B" w:rsidDel="002A0DA7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 </w:t>
            </w:r>
          </w:p>
          <w:p w14:paraId="7921B82F" w14:textId="77777777" w:rsidR="002E1E6B" w:rsidRDefault="002E1E6B" w:rsidP="002E1E6B">
            <w:pPr>
              <w:spacing w:beforeLines="40" w:before="96" w:afterLines="40" w:after="96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</w:p>
          <w:p w14:paraId="7921B830" w14:textId="77777777" w:rsidR="002E1E6B" w:rsidRPr="002E1E6B" w:rsidRDefault="002E1E6B" w:rsidP="002E1E6B">
            <w:pPr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</w:p>
        </w:tc>
      </w:tr>
      <w:tr w:rsidR="002E1E6B" w14:paraId="7921B838" w14:textId="77777777" w:rsidTr="00DB4A84">
        <w:tc>
          <w:tcPr>
            <w:tcW w:w="2093" w:type="dxa"/>
            <w:vMerge/>
          </w:tcPr>
          <w:p w14:paraId="7921B832" w14:textId="77777777" w:rsidR="002E1E6B" w:rsidRDefault="002E1E6B" w:rsidP="007C3D7A"/>
        </w:tc>
        <w:tc>
          <w:tcPr>
            <w:tcW w:w="2665" w:type="dxa"/>
          </w:tcPr>
          <w:p w14:paraId="7921B833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Very limited description of evaluation techniques used by designers throughout the design and production of visual communications.</w:t>
            </w:r>
          </w:p>
        </w:tc>
        <w:tc>
          <w:tcPr>
            <w:tcW w:w="2665" w:type="dxa"/>
          </w:tcPr>
          <w:p w14:paraId="7921B834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Limited description of evaluation techniques used by designers throughout the design and production of visual communications.</w:t>
            </w:r>
          </w:p>
        </w:tc>
        <w:tc>
          <w:tcPr>
            <w:tcW w:w="2665" w:type="dxa"/>
          </w:tcPr>
          <w:p w14:paraId="7921B835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Adequate discussion of evaluation techniques used by designers throughout the design and production of visual communications. </w:t>
            </w:r>
          </w:p>
        </w:tc>
        <w:tc>
          <w:tcPr>
            <w:tcW w:w="2665" w:type="dxa"/>
          </w:tcPr>
          <w:p w14:paraId="7921B836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 xml:space="preserve">Well-developed discussion of evaluation techniques used by designers throughout the design and production of visual communications.  </w:t>
            </w:r>
          </w:p>
        </w:tc>
        <w:tc>
          <w:tcPr>
            <w:tcW w:w="2665" w:type="dxa"/>
          </w:tcPr>
          <w:p w14:paraId="7921B837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Comprehensive discussion of evaluation techniques used by designers throughout the design and production of visual communications.</w:t>
            </w:r>
          </w:p>
        </w:tc>
      </w:tr>
      <w:tr w:rsidR="002E1E6B" w14:paraId="7921B83F" w14:textId="77777777" w:rsidTr="00DB4A84">
        <w:tc>
          <w:tcPr>
            <w:tcW w:w="2093" w:type="dxa"/>
            <w:vMerge/>
          </w:tcPr>
          <w:p w14:paraId="7921B839" w14:textId="77777777" w:rsidR="002E1E6B" w:rsidRDefault="002E1E6B" w:rsidP="007C3D7A"/>
        </w:tc>
        <w:tc>
          <w:tcPr>
            <w:tcW w:w="2665" w:type="dxa"/>
          </w:tcPr>
          <w:p w14:paraId="7921B83A" w14:textId="77777777" w:rsidR="002E1E6B" w:rsidRPr="002E1E6B" w:rsidRDefault="002E1E6B" w:rsidP="002E1E6B">
            <w:pPr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Very limited identification of how designers acknowledge ethical and legal obligations and how these influence designers’ decisions.</w:t>
            </w:r>
          </w:p>
        </w:tc>
        <w:tc>
          <w:tcPr>
            <w:tcW w:w="2665" w:type="dxa"/>
          </w:tcPr>
          <w:p w14:paraId="7921B83B" w14:textId="77777777" w:rsidR="002E1E6B" w:rsidRPr="002E1E6B" w:rsidRDefault="002E1E6B" w:rsidP="002E1E6B">
            <w:pPr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Limited discussion of how designers acknowledge ethical and legal obligations and how these influence designers’ decisions.</w:t>
            </w:r>
          </w:p>
        </w:tc>
        <w:tc>
          <w:tcPr>
            <w:tcW w:w="2665" w:type="dxa"/>
          </w:tcPr>
          <w:p w14:paraId="7921B83C" w14:textId="77777777" w:rsidR="002E1E6B" w:rsidRPr="002E1E6B" w:rsidRDefault="002E1E6B" w:rsidP="002E1E6B">
            <w:pPr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Identification and adequate explanation of practices that designers use to acknowledge ethical and legal obligations and how these influence designers’ decisions.</w:t>
            </w:r>
          </w:p>
        </w:tc>
        <w:tc>
          <w:tcPr>
            <w:tcW w:w="2665" w:type="dxa"/>
          </w:tcPr>
          <w:p w14:paraId="7921B83D" w14:textId="77777777" w:rsidR="002E1E6B" w:rsidRPr="002E1E6B" w:rsidRDefault="002E1E6B" w:rsidP="002E1E6B">
            <w:pPr>
              <w:spacing w:beforeLines="40" w:before="96" w:afterLines="40" w:after="96"/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Clear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identification and explanation of practices that designers use to acknowledge ethical and legal obligations and how these influence designers’ decisions.</w:t>
            </w:r>
          </w:p>
        </w:tc>
        <w:tc>
          <w:tcPr>
            <w:tcW w:w="2665" w:type="dxa"/>
          </w:tcPr>
          <w:p w14:paraId="7921B83E" w14:textId="77777777" w:rsidR="002E1E6B" w:rsidRPr="002E1E6B" w:rsidRDefault="002E1E6B" w:rsidP="002E1E6B">
            <w:pPr>
              <w:spacing w:beforeLines="40" w:before="96" w:afterLines="40" w:after="96"/>
              <w:rPr>
                <w:rFonts w:eastAsia="Calibri" w:cs="Arial"/>
                <w:sz w:val="18"/>
                <w:szCs w:val="18"/>
              </w:rPr>
            </w:pPr>
            <w:r w:rsidRPr="002E1E6B">
              <w:rPr>
                <w:rFonts w:ascii="Arial Narrow" w:hAnsi="Arial Narrow"/>
                <w:sz w:val="18"/>
                <w:szCs w:val="18"/>
              </w:rPr>
              <w:t xml:space="preserve">Comprehensive </w:t>
            </w:r>
            <w:r w:rsidRPr="002E1E6B">
              <w:rPr>
                <w:rFonts w:ascii="Arial Narrow" w:eastAsia="Times New Roman" w:hAnsi="Arial Narrow" w:cs="Times New Roman"/>
                <w:sz w:val="18"/>
                <w:szCs w:val="18"/>
                <w:lang w:val="en-GB" w:eastAsia="en-GB"/>
              </w:rPr>
              <w:t>identification and explanation of practices that designers use to acknowledge ethical and legal obligations and how these influence designers’ decisions.</w:t>
            </w:r>
          </w:p>
        </w:tc>
      </w:tr>
    </w:tbl>
    <w:p w14:paraId="7921B840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7921B841" w14:textId="77777777" w:rsidR="007C3D7A" w:rsidRPr="007C3D7A" w:rsidRDefault="007C3D7A" w:rsidP="009B7B3B">
      <w:pPr>
        <w:pStyle w:val="VCAAtablecondensed"/>
      </w:pPr>
      <w:r w:rsidRPr="007C3D7A">
        <w:t xml:space="preserve">KEY to marking scale based on the Outcome contributing </w:t>
      </w:r>
      <w:r w:rsidR="00C86572">
        <w:t>2</w:t>
      </w:r>
      <w:r w:rsidR="00F143DB">
        <w:t>5</w:t>
      </w:r>
      <w:r w:rsidRPr="007C3D7A"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2 Marking Scale"/>
        <w:tblDescription w:val="Unit 3 Outcome 2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7921B847" w14:textId="77777777" w:rsidTr="003B7962">
        <w:trPr>
          <w:tblHeader/>
        </w:trPr>
        <w:tc>
          <w:tcPr>
            <w:tcW w:w="2062" w:type="dxa"/>
            <w:vAlign w:val="center"/>
          </w:tcPr>
          <w:p w14:paraId="7921B842" w14:textId="77777777" w:rsidR="007C3D7A" w:rsidRPr="00D67669" w:rsidRDefault="00C8657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 1–</w:t>
            </w:r>
            <w:r w:rsidR="00F143DB">
              <w:rPr>
                <w:sz w:val="20"/>
                <w:szCs w:val="20"/>
              </w:rPr>
              <w:t>5</w:t>
            </w:r>
          </w:p>
        </w:tc>
        <w:tc>
          <w:tcPr>
            <w:tcW w:w="2063" w:type="dxa"/>
            <w:vAlign w:val="center"/>
          </w:tcPr>
          <w:p w14:paraId="7921B843" w14:textId="77777777" w:rsidR="007C3D7A" w:rsidRPr="00D67669" w:rsidRDefault="00F143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</w:t>
            </w:r>
            <w:r w:rsidR="00C86572">
              <w:rPr>
                <w:sz w:val="20"/>
                <w:szCs w:val="20"/>
              </w:rPr>
              <w:t>6–1</w:t>
            </w:r>
            <w:r w:rsidR="007C3D7A" w:rsidRPr="00D67669">
              <w:rPr>
                <w:sz w:val="20"/>
                <w:szCs w:val="20"/>
              </w:rPr>
              <w:t>0</w:t>
            </w:r>
          </w:p>
        </w:tc>
        <w:tc>
          <w:tcPr>
            <w:tcW w:w="2063" w:type="dxa"/>
            <w:vAlign w:val="center"/>
          </w:tcPr>
          <w:p w14:paraId="7921B844" w14:textId="77777777" w:rsidR="007C3D7A" w:rsidRPr="00D67669" w:rsidRDefault="00C8657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11–1</w:t>
            </w:r>
            <w:r w:rsidR="00F143DB">
              <w:rPr>
                <w:sz w:val="20"/>
                <w:szCs w:val="20"/>
              </w:rPr>
              <w:t>5</w:t>
            </w:r>
          </w:p>
        </w:tc>
        <w:tc>
          <w:tcPr>
            <w:tcW w:w="2063" w:type="dxa"/>
            <w:vAlign w:val="center"/>
          </w:tcPr>
          <w:p w14:paraId="7921B845" w14:textId="77777777" w:rsidR="007C3D7A" w:rsidRPr="00D67669" w:rsidRDefault="00C8657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16–2</w:t>
            </w:r>
            <w:r w:rsidR="00F143DB">
              <w:rPr>
                <w:sz w:val="20"/>
                <w:szCs w:val="20"/>
              </w:rPr>
              <w:t>0</w:t>
            </w:r>
          </w:p>
        </w:tc>
        <w:tc>
          <w:tcPr>
            <w:tcW w:w="2063" w:type="dxa"/>
            <w:vAlign w:val="center"/>
          </w:tcPr>
          <w:p w14:paraId="7921B846" w14:textId="77777777" w:rsidR="007C3D7A" w:rsidRPr="00D67669" w:rsidRDefault="00C8657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High 21–2</w:t>
            </w:r>
            <w:r w:rsidR="00F143DB">
              <w:rPr>
                <w:sz w:val="20"/>
                <w:szCs w:val="20"/>
              </w:rPr>
              <w:t>5</w:t>
            </w:r>
          </w:p>
        </w:tc>
      </w:tr>
    </w:tbl>
    <w:p w14:paraId="7921B848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1B84B" w14:textId="77777777" w:rsidR="00F143DB" w:rsidRDefault="00F143DB" w:rsidP="00304EA1">
      <w:pPr>
        <w:spacing w:after="0" w:line="240" w:lineRule="auto"/>
      </w:pPr>
      <w:r>
        <w:separator/>
      </w:r>
    </w:p>
  </w:endnote>
  <w:endnote w:type="continuationSeparator" w:id="0">
    <w:p w14:paraId="7921B84C" w14:textId="77777777" w:rsidR="00F143DB" w:rsidRDefault="00F143D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B84F" w14:textId="77777777" w:rsidR="00CC5A60" w:rsidRDefault="00CC5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B850" w14:textId="234E6D9A" w:rsidR="00F143DB" w:rsidRPr="00243F0D" w:rsidRDefault="00F143DB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977FBE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9120F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B852" w14:textId="77777777" w:rsidR="00F143DB" w:rsidRDefault="00F143DB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921B855" wp14:editId="7921B85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1B849" w14:textId="77777777" w:rsidR="00F143DB" w:rsidRDefault="00F143DB" w:rsidP="00304EA1">
      <w:pPr>
        <w:spacing w:after="0" w:line="240" w:lineRule="auto"/>
      </w:pPr>
      <w:r>
        <w:separator/>
      </w:r>
    </w:p>
  </w:footnote>
  <w:footnote w:type="continuationSeparator" w:id="0">
    <w:p w14:paraId="7921B84A" w14:textId="77777777" w:rsidR="00F143DB" w:rsidRDefault="00F143D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B84D" w14:textId="77777777" w:rsidR="00CC5A60" w:rsidRDefault="00CC5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921B84E" w14:textId="7AB9126C" w:rsidR="00F143DB" w:rsidRPr="00D86DE4" w:rsidRDefault="00CC5A6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Visual Communication Design 2018–202</w:t>
        </w:r>
        <w:r w:rsidR="0029120F">
          <w:rPr>
            <w:color w:val="999999" w:themeColor="accent2"/>
            <w:lang w:val="en-AU"/>
          </w:rPr>
          <w:t>3</w:t>
        </w:r>
        <w:r>
          <w:rPr>
            <w:color w:val="999999" w:themeColor="accent2"/>
            <w:lang w:val="en-AU"/>
          </w:rPr>
          <w:t xml:space="preserve"> Unit 3 Outcome 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B851" w14:textId="77777777" w:rsidR="00F143DB" w:rsidRPr="009370BC" w:rsidRDefault="00F143DB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921B853" wp14:editId="7921B854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80CAD"/>
    <w:rsid w:val="000A71F7"/>
    <w:rsid w:val="000F09E4"/>
    <w:rsid w:val="000F16FD"/>
    <w:rsid w:val="00164D7A"/>
    <w:rsid w:val="00180973"/>
    <w:rsid w:val="001C5A13"/>
    <w:rsid w:val="001E5ED4"/>
    <w:rsid w:val="00202485"/>
    <w:rsid w:val="002233AF"/>
    <w:rsid w:val="00225C7A"/>
    <w:rsid w:val="002279BA"/>
    <w:rsid w:val="002329F3"/>
    <w:rsid w:val="00243F0D"/>
    <w:rsid w:val="002647BB"/>
    <w:rsid w:val="002754C1"/>
    <w:rsid w:val="002841C8"/>
    <w:rsid w:val="0028516B"/>
    <w:rsid w:val="0029120F"/>
    <w:rsid w:val="002C6F90"/>
    <w:rsid w:val="002E1E6B"/>
    <w:rsid w:val="002E338E"/>
    <w:rsid w:val="00302FB8"/>
    <w:rsid w:val="00304EA1"/>
    <w:rsid w:val="00314D81"/>
    <w:rsid w:val="00322FC6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921FB"/>
    <w:rsid w:val="004A2ED8"/>
    <w:rsid w:val="004F5BDA"/>
    <w:rsid w:val="004F62D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93FFD"/>
    <w:rsid w:val="006B5F5A"/>
    <w:rsid w:val="006D2159"/>
    <w:rsid w:val="006F787C"/>
    <w:rsid w:val="00702636"/>
    <w:rsid w:val="00724507"/>
    <w:rsid w:val="00742306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F72A2"/>
    <w:rsid w:val="00903D4A"/>
    <w:rsid w:val="009370BC"/>
    <w:rsid w:val="00977FBE"/>
    <w:rsid w:val="0098739B"/>
    <w:rsid w:val="009B7B3B"/>
    <w:rsid w:val="00A17661"/>
    <w:rsid w:val="00A24B2D"/>
    <w:rsid w:val="00A30AF1"/>
    <w:rsid w:val="00A40966"/>
    <w:rsid w:val="00A51560"/>
    <w:rsid w:val="00A63BAF"/>
    <w:rsid w:val="00A921E0"/>
    <w:rsid w:val="00AA1947"/>
    <w:rsid w:val="00AE66AE"/>
    <w:rsid w:val="00B0738F"/>
    <w:rsid w:val="00B14777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86572"/>
    <w:rsid w:val="00C94A8B"/>
    <w:rsid w:val="00C94EEC"/>
    <w:rsid w:val="00CC1EDB"/>
    <w:rsid w:val="00CC4094"/>
    <w:rsid w:val="00CC5A60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70227"/>
    <w:rsid w:val="00EC42E9"/>
    <w:rsid w:val="00ED288F"/>
    <w:rsid w:val="00EF31A4"/>
    <w:rsid w:val="00F143DB"/>
    <w:rsid w:val="00F40D53"/>
    <w:rsid w:val="00F4525C"/>
    <w:rsid w:val="00F94C71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921B7FE"/>
  <w15:docId w15:val="{8E5A5B34-1E11-46BA-8801-4700F88B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1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p1">
    <w:name w:val="p1"/>
    <w:basedOn w:val="Normal"/>
    <w:rsid w:val="00202485"/>
    <w:pPr>
      <w:spacing w:after="0" w:line="240" w:lineRule="auto"/>
    </w:pPr>
    <w:rPr>
      <w:rFonts w:ascii="Helvetica" w:hAnsi="Helvetica" w:cs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2478B7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ABDB-83D9-4104-B5A4-8D0BFC78E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41E54-2998-4D30-8E11-2EE5447CADF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36224F-8A43-479E-97C6-64AE052CE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10640-078B-4A1A-BEF9-6C0BFDC8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Visual Communication Design 2018–2022 Unit 3 Outcome 2</vt:lpstr>
    </vt:vector>
  </TitlesOfParts>
  <Company>Victorian Curriculum and Assessment Authority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Visual Communication Design 2018–2023 Unit 3 Outcome 2</dc:title>
  <dc:creator>VCAA</dc:creator>
  <cp:lastModifiedBy>Coleman, Julie J</cp:lastModifiedBy>
  <cp:revision>3</cp:revision>
  <cp:lastPrinted>2015-05-15T02:35:00Z</cp:lastPrinted>
  <dcterms:created xsi:type="dcterms:W3CDTF">2020-06-01T23:30:00Z</dcterms:created>
  <dcterms:modified xsi:type="dcterms:W3CDTF">2020-06-01T23:31:00Z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