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08" w14:textId="58D58F05" w:rsidR="00F4525C" w:rsidRDefault="00242AC0" w:rsidP="00FB0FE9">
      <w:pPr>
        <w:pStyle w:val="VCAAHeading1"/>
        <w:spacing w:before="360" w:after="240"/>
      </w:pPr>
      <w:r>
        <w:t xml:space="preserve">VCE </w:t>
      </w:r>
      <w:r w:rsidR="006F3D2B">
        <w:t>Economics</w:t>
      </w:r>
      <w:r>
        <w:t xml:space="preserve">: </w:t>
      </w:r>
      <w:r w:rsidR="008D74EF">
        <w:t>Performance descriptors</w:t>
      </w:r>
    </w:p>
    <w:tbl>
      <w:tblPr>
        <w:tblStyle w:val="TableGrid"/>
        <w:tblW w:w="0" w:type="auto"/>
        <w:tblLook w:val="04A0" w:firstRow="1" w:lastRow="0" w:firstColumn="1" w:lastColumn="0" w:noHBand="0" w:noVBand="1"/>
      </w:tblPr>
      <w:tblGrid>
        <w:gridCol w:w="15163"/>
      </w:tblGrid>
      <w:tr w:rsidR="00B82FCD" w14:paraId="0A8EB2D5" w14:textId="77777777" w:rsidTr="00B82FCD">
        <w:tc>
          <w:tcPr>
            <w:tcW w:w="15163" w:type="dxa"/>
            <w:shd w:val="clear" w:color="auto" w:fill="0F7EB4"/>
            <w:vAlign w:val="center"/>
          </w:tcPr>
          <w:p w14:paraId="1523F29D" w14:textId="10C9AD0F" w:rsidR="00B82FCD" w:rsidRPr="00B82FCD" w:rsidRDefault="00B82FCD" w:rsidP="00E143EF">
            <w:pPr>
              <w:tabs>
                <w:tab w:val="left" w:pos="9580"/>
              </w:tabs>
              <w:spacing w:before="120"/>
              <w:ind w:right="-136"/>
              <w:jc w:val="center"/>
              <w:rPr>
                <w:rFonts w:ascii="Arial Narrow" w:hAnsi="Arial Narrow"/>
                <w:b/>
                <w:color w:val="FFFFFF" w:themeColor="background1"/>
                <w:sz w:val="24"/>
                <w:szCs w:val="24"/>
                <w:lang w:eastAsia="en-AU"/>
              </w:rPr>
            </w:pPr>
            <w:r w:rsidRPr="00B82FCD">
              <w:rPr>
                <w:rFonts w:ascii="Arial Narrow" w:hAnsi="Arial Narrow"/>
                <w:b/>
                <w:color w:val="FFFFFF" w:themeColor="background1"/>
                <w:sz w:val="24"/>
                <w:szCs w:val="24"/>
                <w:lang w:eastAsia="en-AU"/>
              </w:rPr>
              <w:t xml:space="preserve">VCE </w:t>
            </w:r>
            <w:r w:rsidR="006F3D2B">
              <w:rPr>
                <w:rFonts w:ascii="Arial Narrow" w:hAnsi="Arial Narrow"/>
                <w:b/>
                <w:color w:val="FFFFFF" w:themeColor="background1"/>
                <w:sz w:val="24"/>
                <w:szCs w:val="24"/>
                <w:lang w:eastAsia="en-AU"/>
              </w:rPr>
              <w:t>ECONOMICS</w:t>
            </w:r>
          </w:p>
          <w:p w14:paraId="1F1F305A" w14:textId="77777777" w:rsidR="00B82FCD" w:rsidRDefault="00B82FCD" w:rsidP="00E143EF">
            <w:pPr>
              <w:spacing w:after="120"/>
              <w:jc w:val="center"/>
            </w:pPr>
            <w:r w:rsidRPr="00B82FCD">
              <w:rPr>
                <w:rFonts w:ascii="Arial Narrow" w:hAnsi="Arial Narrow"/>
                <w:b/>
                <w:color w:val="FFFFFF" w:themeColor="background1"/>
                <w:sz w:val="24"/>
                <w:szCs w:val="24"/>
                <w:lang w:eastAsia="en-AU"/>
              </w:rPr>
              <w:t>SCHOOL-ASSESSED COURSEWORK</w:t>
            </w:r>
          </w:p>
        </w:tc>
      </w:tr>
      <w:tr w:rsidR="00B82FCD" w14:paraId="0B61CA33" w14:textId="77777777" w:rsidTr="00B82FCD">
        <w:tc>
          <w:tcPr>
            <w:tcW w:w="15163" w:type="dxa"/>
            <w:tcBorders>
              <w:bottom w:val="single" w:sz="4" w:space="0" w:color="auto"/>
            </w:tcBorders>
            <w:vAlign w:val="center"/>
          </w:tcPr>
          <w:p w14:paraId="1F6F4975" w14:textId="181B6503" w:rsidR="00B82FCD" w:rsidRDefault="00B82FCD" w:rsidP="00E143EF">
            <w:pPr>
              <w:spacing w:before="60" w:after="60"/>
              <w:jc w:val="center"/>
            </w:pPr>
            <w:r>
              <w:rPr>
                <w:rFonts w:ascii="Arial Narrow" w:eastAsia="Calibri" w:hAnsi="Arial Narrow" w:cs="Cordia New"/>
                <w:b/>
              </w:rPr>
              <w:t xml:space="preserve">Performance </w:t>
            </w:r>
            <w:r w:rsidR="00F61650">
              <w:rPr>
                <w:rFonts w:ascii="Arial Narrow" w:eastAsia="Calibri" w:hAnsi="Arial Narrow" w:cs="Cordia New"/>
                <w:b/>
              </w:rPr>
              <w:t>d</w:t>
            </w:r>
            <w:r>
              <w:rPr>
                <w:rFonts w:ascii="Arial Narrow" w:eastAsia="Calibri" w:hAnsi="Arial Narrow" w:cs="Cordia New"/>
                <w:b/>
              </w:rPr>
              <w:t>escriptors</w:t>
            </w:r>
          </w:p>
        </w:tc>
      </w:tr>
    </w:tbl>
    <w:p w14:paraId="405D5143" w14:textId="77777777" w:rsidR="00B82FCD" w:rsidRPr="00B82FCD" w:rsidRDefault="00B82FCD" w:rsidP="00B82FCD">
      <w:pPr>
        <w:pStyle w:val="VCAAbody"/>
        <w:spacing w:before="0" w:after="0" w:line="240" w:lineRule="auto"/>
        <w:rPr>
          <w:sz w:val="8"/>
          <w:szCs w:val="8"/>
        </w:rPr>
      </w:pP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FB0FE9" w:rsidRPr="00AC3EE8" w14:paraId="4922BACC" w14:textId="77777777" w:rsidTr="00B82FCD">
        <w:tc>
          <w:tcPr>
            <w:tcW w:w="2016" w:type="dxa"/>
            <w:vMerge w:val="restart"/>
            <w:vAlign w:val="center"/>
          </w:tcPr>
          <w:p w14:paraId="025F41B6" w14:textId="38010F38" w:rsidR="00FB0FE9" w:rsidRPr="00B80950" w:rsidRDefault="00FB0FE9" w:rsidP="00850356">
            <w:pPr>
              <w:rPr>
                <w:rFonts w:ascii="Arial Narrow" w:eastAsia="Calibri" w:hAnsi="Arial Narrow" w:cs="Cordia New"/>
                <w:b/>
                <w:bCs/>
                <w:i/>
                <w:iCs/>
                <w:sz w:val="20"/>
                <w:szCs w:val="20"/>
              </w:rPr>
            </w:pPr>
            <w:bookmarkStart w:id="0" w:name="TemplateOverview"/>
            <w:bookmarkEnd w:id="0"/>
            <w:r>
              <w:rPr>
                <w:rFonts w:ascii="Arial Narrow" w:eastAsia="Calibri" w:hAnsi="Arial Narrow" w:cs="Cordia New"/>
                <w:b/>
                <w:bCs/>
                <w:i/>
                <w:iCs/>
                <w:sz w:val="20"/>
                <w:szCs w:val="20"/>
              </w:rPr>
              <w:t>Unit 4</w:t>
            </w:r>
          </w:p>
          <w:p w14:paraId="1B6899BE" w14:textId="0BD2DF25" w:rsidR="00FB0FE9" w:rsidRPr="00B80950" w:rsidRDefault="00FB0FE9" w:rsidP="00850356">
            <w:pPr>
              <w:rPr>
                <w:rFonts w:ascii="Arial Narrow" w:eastAsia="Calibri" w:hAnsi="Arial Narrow" w:cs="Cordia New"/>
                <w:b/>
                <w:bCs/>
                <w:i/>
                <w:iCs/>
                <w:sz w:val="20"/>
                <w:szCs w:val="20"/>
              </w:rPr>
            </w:pPr>
            <w:r w:rsidRPr="00B80950">
              <w:rPr>
                <w:rFonts w:ascii="Arial Narrow" w:eastAsia="Calibri" w:hAnsi="Arial Narrow" w:cs="Cordia New"/>
                <w:b/>
                <w:bCs/>
                <w:i/>
                <w:iCs/>
                <w:sz w:val="20"/>
                <w:szCs w:val="20"/>
              </w:rPr>
              <w:t>Out</w:t>
            </w:r>
            <w:r>
              <w:rPr>
                <w:rFonts w:ascii="Arial Narrow" w:eastAsia="Calibri" w:hAnsi="Arial Narrow" w:cs="Cordia New"/>
                <w:b/>
                <w:bCs/>
                <w:i/>
                <w:iCs/>
                <w:sz w:val="20"/>
                <w:szCs w:val="20"/>
              </w:rPr>
              <w:t>come 1</w:t>
            </w:r>
          </w:p>
          <w:p w14:paraId="16DED177" w14:textId="705F955E" w:rsidR="00FB0FE9" w:rsidRPr="00FB0FE9" w:rsidRDefault="00FB0FE9" w:rsidP="00D320FA">
            <w:pPr>
              <w:pStyle w:val="VCAAbody"/>
              <w:spacing w:line="240" w:lineRule="auto"/>
              <w:rPr>
                <w:rFonts w:ascii="Arial Narrow" w:hAnsi="Arial Narrow"/>
                <w:b/>
                <w:bCs/>
                <w:i/>
                <w:iCs/>
                <w:szCs w:val="20"/>
              </w:rPr>
            </w:pPr>
            <w:r w:rsidRPr="00D00E0D">
              <w:rPr>
                <w:rFonts w:ascii="Arial Narrow" w:eastAsia="Calibri" w:hAnsi="Arial Narrow"/>
                <w:b/>
                <w:bCs/>
                <w:i/>
                <w:iCs/>
                <w:color w:val="auto"/>
                <w:szCs w:val="20"/>
              </w:rPr>
              <w:t>On completion of this unit the student should be able to discuss the operation of aggregate demand policies and analyse their intended effects on the achievement of the domestic macroeconomic goals and living standards</w:t>
            </w:r>
            <w:r w:rsidRPr="00D00E0D">
              <w:rPr>
                <w:rFonts w:ascii="Arial Narrow" w:hAnsi="Arial Narrow"/>
                <w:b/>
                <w:bCs/>
                <w:i/>
                <w:iCs/>
                <w:szCs w:val="20"/>
              </w:rPr>
              <w:t>.</w:t>
            </w:r>
          </w:p>
        </w:tc>
        <w:tc>
          <w:tcPr>
            <w:tcW w:w="13147" w:type="dxa"/>
            <w:gridSpan w:val="5"/>
            <w:shd w:val="clear" w:color="auto" w:fill="0F7EB4"/>
            <w:vAlign w:val="center"/>
          </w:tcPr>
          <w:p w14:paraId="621E8D61" w14:textId="77777777" w:rsidR="00FB0FE9" w:rsidRPr="00B82FCD" w:rsidRDefault="00FB0FE9" w:rsidP="00850356">
            <w:pPr>
              <w:spacing w:before="60" w:after="60"/>
              <w:jc w:val="center"/>
              <w:rPr>
                <w:rFonts w:ascii="Arial Narrow" w:hAnsi="Arial Narrow"/>
              </w:rPr>
            </w:pPr>
            <w:r w:rsidRPr="00B82FCD">
              <w:rPr>
                <w:rFonts w:ascii="Arial Narrow" w:eastAsia="Calibri" w:hAnsi="Arial Narrow"/>
                <w:b/>
                <w:color w:val="FFFFFF" w:themeColor="background1"/>
                <w:lang w:val="en-AU"/>
              </w:rPr>
              <w:t>DESCRIPTOR: typical performance in each range</w:t>
            </w:r>
          </w:p>
        </w:tc>
      </w:tr>
      <w:tr w:rsidR="00FB0FE9" w:rsidRPr="00AC3EE8" w14:paraId="543BD61C" w14:textId="77777777" w:rsidTr="008F14E7">
        <w:trPr>
          <w:trHeight w:val="170"/>
        </w:trPr>
        <w:tc>
          <w:tcPr>
            <w:tcW w:w="2016" w:type="dxa"/>
            <w:vMerge/>
            <w:vAlign w:val="center"/>
          </w:tcPr>
          <w:p w14:paraId="546507EA" w14:textId="77777777" w:rsidR="00FB0FE9" w:rsidRPr="00AC3EE8" w:rsidRDefault="00FB0FE9" w:rsidP="00850356">
            <w:pPr>
              <w:spacing w:before="120" w:after="120"/>
              <w:rPr>
                <w:rFonts w:ascii="Arial Narrow" w:hAnsi="Arial Narrow"/>
              </w:rPr>
            </w:pPr>
          </w:p>
        </w:tc>
        <w:tc>
          <w:tcPr>
            <w:tcW w:w="2629" w:type="dxa"/>
            <w:vAlign w:val="center"/>
          </w:tcPr>
          <w:p w14:paraId="2A7E5B20" w14:textId="32E96B9F" w:rsidR="00FB0FE9" w:rsidRPr="00B82FCD" w:rsidRDefault="00FB0FE9" w:rsidP="00850356">
            <w:pPr>
              <w:spacing w:before="60" w:after="60"/>
              <w:jc w:val="center"/>
              <w:rPr>
                <w:rFonts w:ascii="Arial Narrow" w:hAnsi="Arial Narrow"/>
                <w:b/>
                <w:sz w:val="20"/>
                <w:szCs w:val="20"/>
              </w:rPr>
            </w:pPr>
            <w:r w:rsidRPr="00B82FCD">
              <w:rPr>
                <w:rFonts w:ascii="Arial Narrow" w:hAnsi="Arial Narrow"/>
                <w:b/>
                <w:sz w:val="20"/>
                <w:szCs w:val="20"/>
              </w:rPr>
              <w:t>Very low</w:t>
            </w:r>
          </w:p>
        </w:tc>
        <w:tc>
          <w:tcPr>
            <w:tcW w:w="2629" w:type="dxa"/>
            <w:vAlign w:val="center"/>
          </w:tcPr>
          <w:p w14:paraId="4C7AB450"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Low</w:t>
            </w:r>
          </w:p>
        </w:tc>
        <w:tc>
          <w:tcPr>
            <w:tcW w:w="2630" w:type="dxa"/>
            <w:vAlign w:val="center"/>
          </w:tcPr>
          <w:p w14:paraId="1A644B2A"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Medium</w:t>
            </w:r>
          </w:p>
        </w:tc>
        <w:tc>
          <w:tcPr>
            <w:tcW w:w="2629" w:type="dxa"/>
            <w:vAlign w:val="center"/>
          </w:tcPr>
          <w:p w14:paraId="14A44587"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High</w:t>
            </w:r>
          </w:p>
        </w:tc>
        <w:tc>
          <w:tcPr>
            <w:tcW w:w="2630" w:type="dxa"/>
            <w:vAlign w:val="center"/>
          </w:tcPr>
          <w:p w14:paraId="7D0C1984"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Very high</w:t>
            </w:r>
          </w:p>
        </w:tc>
      </w:tr>
      <w:tr w:rsidR="00FB0FE9" w:rsidRPr="00AC3EE8" w14:paraId="04C6BDE1" w14:textId="77777777" w:rsidTr="008F14E7">
        <w:tc>
          <w:tcPr>
            <w:tcW w:w="2016" w:type="dxa"/>
            <w:vMerge/>
            <w:vAlign w:val="center"/>
          </w:tcPr>
          <w:p w14:paraId="1691E570" w14:textId="77777777" w:rsidR="00FB0FE9" w:rsidRPr="00AC3EE8" w:rsidRDefault="00FB0FE9" w:rsidP="00FB0FE9"/>
        </w:tc>
        <w:tc>
          <w:tcPr>
            <w:tcW w:w="2629" w:type="dxa"/>
          </w:tcPr>
          <w:p w14:paraId="2058C437" w14:textId="761D44C2"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 xml:space="preserve">Very limited discussion of the operation of monetary policy.  </w:t>
            </w:r>
          </w:p>
        </w:tc>
        <w:tc>
          <w:tcPr>
            <w:tcW w:w="2629" w:type="dxa"/>
          </w:tcPr>
          <w:p w14:paraId="086C2FF3" w14:textId="49923241"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 xml:space="preserve">Some discussion of the operation of monetary policy.  </w:t>
            </w:r>
          </w:p>
        </w:tc>
        <w:tc>
          <w:tcPr>
            <w:tcW w:w="2630" w:type="dxa"/>
          </w:tcPr>
          <w:p w14:paraId="39783912" w14:textId="4E64A5D2"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 xml:space="preserve">Satisfactory discussion of the operation of monetary policy.  </w:t>
            </w:r>
          </w:p>
        </w:tc>
        <w:tc>
          <w:tcPr>
            <w:tcW w:w="2629" w:type="dxa"/>
          </w:tcPr>
          <w:p w14:paraId="54323F6E" w14:textId="13E0AA9C"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Detailed discussion of the operation of monetary policy</w:t>
            </w:r>
            <w:r w:rsidR="00C1715B">
              <w:rPr>
                <w:rFonts w:ascii="Arial Narrow" w:eastAsia="Calibri" w:hAnsi="Arial Narrow" w:cs="Arial"/>
                <w:sz w:val="18"/>
                <w:szCs w:val="18"/>
              </w:rPr>
              <w:t>.</w:t>
            </w:r>
          </w:p>
        </w:tc>
        <w:tc>
          <w:tcPr>
            <w:tcW w:w="2630" w:type="dxa"/>
          </w:tcPr>
          <w:p w14:paraId="26B83B46" w14:textId="2CFDD819"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insightful discussion of the operation of monetary policy</w:t>
            </w:r>
            <w:r w:rsidR="00C1715B">
              <w:rPr>
                <w:rFonts w:ascii="Arial Narrow" w:eastAsia="Calibri" w:hAnsi="Arial Narrow" w:cs="Arial"/>
                <w:sz w:val="18"/>
                <w:szCs w:val="18"/>
              </w:rPr>
              <w:t>.</w:t>
            </w:r>
          </w:p>
        </w:tc>
      </w:tr>
      <w:tr w:rsidR="00FB0FE9" w:rsidRPr="00AC3EE8" w14:paraId="3842DE8E" w14:textId="77777777" w:rsidTr="008F14E7">
        <w:tc>
          <w:tcPr>
            <w:tcW w:w="2016" w:type="dxa"/>
            <w:vMerge/>
            <w:vAlign w:val="center"/>
          </w:tcPr>
          <w:p w14:paraId="576F2539" w14:textId="77777777" w:rsidR="00FB0FE9" w:rsidRPr="00AC3EE8" w:rsidRDefault="00FB0FE9" w:rsidP="00FB0FE9"/>
        </w:tc>
        <w:tc>
          <w:tcPr>
            <w:tcW w:w="2629" w:type="dxa"/>
          </w:tcPr>
          <w:p w14:paraId="6E70EC3C" w14:textId="4EBFD5B4"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Very limited discussion of the operation of budgetary policy.</w:t>
            </w:r>
          </w:p>
        </w:tc>
        <w:tc>
          <w:tcPr>
            <w:tcW w:w="2629" w:type="dxa"/>
          </w:tcPr>
          <w:p w14:paraId="7D23B6B3" w14:textId="415711C3"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Some discussion of the operation of budgetary policy.</w:t>
            </w:r>
          </w:p>
        </w:tc>
        <w:tc>
          <w:tcPr>
            <w:tcW w:w="2630" w:type="dxa"/>
          </w:tcPr>
          <w:p w14:paraId="5E24E970" w14:textId="7B301173"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Satisfactory discussion of the operation of budgetary policy.</w:t>
            </w:r>
          </w:p>
        </w:tc>
        <w:tc>
          <w:tcPr>
            <w:tcW w:w="2629" w:type="dxa"/>
          </w:tcPr>
          <w:p w14:paraId="491C43A1" w14:textId="55DE3B11"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Comprehensive discussion of the operation of budgetary policy.</w:t>
            </w:r>
          </w:p>
        </w:tc>
        <w:tc>
          <w:tcPr>
            <w:tcW w:w="2630" w:type="dxa"/>
          </w:tcPr>
          <w:p w14:paraId="5C5B5E70" w14:textId="2157FE1E"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insightful discussion of the operation of budgetary policy</w:t>
            </w:r>
            <w:r w:rsidR="00C1715B">
              <w:rPr>
                <w:rFonts w:ascii="Arial Narrow" w:eastAsia="Calibri" w:hAnsi="Arial Narrow" w:cs="Arial"/>
                <w:sz w:val="18"/>
                <w:szCs w:val="18"/>
              </w:rPr>
              <w:t>.</w:t>
            </w:r>
          </w:p>
        </w:tc>
      </w:tr>
      <w:tr w:rsidR="00FB0FE9" w:rsidRPr="00AC3EE8" w14:paraId="1495826C" w14:textId="77777777" w:rsidTr="008F14E7">
        <w:tc>
          <w:tcPr>
            <w:tcW w:w="2016" w:type="dxa"/>
            <w:vMerge/>
            <w:vAlign w:val="center"/>
          </w:tcPr>
          <w:p w14:paraId="7860CEB1" w14:textId="77777777" w:rsidR="00FB0FE9" w:rsidRPr="00AC3EE8" w:rsidRDefault="00FB0FE9" w:rsidP="00FB0FE9"/>
        </w:tc>
        <w:tc>
          <w:tcPr>
            <w:tcW w:w="2629" w:type="dxa"/>
          </w:tcPr>
          <w:p w14:paraId="010DB9EE" w14:textId="1A100868"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Very limited analysis of the intended effects of monetary policy on the achievement of the domestic macroeconomic goals and living standards.</w:t>
            </w:r>
          </w:p>
        </w:tc>
        <w:tc>
          <w:tcPr>
            <w:tcW w:w="2629" w:type="dxa"/>
          </w:tcPr>
          <w:p w14:paraId="06A28C46" w14:textId="6F073C3C"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Some analysis of the intended effects of monetary policy on the achievement of the domestic macroeconomic goals and living standards.</w:t>
            </w:r>
          </w:p>
        </w:tc>
        <w:tc>
          <w:tcPr>
            <w:tcW w:w="2630" w:type="dxa"/>
          </w:tcPr>
          <w:p w14:paraId="24EBFE5F" w14:textId="7E36AE0E"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Satisfactory analysis of the intended effects of monetary policy on the achievement of the domestic macroeconomic goals and living standards.</w:t>
            </w:r>
          </w:p>
        </w:tc>
        <w:tc>
          <w:tcPr>
            <w:tcW w:w="2629" w:type="dxa"/>
          </w:tcPr>
          <w:p w14:paraId="0C8A568B" w14:textId="737B608F"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Detailed analysis of the intended effects of monetary policy on the achievement of the domestic macroeconomic goals and living standards.</w:t>
            </w:r>
          </w:p>
        </w:tc>
        <w:tc>
          <w:tcPr>
            <w:tcW w:w="2630" w:type="dxa"/>
          </w:tcPr>
          <w:p w14:paraId="3226C663" w14:textId="7476222F"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insightful analysis of the intended effects of monetary policy on the achievement of the domestic macroeconomic goals and living standards.</w:t>
            </w:r>
          </w:p>
        </w:tc>
      </w:tr>
      <w:tr w:rsidR="00FB0FE9" w:rsidRPr="00AC3EE8" w14:paraId="7F119A6A" w14:textId="77777777" w:rsidTr="008F14E7">
        <w:tc>
          <w:tcPr>
            <w:tcW w:w="2016" w:type="dxa"/>
            <w:vMerge/>
            <w:vAlign w:val="center"/>
          </w:tcPr>
          <w:p w14:paraId="46B918C7" w14:textId="77777777" w:rsidR="00FB0FE9" w:rsidRPr="00AC3EE8" w:rsidRDefault="00FB0FE9" w:rsidP="00FB0FE9"/>
        </w:tc>
        <w:tc>
          <w:tcPr>
            <w:tcW w:w="2629" w:type="dxa"/>
          </w:tcPr>
          <w:p w14:paraId="63B7BE79" w14:textId="4E65AEEB"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Very limited analysis of the intended effects of budgetary policy on the achievement of the domestic macroeconomic goals and living standards.</w:t>
            </w:r>
          </w:p>
        </w:tc>
        <w:tc>
          <w:tcPr>
            <w:tcW w:w="2629" w:type="dxa"/>
          </w:tcPr>
          <w:p w14:paraId="1B131894" w14:textId="0D6B6AAA"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Some analysis of the intended effects of budgetary policy on the achievement of the domestic macroeconomic goals and living standards.</w:t>
            </w:r>
          </w:p>
        </w:tc>
        <w:tc>
          <w:tcPr>
            <w:tcW w:w="2630" w:type="dxa"/>
          </w:tcPr>
          <w:p w14:paraId="46A29977" w14:textId="12849C94"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Satisfactory analysis of the intended effects of budgetary policy on the achievement of the domestic macroeconomic goals and living standards.</w:t>
            </w:r>
          </w:p>
        </w:tc>
        <w:tc>
          <w:tcPr>
            <w:tcW w:w="2629" w:type="dxa"/>
          </w:tcPr>
          <w:p w14:paraId="66E650CE" w14:textId="7C69330D"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Detailed</w:t>
            </w:r>
            <w:r w:rsidRPr="00D00E0D">
              <w:rPr>
                <w:rFonts w:ascii="Arial Narrow" w:eastAsia="Calibri" w:hAnsi="Arial Narrow" w:cs="Arial"/>
                <w:color w:val="FF0000"/>
                <w:sz w:val="18"/>
                <w:szCs w:val="18"/>
              </w:rPr>
              <w:t xml:space="preserve"> </w:t>
            </w:r>
            <w:r w:rsidRPr="00D00E0D">
              <w:rPr>
                <w:rFonts w:ascii="Arial Narrow" w:eastAsia="Calibri" w:hAnsi="Arial Narrow" w:cs="Arial"/>
                <w:sz w:val="18"/>
                <w:szCs w:val="18"/>
              </w:rPr>
              <w:t>analysis of the intended effects of budgetary policy on the achievement of the domestic macroeconomic goals and living standards.</w:t>
            </w:r>
          </w:p>
        </w:tc>
        <w:tc>
          <w:tcPr>
            <w:tcW w:w="2630" w:type="dxa"/>
          </w:tcPr>
          <w:p w14:paraId="2CB6E23A" w14:textId="0BA8236B" w:rsidR="00FB0FE9" w:rsidRPr="00B82FCD" w:rsidRDefault="00FB0FE9" w:rsidP="00FB0FE9">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insightful analysis of the intended effects of budgetary policy on the achievement of the domestic macroeconomic goals and living standards.</w:t>
            </w:r>
          </w:p>
        </w:tc>
      </w:tr>
      <w:tr w:rsidR="00FB0FE9" w:rsidRPr="00AC3EE8" w14:paraId="7433AB25" w14:textId="77777777" w:rsidTr="008F14E7">
        <w:tc>
          <w:tcPr>
            <w:tcW w:w="2016" w:type="dxa"/>
            <w:vMerge/>
            <w:vAlign w:val="center"/>
          </w:tcPr>
          <w:p w14:paraId="0EA649F8" w14:textId="77777777" w:rsidR="00FB0FE9" w:rsidRPr="00AC3EE8" w:rsidRDefault="00FB0FE9" w:rsidP="00FB0FE9"/>
        </w:tc>
        <w:tc>
          <w:tcPr>
            <w:tcW w:w="2629" w:type="dxa"/>
          </w:tcPr>
          <w:p w14:paraId="1C7065CB" w14:textId="47BC7FDE"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Very limited synthesis and underdeveloped use of economics concepts, terms, data and other information</w:t>
            </w:r>
            <w:r w:rsidR="00C1715B">
              <w:rPr>
                <w:rFonts w:ascii="Arial Narrow" w:eastAsia="Calibri" w:hAnsi="Arial Narrow" w:cs="Arial"/>
                <w:sz w:val="18"/>
                <w:szCs w:val="18"/>
              </w:rPr>
              <w:t>.</w:t>
            </w:r>
          </w:p>
        </w:tc>
        <w:tc>
          <w:tcPr>
            <w:tcW w:w="2629" w:type="dxa"/>
          </w:tcPr>
          <w:p w14:paraId="1EFDE727" w14:textId="25823F9E"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Some synthesis and an attempt to use economics concepts, terms, data and other information</w:t>
            </w:r>
            <w:r w:rsidR="00C1715B">
              <w:rPr>
                <w:rFonts w:ascii="Arial Narrow" w:eastAsia="Calibri" w:hAnsi="Arial Narrow" w:cs="Arial"/>
                <w:sz w:val="18"/>
                <w:szCs w:val="18"/>
              </w:rPr>
              <w:t>.</w:t>
            </w:r>
          </w:p>
        </w:tc>
        <w:tc>
          <w:tcPr>
            <w:tcW w:w="2630" w:type="dxa"/>
          </w:tcPr>
          <w:p w14:paraId="0D9984CF" w14:textId="4E38BCBF"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Appropriate synthesis supported by the use of economics, concepts, data and other information</w:t>
            </w:r>
          </w:p>
        </w:tc>
        <w:tc>
          <w:tcPr>
            <w:tcW w:w="2629" w:type="dxa"/>
          </w:tcPr>
          <w:p w14:paraId="5588B12B" w14:textId="71ADCCA4"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Detailed synthesis supported by the use of economics concepts, terms, data and other information</w:t>
            </w:r>
          </w:p>
        </w:tc>
        <w:tc>
          <w:tcPr>
            <w:tcW w:w="2630" w:type="dxa"/>
          </w:tcPr>
          <w:p w14:paraId="7801B2C2" w14:textId="3390A6F1"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Insightful and thorough synthesis supported by sophisticated use of economics concepts, terms, data and other information</w:t>
            </w:r>
          </w:p>
        </w:tc>
      </w:tr>
    </w:tbl>
    <w:p w14:paraId="36C4E857" w14:textId="77777777" w:rsidR="00FB0FE9" w:rsidRDefault="00FB0FE9">
      <w:r>
        <w:br w:type="page"/>
      </w: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FB0FE9" w:rsidRPr="00AC3EE8" w14:paraId="34E720B6" w14:textId="77777777" w:rsidTr="008F14E7">
        <w:tc>
          <w:tcPr>
            <w:tcW w:w="2016" w:type="dxa"/>
            <w:vAlign w:val="center"/>
          </w:tcPr>
          <w:p w14:paraId="08E8730C" w14:textId="3404C9F7" w:rsidR="00FB0FE9" w:rsidRPr="00AC3EE8" w:rsidRDefault="00FB0FE9" w:rsidP="00FB0FE9"/>
        </w:tc>
        <w:tc>
          <w:tcPr>
            <w:tcW w:w="2629" w:type="dxa"/>
          </w:tcPr>
          <w:p w14:paraId="58924A48" w14:textId="1D2D0C66"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Very limited analysis of the strengths and weaknesses of aggregate demand policies in achieving the domestic macroeconomic goals and living standards.</w:t>
            </w:r>
          </w:p>
        </w:tc>
        <w:tc>
          <w:tcPr>
            <w:tcW w:w="2629" w:type="dxa"/>
          </w:tcPr>
          <w:p w14:paraId="7F388B76" w14:textId="64415DC6"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Some analysis of the strengths and weaknesses of aggregate demand policies in achieving the domestic macroeconomic goals and living standards.</w:t>
            </w:r>
          </w:p>
        </w:tc>
        <w:tc>
          <w:tcPr>
            <w:tcW w:w="2630" w:type="dxa"/>
          </w:tcPr>
          <w:p w14:paraId="374B2FDE" w14:textId="3AB76207"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Satisfactory analysis of the strengths and weaknesses of aggregate demand policies in achieving the domestic macroeconomic goals and living standards.</w:t>
            </w:r>
          </w:p>
        </w:tc>
        <w:tc>
          <w:tcPr>
            <w:tcW w:w="2629" w:type="dxa"/>
          </w:tcPr>
          <w:p w14:paraId="5A78372E" w14:textId="28386C01"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Comprehensive</w:t>
            </w:r>
            <w:r w:rsidRPr="00D00E0D">
              <w:rPr>
                <w:rFonts w:ascii="Arial Narrow" w:eastAsia="Calibri" w:hAnsi="Arial Narrow" w:cs="Arial"/>
                <w:color w:val="FF0000"/>
                <w:sz w:val="18"/>
                <w:szCs w:val="18"/>
              </w:rPr>
              <w:t xml:space="preserve"> </w:t>
            </w:r>
            <w:r w:rsidRPr="00D00E0D">
              <w:rPr>
                <w:rFonts w:ascii="Arial Narrow" w:eastAsia="Calibri" w:hAnsi="Arial Narrow" w:cs="Arial"/>
                <w:sz w:val="18"/>
                <w:szCs w:val="18"/>
              </w:rPr>
              <w:t>analysis of the strengths and weaknesses of aggregate demand policies in achieving the domestic macroeconomic goals and living standards.</w:t>
            </w:r>
          </w:p>
        </w:tc>
        <w:tc>
          <w:tcPr>
            <w:tcW w:w="2630" w:type="dxa"/>
          </w:tcPr>
          <w:p w14:paraId="50E9D041" w14:textId="17942474" w:rsidR="00FB0FE9" w:rsidRPr="00D00E0D" w:rsidRDefault="00FB0FE9" w:rsidP="00FB0FE9">
            <w:pPr>
              <w:spacing w:before="80" w:after="80"/>
              <w:rPr>
                <w:rFonts w:ascii="Arial Narrow" w:eastAsia="Calibri" w:hAnsi="Arial Narrow" w:cs="Arial"/>
                <w:sz w:val="18"/>
                <w:szCs w:val="18"/>
              </w:rPr>
            </w:pPr>
            <w:r w:rsidRPr="00D00E0D">
              <w:rPr>
                <w:rFonts w:ascii="Arial Narrow" w:eastAsia="Calibri" w:hAnsi="Arial Narrow" w:cs="Arial"/>
                <w:sz w:val="18"/>
                <w:szCs w:val="18"/>
              </w:rPr>
              <w:t>Sophisticated and insightful analysis of the strengths and weaknesses of aggregate demand policies in achieving the domestic macroeconomic goals and living standards.</w:t>
            </w:r>
          </w:p>
        </w:tc>
      </w:tr>
    </w:tbl>
    <w:p w14:paraId="3EF2AC96" w14:textId="4D51D810" w:rsidR="00850356" w:rsidRPr="00850356" w:rsidRDefault="00850356" w:rsidP="00FB0FE9">
      <w:pPr>
        <w:spacing w:before="240" w:after="6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FB0FE9">
        <w:rPr>
          <w:rFonts w:ascii="Arial Narrow" w:hAnsi="Arial Narrow" w:cs="Arial"/>
          <w:sz w:val="20"/>
          <w:szCs w:val="20"/>
        </w:rPr>
        <w:t>60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A8A3A78" w14:textId="77777777" w:rsidTr="00850356">
        <w:tc>
          <w:tcPr>
            <w:tcW w:w="2063" w:type="dxa"/>
            <w:vAlign w:val="center"/>
          </w:tcPr>
          <w:p w14:paraId="7ED3BFB2" w14:textId="103B9466"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l</w:t>
            </w:r>
            <w:r w:rsidRPr="00850356">
              <w:rPr>
                <w:rFonts w:ascii="Arial Narrow" w:hAnsi="Arial Narrow" w:cs="Arial"/>
                <w:sz w:val="20"/>
                <w:szCs w:val="20"/>
              </w:rPr>
              <w:t>ow 1</w:t>
            </w:r>
            <w:r w:rsidR="00B82FCD">
              <w:rPr>
                <w:rFonts w:ascii="Arial Narrow" w:hAnsi="Arial Narrow" w:cs="Arial"/>
                <w:sz w:val="20"/>
                <w:szCs w:val="20"/>
              </w:rPr>
              <w:t>–</w:t>
            </w:r>
            <w:r w:rsidR="00FB0FE9">
              <w:rPr>
                <w:rFonts w:ascii="Arial Narrow" w:hAnsi="Arial Narrow" w:cs="Arial"/>
                <w:sz w:val="20"/>
                <w:szCs w:val="20"/>
              </w:rPr>
              <w:t>12</w:t>
            </w:r>
          </w:p>
        </w:tc>
        <w:tc>
          <w:tcPr>
            <w:tcW w:w="2063" w:type="dxa"/>
            <w:vAlign w:val="center"/>
          </w:tcPr>
          <w:p w14:paraId="1C6DFB43" w14:textId="550CF7B4"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FB0FE9">
              <w:rPr>
                <w:rFonts w:ascii="Arial Narrow" w:hAnsi="Arial Narrow" w:cs="Arial"/>
                <w:sz w:val="20"/>
                <w:szCs w:val="20"/>
              </w:rPr>
              <w:t>13</w:t>
            </w:r>
            <w:r w:rsidRPr="00850356">
              <w:rPr>
                <w:rFonts w:ascii="Arial Narrow" w:hAnsi="Arial Narrow" w:cs="Arial"/>
                <w:sz w:val="20"/>
                <w:szCs w:val="20"/>
              </w:rPr>
              <w:t>–</w:t>
            </w:r>
            <w:r w:rsidR="00FB0FE9">
              <w:rPr>
                <w:rFonts w:ascii="Arial Narrow" w:hAnsi="Arial Narrow" w:cs="Arial"/>
                <w:sz w:val="20"/>
                <w:szCs w:val="20"/>
              </w:rPr>
              <w:t>25</w:t>
            </w:r>
          </w:p>
        </w:tc>
        <w:tc>
          <w:tcPr>
            <w:tcW w:w="2063" w:type="dxa"/>
            <w:vAlign w:val="center"/>
          </w:tcPr>
          <w:p w14:paraId="424D0CE3" w14:textId="1EF5197A"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FB0FE9">
              <w:rPr>
                <w:rFonts w:ascii="Arial Narrow" w:hAnsi="Arial Narrow" w:cs="Arial"/>
                <w:sz w:val="20"/>
                <w:szCs w:val="20"/>
              </w:rPr>
              <w:t>26</w:t>
            </w:r>
            <w:r w:rsidRPr="00850356">
              <w:rPr>
                <w:rFonts w:ascii="Arial Narrow" w:hAnsi="Arial Narrow" w:cs="Arial"/>
                <w:sz w:val="20"/>
                <w:szCs w:val="20"/>
              </w:rPr>
              <w:t>–</w:t>
            </w:r>
            <w:r w:rsidR="00FB0FE9">
              <w:rPr>
                <w:rFonts w:ascii="Arial Narrow" w:hAnsi="Arial Narrow" w:cs="Arial"/>
                <w:sz w:val="20"/>
                <w:szCs w:val="20"/>
              </w:rPr>
              <w:t>37</w:t>
            </w:r>
          </w:p>
        </w:tc>
        <w:tc>
          <w:tcPr>
            <w:tcW w:w="2063" w:type="dxa"/>
            <w:vAlign w:val="center"/>
          </w:tcPr>
          <w:p w14:paraId="20F42840" w14:textId="433EA409"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FB0FE9">
              <w:rPr>
                <w:rFonts w:ascii="Arial Narrow" w:hAnsi="Arial Narrow" w:cs="Arial"/>
                <w:sz w:val="20"/>
                <w:szCs w:val="20"/>
              </w:rPr>
              <w:t>38</w:t>
            </w:r>
            <w:r w:rsidRPr="00850356">
              <w:rPr>
                <w:rFonts w:ascii="Arial Narrow" w:hAnsi="Arial Narrow" w:cs="Arial"/>
                <w:sz w:val="20"/>
                <w:szCs w:val="20"/>
              </w:rPr>
              <w:t>–</w:t>
            </w:r>
            <w:r w:rsidR="00FB0FE9">
              <w:rPr>
                <w:rFonts w:ascii="Arial Narrow" w:hAnsi="Arial Narrow" w:cs="Arial"/>
                <w:sz w:val="20"/>
                <w:szCs w:val="20"/>
              </w:rPr>
              <w:t>49</w:t>
            </w:r>
          </w:p>
        </w:tc>
        <w:tc>
          <w:tcPr>
            <w:tcW w:w="2065" w:type="dxa"/>
          </w:tcPr>
          <w:p w14:paraId="51B8D32D" w14:textId="4386E7EF"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h</w:t>
            </w:r>
            <w:r w:rsidRPr="00850356">
              <w:rPr>
                <w:rFonts w:ascii="Arial Narrow" w:hAnsi="Arial Narrow" w:cs="Arial"/>
                <w:sz w:val="20"/>
                <w:szCs w:val="20"/>
              </w:rPr>
              <w:t xml:space="preserve">igh </w:t>
            </w:r>
            <w:r w:rsidR="00FB0FE9">
              <w:rPr>
                <w:rFonts w:ascii="Arial Narrow" w:hAnsi="Arial Narrow" w:cs="Arial"/>
                <w:sz w:val="20"/>
                <w:szCs w:val="20"/>
              </w:rPr>
              <w:t>50</w:t>
            </w:r>
            <w:r w:rsidRPr="00850356">
              <w:rPr>
                <w:rFonts w:ascii="Arial Narrow" w:hAnsi="Arial Narrow" w:cs="Arial"/>
                <w:sz w:val="20"/>
                <w:szCs w:val="20"/>
              </w:rPr>
              <w:t>–</w:t>
            </w:r>
            <w:r w:rsidR="00FB0FE9">
              <w:rPr>
                <w:rFonts w:ascii="Arial Narrow" w:hAnsi="Arial Narrow" w:cs="Arial"/>
                <w:sz w:val="20"/>
                <w:szCs w:val="20"/>
              </w:rPr>
              <w:t>60</w:t>
            </w:r>
          </w:p>
        </w:tc>
      </w:tr>
    </w:tbl>
    <w:p w14:paraId="63F1CE41" w14:textId="77777777"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5AC" w14:textId="77777777" w:rsidR="004743B4" w:rsidRDefault="004743B4" w:rsidP="00304EA1">
      <w:pPr>
        <w:spacing w:after="0" w:line="240" w:lineRule="auto"/>
      </w:pPr>
      <w:r>
        <w:separator/>
      </w:r>
    </w:p>
  </w:endnote>
  <w:endnote w:type="continuationSeparator" w:id="0">
    <w:p w14:paraId="1535BDA0" w14:textId="77777777" w:rsidR="004743B4" w:rsidRDefault="004743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B80950" w:rsidRPr="00D06414" w14:paraId="572FEB35" w14:textId="77777777" w:rsidTr="00BB3BAB">
      <w:trPr>
        <w:trHeight w:val="476"/>
      </w:trPr>
      <w:tc>
        <w:tcPr>
          <w:tcW w:w="1667" w:type="pct"/>
          <w:tcMar>
            <w:left w:w="0" w:type="dxa"/>
            <w:right w:w="0" w:type="dxa"/>
          </w:tcMar>
        </w:tcPr>
        <w:p w14:paraId="5331377C" w14:textId="77777777" w:rsidR="00B80950" w:rsidRPr="00D06414" w:rsidRDefault="00B809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54957E3" wp14:editId="59BD816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22A6039"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EBA2BD2" w14:textId="77777777" w:rsidR="00B80950" w:rsidRPr="00D06414" w:rsidRDefault="00B809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61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45F3AE0"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19E90A" wp14:editId="3B0E0D4F">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B80950" w:rsidRPr="00D06414" w14:paraId="05735827" w14:textId="77777777" w:rsidTr="000F5AAF">
      <w:tc>
        <w:tcPr>
          <w:tcW w:w="1459" w:type="pct"/>
          <w:tcMar>
            <w:left w:w="0" w:type="dxa"/>
            <w:right w:w="0" w:type="dxa"/>
          </w:tcMar>
        </w:tcPr>
        <w:p w14:paraId="37B1C6F3"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A2A1844"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BF1C72F" w14:textId="77777777" w:rsidR="00B80950" w:rsidRPr="00D06414" w:rsidRDefault="00B809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509903C"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302C41C" wp14:editId="35DD67A5">
          <wp:simplePos x="0" y="0"/>
          <wp:positionH relativeFrom="page">
            <wp:align>right</wp:align>
          </wp:positionH>
          <wp:positionV relativeFrom="bottomMargin">
            <wp:align>top</wp:align>
          </wp:positionV>
          <wp:extent cx="10680065" cy="6724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672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8A73" w14:textId="77777777" w:rsidR="004743B4" w:rsidRDefault="004743B4" w:rsidP="00304EA1">
      <w:pPr>
        <w:spacing w:after="0" w:line="240" w:lineRule="auto"/>
      </w:pPr>
      <w:r>
        <w:separator/>
      </w:r>
    </w:p>
  </w:footnote>
  <w:footnote w:type="continuationSeparator" w:id="0">
    <w:p w14:paraId="670934A3" w14:textId="77777777" w:rsidR="004743B4" w:rsidRDefault="004743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1BE" w14:textId="4094A5C8" w:rsidR="00B80950" w:rsidRPr="00D86DE4" w:rsidRDefault="00B213E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F3D2B">
          <w:rPr>
            <w:color w:val="999999" w:themeColor="accent2"/>
          </w:rPr>
          <w:t>VCE Economics: Performance descriptors</w:t>
        </w:r>
      </w:sdtContent>
    </w:sdt>
    <w:r w:rsidR="00B8095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93A" w14:textId="77777777" w:rsidR="00B80950" w:rsidRPr="009370BC" w:rsidRDefault="00B80950" w:rsidP="00970580">
    <w:pPr>
      <w:spacing w:after="0"/>
      <w:ind w:right="-142"/>
      <w:jc w:val="right"/>
    </w:pPr>
    <w:r>
      <w:rPr>
        <w:noProof/>
        <w:lang w:val="en-AU" w:eastAsia="en-AU"/>
      </w:rPr>
      <w:drawing>
        <wp:anchor distT="0" distB="0" distL="114300" distR="114300" simplePos="0" relativeHeight="251660288" behindDoc="1" locked="1" layoutInCell="1" allowOverlap="1" wp14:anchorId="25216006" wp14:editId="0C6D953C">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DB"/>
    <w:rsid w:val="0005780E"/>
    <w:rsid w:val="00060A23"/>
    <w:rsid w:val="00065CC6"/>
    <w:rsid w:val="000A71F7"/>
    <w:rsid w:val="000C4CF2"/>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1E95"/>
    <w:rsid w:val="003B7637"/>
    <w:rsid w:val="003C5E71"/>
    <w:rsid w:val="00417AA3"/>
    <w:rsid w:val="00425DFE"/>
    <w:rsid w:val="00434EDB"/>
    <w:rsid w:val="00440B32"/>
    <w:rsid w:val="00443A55"/>
    <w:rsid w:val="0046078D"/>
    <w:rsid w:val="004743B4"/>
    <w:rsid w:val="00476B9F"/>
    <w:rsid w:val="00495C80"/>
    <w:rsid w:val="004A2ED8"/>
    <w:rsid w:val="004F5BDA"/>
    <w:rsid w:val="0051631E"/>
    <w:rsid w:val="00537A1F"/>
    <w:rsid w:val="005629C8"/>
    <w:rsid w:val="00566029"/>
    <w:rsid w:val="00574299"/>
    <w:rsid w:val="005923CB"/>
    <w:rsid w:val="005B391B"/>
    <w:rsid w:val="005D3D78"/>
    <w:rsid w:val="005E2EF0"/>
    <w:rsid w:val="005F4092"/>
    <w:rsid w:val="0068471E"/>
    <w:rsid w:val="00684F98"/>
    <w:rsid w:val="00693FFD"/>
    <w:rsid w:val="006D2159"/>
    <w:rsid w:val="006F3D2B"/>
    <w:rsid w:val="006F787C"/>
    <w:rsid w:val="00702636"/>
    <w:rsid w:val="00724507"/>
    <w:rsid w:val="00742EFF"/>
    <w:rsid w:val="007477C6"/>
    <w:rsid w:val="00773E6C"/>
    <w:rsid w:val="00781FB1"/>
    <w:rsid w:val="007D1B6D"/>
    <w:rsid w:val="00813C37"/>
    <w:rsid w:val="008154B5"/>
    <w:rsid w:val="00823962"/>
    <w:rsid w:val="00831F08"/>
    <w:rsid w:val="00850356"/>
    <w:rsid w:val="00852719"/>
    <w:rsid w:val="008532AA"/>
    <w:rsid w:val="00860115"/>
    <w:rsid w:val="0088783C"/>
    <w:rsid w:val="008D74EF"/>
    <w:rsid w:val="008F14E7"/>
    <w:rsid w:val="009370BC"/>
    <w:rsid w:val="00970580"/>
    <w:rsid w:val="0098739B"/>
    <w:rsid w:val="009B61E5"/>
    <w:rsid w:val="009D1E89"/>
    <w:rsid w:val="009E5707"/>
    <w:rsid w:val="00A17661"/>
    <w:rsid w:val="00A24B2D"/>
    <w:rsid w:val="00A40966"/>
    <w:rsid w:val="00A921E0"/>
    <w:rsid w:val="00A922F4"/>
    <w:rsid w:val="00A937FE"/>
    <w:rsid w:val="00AB3782"/>
    <w:rsid w:val="00AB6FD1"/>
    <w:rsid w:val="00AE5526"/>
    <w:rsid w:val="00AF051B"/>
    <w:rsid w:val="00B01578"/>
    <w:rsid w:val="00B0738F"/>
    <w:rsid w:val="00B13D3B"/>
    <w:rsid w:val="00B26601"/>
    <w:rsid w:val="00B33456"/>
    <w:rsid w:val="00B41951"/>
    <w:rsid w:val="00B53229"/>
    <w:rsid w:val="00B62480"/>
    <w:rsid w:val="00B80950"/>
    <w:rsid w:val="00B81B70"/>
    <w:rsid w:val="00B82FCD"/>
    <w:rsid w:val="00BB3BAB"/>
    <w:rsid w:val="00BB4625"/>
    <w:rsid w:val="00BD0724"/>
    <w:rsid w:val="00BD2B91"/>
    <w:rsid w:val="00BE258C"/>
    <w:rsid w:val="00BE5521"/>
    <w:rsid w:val="00BF6C23"/>
    <w:rsid w:val="00C1715B"/>
    <w:rsid w:val="00C53263"/>
    <w:rsid w:val="00C75F1D"/>
    <w:rsid w:val="00C95156"/>
    <w:rsid w:val="00CA0DC2"/>
    <w:rsid w:val="00CB68E8"/>
    <w:rsid w:val="00CF1856"/>
    <w:rsid w:val="00D04F01"/>
    <w:rsid w:val="00D06414"/>
    <w:rsid w:val="00D10070"/>
    <w:rsid w:val="00D24E5A"/>
    <w:rsid w:val="00D320FA"/>
    <w:rsid w:val="00D338E4"/>
    <w:rsid w:val="00D51947"/>
    <w:rsid w:val="00D532F0"/>
    <w:rsid w:val="00D5584F"/>
    <w:rsid w:val="00D77413"/>
    <w:rsid w:val="00D82759"/>
    <w:rsid w:val="00D86DE4"/>
    <w:rsid w:val="00DD7EA8"/>
    <w:rsid w:val="00DE1909"/>
    <w:rsid w:val="00DE51DB"/>
    <w:rsid w:val="00E23F1D"/>
    <w:rsid w:val="00E30E05"/>
    <w:rsid w:val="00E36361"/>
    <w:rsid w:val="00E538E6"/>
    <w:rsid w:val="00E55AE9"/>
    <w:rsid w:val="00EA61A2"/>
    <w:rsid w:val="00EB0C84"/>
    <w:rsid w:val="00F17FDE"/>
    <w:rsid w:val="00F40D53"/>
    <w:rsid w:val="00F4525C"/>
    <w:rsid w:val="00F50D86"/>
    <w:rsid w:val="00F61650"/>
    <w:rsid w:val="00FB0FE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CD0A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4424E8"/>
    <w:rsid w:val="0059234F"/>
    <w:rsid w:val="009325D2"/>
    <w:rsid w:val="00B815F0"/>
    <w:rsid w:val="00CC2AE3"/>
    <w:rsid w:val="00D90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3D35443-8F0C-4EF2-BD1F-90F262B55443}">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schemas.openxmlformats.org/package/2006/metadata/core-properties"/>
    <ds:schemaRef ds:uri="1aab662d-a6b2-42d6-996b-a574723d1ad8"/>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244365B-EFC7-4C6C-80E7-9DBDEDF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Economics: Performance descriptors</vt:lpstr>
    </vt:vector>
  </TitlesOfParts>
  <Company>Victorian Curriculum and Assessment Authority</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Performance descriptors</dc:title>
  <dc:subject>VCE Business Management</dc:subject>
  <dc:creator>vcaa@education.vic.gov.au</dc:creator>
  <cp:keywords>Economics, VCE, performance descriptors, unit 4, outcome 1</cp:keywords>
  <cp:lastModifiedBy>Julie Coleman</cp:lastModifiedBy>
  <cp:revision>3</cp:revision>
  <cp:lastPrinted>2015-05-15T02:36:00Z</cp:lastPrinted>
  <dcterms:created xsi:type="dcterms:W3CDTF">2022-11-30T00:51:00Z</dcterms:created>
  <dcterms:modified xsi:type="dcterms:W3CDTF">2022-11-30T01:47:00Z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