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234DC79" w:rsidR="00F4525C" w:rsidRDefault="002F4B6C" w:rsidP="009B61E5">
          <w:pPr>
            <w:pStyle w:val="VCAADocumenttitle"/>
          </w:pPr>
          <w:r>
            <w:t>VCE Environmental Science: Sample teaching plan</w:t>
          </w:r>
        </w:p>
      </w:sdtContent>
    </w:sdt>
    <w:p w14:paraId="74E62D52" w14:textId="31E55764" w:rsidR="00243F0D" w:rsidRPr="00823962" w:rsidRDefault="002F4B6C" w:rsidP="002F4B6C">
      <w:pPr>
        <w:pStyle w:val="VCAAHeading2"/>
      </w:pPr>
      <w:bookmarkStart w:id="0" w:name="TemplateOverview"/>
      <w:bookmarkEnd w:id="0"/>
      <w:r w:rsidRPr="00DA755A">
        <w:t xml:space="preserve">Sample Course Outline – VCE </w:t>
      </w:r>
      <w:r>
        <w:t>Environmental Science</w:t>
      </w:r>
      <w:r w:rsidRPr="00DA755A">
        <w:t xml:space="preserve"> Unit </w:t>
      </w:r>
      <w:r>
        <w:t>1</w:t>
      </w:r>
      <w:r w:rsidRPr="00DA755A">
        <w:t xml:space="preserve">: How </w:t>
      </w:r>
      <w:r>
        <w:t>are Earth’s dynamic systems interconnected to support life</w:t>
      </w:r>
      <w:r w:rsidRPr="00DA755A">
        <w:t>?</w:t>
      </w:r>
    </w:p>
    <w:p w14:paraId="3D659880" w14:textId="0505A368" w:rsidR="002754C1" w:rsidRDefault="002F4B6C" w:rsidP="002F4B6C">
      <w:pPr>
        <w:pStyle w:val="VCAAbody"/>
        <w:spacing w:after="240"/>
        <w:rPr>
          <w:color w:val="auto"/>
        </w:rPr>
      </w:pPr>
      <w:r w:rsidRPr="00DA755A">
        <w:rPr>
          <w:b/>
          <w:color w:val="auto"/>
          <w:lang w:val="en-AU"/>
        </w:rPr>
        <w:t>Note:</w:t>
      </w:r>
      <w:r w:rsidRPr="00DA755A">
        <w:rPr>
          <w:color w:val="auto"/>
          <w:lang w:val="en-AU"/>
        </w:rPr>
        <w:t xml:space="preserve"> </w:t>
      </w:r>
      <w:r w:rsidRPr="00DA755A">
        <w:rPr>
          <w:color w:val="auto"/>
        </w:rPr>
        <w:t xml:space="preserve">This is a sample guide only and indicates one way to present the content from the </w:t>
      </w:r>
      <w:r w:rsidRPr="00DA755A">
        <w:rPr>
          <w:i/>
          <w:color w:val="auto"/>
        </w:rPr>
        <w:t xml:space="preserve">VCE </w:t>
      </w:r>
      <w:r>
        <w:rPr>
          <w:i/>
          <w:color w:val="auto"/>
        </w:rPr>
        <w:t>Environmental Science</w:t>
      </w:r>
      <w:r w:rsidRPr="00DA755A">
        <w:rPr>
          <w:i/>
          <w:color w:val="auto"/>
        </w:rPr>
        <w:t xml:space="preserve"> Study Design</w:t>
      </w:r>
      <w:r>
        <w:rPr>
          <w:color w:val="auto"/>
        </w:rPr>
        <w:t xml:space="preserve">. VCE units are designed on the basis of a minimum of 50 hours class time; this sample teaching plan is based on 3 hours per week over 19 weeks and includes activities covering the nine scientific methodologies. </w:t>
      </w:r>
      <w:r w:rsidRPr="00DA755A">
        <w:rPr>
          <w:color w:val="auto"/>
        </w:rPr>
        <w:t xml:space="preserve">Teachers are advised to consider their own contexts in developing learning activities: Which local fieldwork sites would support learning in the topic area? Which local </w:t>
      </w:r>
      <w:r>
        <w:rPr>
          <w:color w:val="auto"/>
        </w:rPr>
        <w:t xml:space="preserve">case studies and </w:t>
      </w:r>
      <w:r w:rsidRPr="00DA755A">
        <w:rPr>
          <w:color w:val="auto"/>
        </w:rPr>
        <w:t>issues lend themselves to debate and investigation? Which experiments can students complete within the resource limitations of their learning environments?</w:t>
      </w:r>
    </w:p>
    <w:tbl>
      <w:tblPr>
        <w:tblStyle w:val="TableGrid1"/>
        <w:tblW w:w="1457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440"/>
        <w:gridCol w:w="2790"/>
        <w:gridCol w:w="3870"/>
        <w:gridCol w:w="3330"/>
        <w:gridCol w:w="2430"/>
      </w:tblGrid>
      <w:tr w:rsidR="002F4B6C" w:rsidRPr="002F4B6C" w14:paraId="35AB109B" w14:textId="77777777" w:rsidTr="002F4B6C">
        <w:tc>
          <w:tcPr>
            <w:tcW w:w="710" w:type="dxa"/>
            <w:shd w:val="clear" w:color="auto" w:fill="0F7EB4"/>
            <w:vAlign w:val="center"/>
          </w:tcPr>
          <w:p w14:paraId="57C19DBA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  <w:t>Week</w:t>
            </w:r>
          </w:p>
        </w:tc>
        <w:tc>
          <w:tcPr>
            <w:tcW w:w="1440" w:type="dxa"/>
            <w:shd w:val="clear" w:color="auto" w:fill="0F7EB4"/>
            <w:vAlign w:val="center"/>
          </w:tcPr>
          <w:p w14:paraId="39CCD91D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  <w:t>Area of study</w:t>
            </w:r>
          </w:p>
        </w:tc>
        <w:tc>
          <w:tcPr>
            <w:tcW w:w="2790" w:type="dxa"/>
            <w:shd w:val="clear" w:color="auto" w:fill="0F7EB4"/>
            <w:vAlign w:val="center"/>
          </w:tcPr>
          <w:p w14:paraId="02B20C19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  <w:t>Key knowledge</w:t>
            </w:r>
          </w:p>
        </w:tc>
        <w:tc>
          <w:tcPr>
            <w:tcW w:w="3870" w:type="dxa"/>
            <w:shd w:val="clear" w:color="auto" w:fill="0F7EB4"/>
            <w:vAlign w:val="center"/>
          </w:tcPr>
          <w:p w14:paraId="0386D767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Learning activities </w:t>
            </w:r>
          </w:p>
        </w:tc>
        <w:tc>
          <w:tcPr>
            <w:tcW w:w="3330" w:type="dxa"/>
            <w:shd w:val="clear" w:color="auto" w:fill="0F7EB4"/>
          </w:tcPr>
          <w:p w14:paraId="6702465C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  <w:t>Science skills focus</w:t>
            </w:r>
          </w:p>
        </w:tc>
        <w:tc>
          <w:tcPr>
            <w:tcW w:w="2430" w:type="dxa"/>
            <w:shd w:val="clear" w:color="auto" w:fill="0F7EB4"/>
          </w:tcPr>
          <w:p w14:paraId="5D52343E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en-AU"/>
              </w:rPr>
              <w:t>Assessment tasks</w:t>
            </w:r>
          </w:p>
        </w:tc>
      </w:tr>
      <w:tr w:rsidR="002F4B6C" w:rsidRPr="002F4B6C" w14:paraId="77192EAA" w14:textId="77777777" w:rsidTr="00EA4640">
        <w:tc>
          <w:tcPr>
            <w:tcW w:w="710" w:type="dxa"/>
            <w:shd w:val="clear" w:color="auto" w:fill="FFFFFF" w:themeFill="background1"/>
            <w:vAlign w:val="center"/>
          </w:tcPr>
          <w:p w14:paraId="7EA8DB3A" w14:textId="77777777" w:rsidR="002F4B6C" w:rsidRPr="002F4B6C" w:rsidRDefault="002F4B6C" w:rsidP="002F4B6C">
            <w:pPr>
              <w:pStyle w:val="VCAAtablecondensed"/>
              <w:jc w:val="center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14:paraId="2EEF46DE" w14:textId="77777777" w:rsidR="002F4B6C" w:rsidRPr="00EA4640" w:rsidRDefault="002F4B6C" w:rsidP="002F4B6C">
            <w:pPr>
              <w:pStyle w:val="VCAAtablecondensed"/>
              <w:rPr>
                <w:b/>
                <w:i/>
                <w:lang w:val="en-AU"/>
              </w:rPr>
            </w:pPr>
            <w:r w:rsidRPr="00EA4640">
              <w:rPr>
                <w:b/>
                <w:i/>
                <w:lang w:val="en-AU"/>
              </w:rPr>
              <w:t>Area of Study 1: How are Earth’s systems organised and connected?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2C7E83CC" w14:textId="77777777" w:rsidR="002F4B6C" w:rsidRPr="002F4B6C" w:rsidRDefault="002F4B6C" w:rsidP="00EA4640">
            <w:pPr>
              <w:pStyle w:val="VCAAtablecondensed"/>
            </w:pPr>
            <w:r w:rsidRPr="002F4B6C">
              <w:rPr>
                <w:b/>
                <w:lang w:val="en-AU"/>
              </w:rPr>
              <w:t xml:space="preserve">Investigation of local ecosystems </w:t>
            </w:r>
            <w:r w:rsidRPr="002F4B6C">
              <w:t>(biotic and abiotic components that determine the environmental conditions of varied habitats within aquatic and terrestrial ecosystems; including the interrelationships represented by food chains, food webs, energy and biomass pyramids)</w:t>
            </w:r>
          </w:p>
        </w:tc>
        <w:tc>
          <w:tcPr>
            <w:tcW w:w="3870" w:type="dxa"/>
            <w:vMerge w:val="restart"/>
            <w:shd w:val="clear" w:color="auto" w:fill="FFFFFF" w:themeFill="background1"/>
          </w:tcPr>
          <w:p w14:paraId="0C92F816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 xml:space="preserve">Fieldwork </w:t>
            </w:r>
            <w:r w:rsidRPr="002F4B6C">
              <w:t>and/or</w:t>
            </w:r>
            <w:r w:rsidRPr="002F4B6C">
              <w:rPr>
                <w:i/>
                <w:iCs/>
              </w:rPr>
              <w:t xml:space="preserve"> controlled experiment</w:t>
            </w:r>
            <w:r w:rsidRPr="002F4B6C">
              <w:t>: in a local context investigate water quality or soil properties</w:t>
            </w:r>
          </w:p>
          <w:p w14:paraId="7D4428B3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Fieldwork</w:t>
            </w:r>
            <w:r w:rsidRPr="002F4B6C">
              <w:t>: terrarium construction</w:t>
            </w:r>
          </w:p>
          <w:p w14:paraId="3ADA4A85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Product, process or system development</w:t>
            </w:r>
            <w:r w:rsidRPr="002F4B6C">
              <w:t>: groups construct Winogradsky columns, including one half of one side of each bottle covered in aluminium foil</w:t>
            </w:r>
          </w:p>
          <w:p w14:paraId="6369B4F1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Practical activity</w:t>
            </w:r>
            <w:r w:rsidRPr="002F4B6C">
              <w:t>: biogeochemical cycles</w:t>
            </w:r>
          </w:p>
          <w:p w14:paraId="694F7F94" w14:textId="77777777" w:rsidR="002F4B6C" w:rsidRPr="002F4B6C" w:rsidRDefault="002F4B6C" w:rsidP="002F4B6C">
            <w:pPr>
              <w:pStyle w:val="VCAAtablecondensedbullet"/>
              <w:rPr>
                <w:i/>
              </w:rPr>
            </w:pPr>
            <w:r w:rsidRPr="002F4B6C">
              <w:rPr>
                <w:i/>
                <w:iCs/>
              </w:rPr>
              <w:t>Group research task</w:t>
            </w:r>
            <w:r w:rsidRPr="002F4B6C">
              <w:t xml:space="preserve">: </w:t>
            </w:r>
            <w:r w:rsidRPr="002F4B6C">
              <w:rPr>
                <w:i/>
              </w:rPr>
              <w:t>Does high plant diversity equal high animal diversity?</w:t>
            </w:r>
          </w:p>
          <w:p w14:paraId="29DE3E8A" w14:textId="77777777" w:rsidR="002F4B6C" w:rsidRPr="002F4B6C" w:rsidRDefault="002F4B6C" w:rsidP="002F4B6C">
            <w:pPr>
              <w:pStyle w:val="VCAAtablecondensedbullet"/>
              <w:rPr>
                <w:iCs/>
              </w:rPr>
            </w:pPr>
            <w:r w:rsidRPr="002F4B6C">
              <w:rPr>
                <w:i/>
              </w:rPr>
              <w:t>Modelling</w:t>
            </w:r>
            <w:r w:rsidRPr="002F4B6C">
              <w:rPr>
                <w:iCs/>
              </w:rPr>
              <w:t>: construct a mouth-in-mouth collage of a food chain</w:t>
            </w:r>
          </w:p>
          <w:p w14:paraId="4E11EB94" w14:textId="77777777" w:rsidR="002F4B6C" w:rsidRPr="002F4B6C" w:rsidRDefault="002F4B6C" w:rsidP="002F4B6C">
            <w:pPr>
              <w:pStyle w:val="VCAAtablecondensedbullet"/>
              <w:rPr>
                <w:i/>
              </w:rPr>
            </w:pPr>
            <w:r w:rsidRPr="002F4B6C">
              <w:rPr>
                <w:i/>
              </w:rPr>
              <w:lastRenderedPageBreak/>
              <w:t xml:space="preserve">Simulation: </w:t>
            </w:r>
            <w:r w:rsidRPr="002F4B6C">
              <w:rPr>
                <w:iCs/>
              </w:rPr>
              <w:t>use an interactive program to generate data</w:t>
            </w:r>
            <w:r w:rsidRPr="002F4B6C">
              <w:rPr>
                <w:i/>
              </w:rPr>
              <w:t xml:space="preserve"> </w:t>
            </w:r>
            <w:r w:rsidRPr="002F4B6C">
              <w:rPr>
                <w:iCs/>
              </w:rPr>
              <w:t>to construct biomass and energy pyramids</w:t>
            </w:r>
          </w:p>
          <w:p w14:paraId="2087767E" w14:textId="77777777" w:rsidR="002F4B6C" w:rsidRPr="002F4B6C" w:rsidRDefault="002F4B6C" w:rsidP="002F4B6C">
            <w:pPr>
              <w:pStyle w:val="VCAAtablecondensedbullet"/>
              <w:spacing w:after="120"/>
              <w:rPr>
                <w:i/>
              </w:rPr>
            </w:pPr>
            <w:r w:rsidRPr="002F4B6C">
              <w:rPr>
                <w:i/>
              </w:rPr>
              <w:t xml:space="preserve">Classification and identification: </w:t>
            </w:r>
            <w:r w:rsidRPr="002F4B6C">
              <w:rPr>
                <w:iCs/>
              </w:rPr>
              <w:t xml:space="preserve">use the example of </w:t>
            </w:r>
            <w:r w:rsidRPr="002F4B6C">
              <w:rPr>
                <w:i/>
              </w:rPr>
              <w:t>Echium Plantagineum</w:t>
            </w:r>
            <w:r w:rsidRPr="002F4B6C">
              <w:rPr>
                <w:iCs/>
              </w:rPr>
              <w:t xml:space="preserve"> (Salvation Jane/ Patterson’s curse) to define a ‘weed’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</w:tcPr>
          <w:p w14:paraId="07D97E91" w14:textId="77777777" w:rsidR="002F4B6C" w:rsidRPr="002F4B6C" w:rsidRDefault="002F4B6C" w:rsidP="002F4B6C">
            <w:pPr>
              <w:pStyle w:val="VCAAtablecondensedbullet"/>
              <w:rPr>
                <w:b/>
                <w:lang w:val="en-AU"/>
              </w:rPr>
            </w:pPr>
            <w:r w:rsidRPr="002F4B6C">
              <w:lastRenderedPageBreak/>
              <w:t>design and conduct investigations: select and use methods appropriate to the selected investigation methodology, including consideration of sampling technique and size, equipment and procedures</w:t>
            </w:r>
          </w:p>
          <w:p w14:paraId="3DD93C65" w14:textId="77777777" w:rsidR="002F4B6C" w:rsidRPr="002F4B6C" w:rsidRDefault="002F4B6C" w:rsidP="002F4B6C">
            <w:pPr>
              <w:pStyle w:val="VCAAtablecondensedbullet"/>
              <w:rPr>
                <w:b/>
                <w:lang w:val="en-AU"/>
              </w:rPr>
            </w:pPr>
            <w:r w:rsidRPr="002F4B6C">
              <w:t>select appropriate sampling techniques in fieldwork (including grids, quadrats, transects)</w:t>
            </w:r>
          </w:p>
          <w:p w14:paraId="51EEBF9D" w14:textId="77777777" w:rsidR="002F4B6C" w:rsidRPr="002F4B6C" w:rsidRDefault="002F4B6C" w:rsidP="002F4B6C">
            <w:pPr>
              <w:pStyle w:val="VCAAtablecondensedbullet"/>
            </w:pPr>
            <w:r w:rsidRPr="002F4B6C">
              <w:t>use appropriate environmental science terminology, representations and conventions, including standard abbreviations, graphing conventions and units of measurement</w:t>
            </w:r>
          </w:p>
        </w:tc>
        <w:tc>
          <w:tcPr>
            <w:tcW w:w="2430" w:type="dxa"/>
            <w:shd w:val="clear" w:color="auto" w:fill="FFFFFF" w:themeFill="background1"/>
          </w:tcPr>
          <w:p w14:paraId="4F39CA78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5FDEF53B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1C201E21" w14:textId="77777777" w:rsidR="002F4B6C" w:rsidRPr="002F4B6C" w:rsidRDefault="002F4B6C" w:rsidP="002F4B6C">
            <w:pPr>
              <w:pStyle w:val="VCAAtablecondensed"/>
              <w:jc w:val="center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>2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1730A0E5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3F9940EA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755C3509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6D6B86EA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123A788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5B059A31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0772B6B2" w14:textId="77777777" w:rsidR="002F4B6C" w:rsidRPr="002F4B6C" w:rsidRDefault="002F4B6C" w:rsidP="002F4B6C">
            <w:pPr>
              <w:pStyle w:val="VCAAtablecondensed"/>
              <w:jc w:val="center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>3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56D79178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26F49B63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10F9E2EF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5D83A69E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E9BD34B" w14:textId="1D827B25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096217A1" w14:textId="77777777" w:rsidTr="00EA4640">
        <w:tc>
          <w:tcPr>
            <w:tcW w:w="710" w:type="dxa"/>
            <w:shd w:val="clear" w:color="auto" w:fill="FFFFFF" w:themeFill="background1"/>
            <w:vAlign w:val="center"/>
          </w:tcPr>
          <w:p w14:paraId="00F9419E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7556E884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222310E8" w14:textId="77777777" w:rsidR="002F4B6C" w:rsidRPr="002F4B6C" w:rsidRDefault="002F4B6C" w:rsidP="00EA4640">
            <w:pPr>
              <w:pStyle w:val="VCAAtablecondensed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 xml:space="preserve">Earth systems thinking </w:t>
            </w:r>
            <w:r w:rsidRPr="002F4B6C">
              <w:rPr>
                <w:lang w:val="en-AU"/>
              </w:rPr>
              <w:t>(natural interactions between Earth’s four systems that support and are affected by the movement of energy and nutrients within and between local and global ecosystems; systems thinking as a way of exploring relationships in environmental systems by identifying inputs, outputs, structures and processes that may be visible or invisible to the human eye, including representation of a local or regional environmental system)</w:t>
            </w:r>
          </w:p>
        </w:tc>
        <w:tc>
          <w:tcPr>
            <w:tcW w:w="3870" w:type="dxa"/>
            <w:vMerge w:val="restart"/>
            <w:shd w:val="clear" w:color="auto" w:fill="FFFFFF" w:themeFill="background1"/>
          </w:tcPr>
          <w:p w14:paraId="364C6A86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Graphic organiser</w:t>
            </w:r>
            <w:r w:rsidRPr="002F4B6C">
              <w:t xml:space="preserve">: compare a world with and without humans </w:t>
            </w:r>
          </w:p>
          <w:p w14:paraId="2C9F7325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Poster</w:t>
            </w:r>
            <w:r w:rsidRPr="002F4B6C">
              <w:t>: energy flow through a selected ecosystem</w:t>
            </w:r>
          </w:p>
          <w:p w14:paraId="7C110B75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Correlational study</w:t>
            </w:r>
            <w:r w:rsidRPr="002F4B6C">
              <w:t>: use an aquarium or local ecosystem to investigate system types (open, semi-permeable, closed)</w:t>
            </w:r>
          </w:p>
          <w:p w14:paraId="34F19079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Case study</w:t>
            </w:r>
            <w:r w:rsidRPr="002F4B6C">
              <w:t>: Borneo parachuting cats</w:t>
            </w:r>
          </w:p>
          <w:p w14:paraId="32404D4C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Case study</w:t>
            </w:r>
            <w:r w:rsidRPr="002F4B6C">
              <w:t>: Explore the ways in which Aboriginal peoples in Queensland have managed water resources</w:t>
            </w:r>
          </w:p>
          <w:p w14:paraId="67E22031" w14:textId="77777777" w:rsidR="002F4B6C" w:rsidRPr="002F4B6C" w:rsidRDefault="002F4B6C" w:rsidP="002F4B6C">
            <w:pPr>
              <w:pStyle w:val="VCAAtablecondensedbullet"/>
              <w:spacing w:after="120"/>
            </w:pPr>
            <w:r w:rsidRPr="002F4B6C">
              <w:rPr>
                <w:i/>
                <w:iCs/>
              </w:rPr>
              <w:t>Literature review</w:t>
            </w:r>
            <w:r w:rsidRPr="002F4B6C">
              <w:t>: research and annotate maps of Earth’s surface to show key locations of outputs (e.g. coal, oil, gas, phosphate rocks) of the different biogeochemical cycles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</w:tcPr>
          <w:p w14:paraId="68F9F1DB" w14:textId="77777777" w:rsidR="002F4B6C" w:rsidRPr="002F4B6C" w:rsidRDefault="002F4B6C" w:rsidP="002F4B6C">
            <w:pPr>
              <w:pStyle w:val="VCAAtablecondensedbullet"/>
            </w:pPr>
            <w:r w:rsidRPr="002F4B6C">
              <w:t>apply Earth systems thinking to analyse and evaluate responses to environmental science scenarios, case studies, issues and challenges in terms of supporting and sustaining ecological integrity</w:t>
            </w:r>
          </w:p>
        </w:tc>
        <w:tc>
          <w:tcPr>
            <w:tcW w:w="2430" w:type="dxa"/>
            <w:shd w:val="clear" w:color="auto" w:fill="FFFFFF" w:themeFill="background1"/>
          </w:tcPr>
          <w:p w14:paraId="57C05AA4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40D0862E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13312AFF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5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604B3241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3FD3DB9A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3D9C83AE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387470CB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617F9A1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091140D9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1AB873BF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6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313D227B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11609616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416A95D2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31026C3C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4FF168F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587A7F6B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75F17096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7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4A792DB1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25DABB3D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534DE821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6ECF1313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91BBEFC" w14:textId="77777777" w:rsidR="002F4B6C" w:rsidRPr="002F4B6C" w:rsidRDefault="002F4B6C" w:rsidP="002F4B6C">
            <w:pPr>
              <w:pStyle w:val="VCAAtablecondensed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>Reflective annotations of practical activities</w:t>
            </w:r>
            <w:r w:rsidRPr="002F4B6C">
              <w:rPr>
                <w:lang w:val="en-AU"/>
              </w:rPr>
              <w:t xml:space="preserve"> (5 minutes at the end of 4 selected practical activities); students respond to a general question at the end of each of four practical activities</w:t>
            </w:r>
          </w:p>
        </w:tc>
      </w:tr>
      <w:tr w:rsidR="002F4B6C" w:rsidRPr="002F4B6C" w14:paraId="19C842F7" w14:textId="77777777" w:rsidTr="00EA4640">
        <w:tc>
          <w:tcPr>
            <w:tcW w:w="710" w:type="dxa"/>
            <w:shd w:val="clear" w:color="auto" w:fill="FFFFFF" w:themeFill="background1"/>
            <w:vAlign w:val="center"/>
          </w:tcPr>
          <w:p w14:paraId="6E771CB6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14:paraId="6A956115" w14:textId="77777777" w:rsidR="002F4B6C" w:rsidRPr="00EA4640" w:rsidRDefault="002F4B6C" w:rsidP="002F4B6C">
            <w:pPr>
              <w:pStyle w:val="VCAAtablecondensed"/>
              <w:rPr>
                <w:b/>
                <w:i/>
                <w:lang w:val="en-AU"/>
              </w:rPr>
            </w:pPr>
            <w:r w:rsidRPr="00EA4640">
              <w:rPr>
                <w:b/>
                <w:i/>
                <w:lang w:val="en-AU"/>
              </w:rPr>
              <w:t>Area of Study 2: How do Earth’s systems change over time?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7FBA6347" w14:textId="77777777" w:rsidR="002F4B6C" w:rsidRPr="002F4B6C" w:rsidRDefault="002F4B6C" w:rsidP="00EA4640">
            <w:pPr>
              <w:pStyle w:val="VCAAtablecondensed"/>
              <w:rPr>
                <w:rFonts w:ascii="Arial" w:hAnsi="Arial"/>
                <w:sz w:val="24"/>
                <w:szCs w:val="24"/>
                <w:lang w:val="en-AU"/>
              </w:rPr>
            </w:pPr>
            <w:r w:rsidRPr="002F4B6C">
              <w:rPr>
                <w:b/>
                <w:lang w:val="en-AU"/>
              </w:rPr>
              <w:t>Earth’s dynamic systems (</w:t>
            </w:r>
            <w:r w:rsidRPr="002F4B6C">
              <w:rPr>
                <w:lang w:val="en-AU"/>
              </w:rPr>
              <w:t>transformative processes occurring during Earth’s deep history that shaped the formation of Earth’s four interrelated systems; changes and disruptions to landscapes, ecosystems and biomes that influence their distribution and ecological characteristics)</w:t>
            </w:r>
            <w:r w:rsidRPr="002F4B6C">
              <w:rPr>
                <w:rFonts w:ascii="Arial" w:hAnsi="Arial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870" w:type="dxa"/>
            <w:vMerge w:val="restart"/>
            <w:shd w:val="clear" w:color="auto" w:fill="FFFFFF" w:themeFill="background1"/>
          </w:tcPr>
          <w:p w14:paraId="2C7F9647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 xml:space="preserve">Modelling: </w:t>
            </w:r>
            <w:r w:rsidRPr="002F4B6C">
              <w:t>group jigsaw timeline modelling activity to show Earth’s formation</w:t>
            </w:r>
          </w:p>
          <w:p w14:paraId="35B4E275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 xml:space="preserve">Simulations: </w:t>
            </w:r>
            <w:r w:rsidRPr="002F4B6C">
              <w:t>online interactives investigating effects of short and long-term cycles and/or abrupt changes such as volcanoes, earthquakes and tsunamis on the Earth’s systems</w:t>
            </w:r>
          </w:p>
          <w:p w14:paraId="776072F9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Data interpretation</w:t>
            </w:r>
            <w:r w:rsidRPr="002F4B6C">
              <w:t>: Plot plate boundaries, seismic activity and/or other major disruptions on a world map identifying relationships and similarities</w:t>
            </w:r>
          </w:p>
          <w:p w14:paraId="4A27BDCE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Practical activity</w:t>
            </w:r>
            <w:r w:rsidRPr="002F4B6C">
              <w:t>: simulate factors that affect ocean currents, coastal regions or river systems</w:t>
            </w:r>
          </w:p>
          <w:p w14:paraId="71A971B5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Video</w:t>
            </w:r>
            <w:r w:rsidRPr="002F4B6C">
              <w:t>: visualisation of New Zealand volcanic eruption; discuss why eruptions are difficult to predict</w:t>
            </w:r>
          </w:p>
          <w:p w14:paraId="0C7C1FD9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Group work</w:t>
            </w:r>
            <w:r w:rsidRPr="002F4B6C">
              <w:t>: Presentation on a selected local ecosystem and the natural and human induced changes that are influencing the ecological characteristics</w:t>
            </w:r>
          </w:p>
          <w:p w14:paraId="10DE7B50" w14:textId="4A03ED6F" w:rsidR="002F4B6C" w:rsidRPr="002F4B6C" w:rsidRDefault="002F4B6C" w:rsidP="002F4B6C">
            <w:pPr>
              <w:pStyle w:val="VCAAtablecondensedbullet"/>
              <w:spacing w:after="120"/>
            </w:pPr>
            <w:r w:rsidRPr="002F4B6C">
              <w:rPr>
                <w:i/>
                <w:iCs/>
              </w:rPr>
              <w:t>Graphic organiser</w:t>
            </w:r>
            <w:r w:rsidRPr="002F4B6C">
              <w:t xml:space="preserve"> or </w:t>
            </w:r>
            <w:r w:rsidRPr="002F4B6C">
              <w:rPr>
                <w:i/>
                <w:iCs/>
              </w:rPr>
              <w:t>jigsaw activity</w:t>
            </w:r>
            <w:r w:rsidRPr="002F4B6C">
              <w:t>: use of different time scales to demonstrate the changes that could or do occur to the four Earth systems in a selected ecosystem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</w:tcPr>
          <w:p w14:paraId="422D575F" w14:textId="77777777" w:rsidR="002F4B6C" w:rsidRPr="002F4B6C" w:rsidRDefault="002F4B6C" w:rsidP="002F4B6C">
            <w:pPr>
              <w:pStyle w:val="VCAAtablecondensedbullet"/>
            </w:pPr>
            <w:r w:rsidRPr="002F4B6C">
              <w:t>analyse and explain how models and theories are used to organise and understand observed phenomena and concepts related to environmental science, identifying limitations of selected models/theories</w:t>
            </w:r>
          </w:p>
          <w:p w14:paraId="607DB0E6" w14:textId="77777777" w:rsidR="002F4B6C" w:rsidRPr="002F4B6C" w:rsidRDefault="002F4B6C" w:rsidP="002F4B6C">
            <w:pPr>
              <w:pStyle w:val="VCAAtablecondensedbullet"/>
              <w:rPr>
                <w:b/>
                <w:lang w:val="en-AU"/>
              </w:rPr>
            </w:pPr>
            <w:r w:rsidRPr="002F4B6C">
              <w:rPr>
                <w:color w:val="000000" w:themeColor="text1"/>
              </w:rPr>
              <w:t>work independently and collaboratively as appropriate and within identified research constraints, adapting or extending processes as required and recording such modifications</w:t>
            </w:r>
          </w:p>
          <w:p w14:paraId="50F85C24" w14:textId="77777777" w:rsidR="002F4B6C" w:rsidRPr="002F4B6C" w:rsidRDefault="002F4B6C" w:rsidP="002F4B6C">
            <w:pPr>
              <w:pStyle w:val="VCAAtablecondensedbullet"/>
            </w:pPr>
            <w:r w:rsidRPr="002F4B6C">
              <w:t xml:space="preserve">process quantitative data using appropriate mathematical relationships and units </w:t>
            </w:r>
          </w:p>
          <w:p w14:paraId="62F3C331" w14:textId="77777777" w:rsidR="002F4B6C" w:rsidRPr="002F4B6C" w:rsidRDefault="002F4B6C" w:rsidP="002F4B6C">
            <w:pPr>
              <w:pStyle w:val="VCAAtablecondensedbullet"/>
            </w:pPr>
            <w:r w:rsidRPr="002F4B6C">
              <w:t>evaluate investigation methods and possible sources of error</w:t>
            </w:r>
          </w:p>
        </w:tc>
        <w:tc>
          <w:tcPr>
            <w:tcW w:w="2430" w:type="dxa"/>
            <w:shd w:val="clear" w:color="auto" w:fill="FFFFFF" w:themeFill="background1"/>
          </w:tcPr>
          <w:p w14:paraId="3C942124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6A1C1B74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32BDABE3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9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3177F91C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629C7240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26D7DB3E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420292C5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7C560B6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7B5E0E75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53561C5D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10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298AF2DB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52937195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7D79398A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2EA17039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25B15C0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06A74B7F" w14:textId="77777777" w:rsidTr="00EA4640">
        <w:tc>
          <w:tcPr>
            <w:tcW w:w="710" w:type="dxa"/>
            <w:shd w:val="clear" w:color="auto" w:fill="FFFFFF" w:themeFill="background1"/>
            <w:vAlign w:val="center"/>
          </w:tcPr>
          <w:p w14:paraId="625DA90C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11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3E2B1C95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16F45733" w14:textId="77777777" w:rsidR="002F4B6C" w:rsidRPr="002F4B6C" w:rsidRDefault="002F4B6C" w:rsidP="00EA4640">
            <w:pPr>
              <w:pStyle w:val="VCAAtablecondensed"/>
              <w:rPr>
                <w:lang w:val="en-AU"/>
              </w:rPr>
            </w:pPr>
            <w:r w:rsidRPr="002F4B6C">
              <w:rPr>
                <w:b/>
                <w:lang w:val="en-AU"/>
              </w:rPr>
              <w:t xml:space="preserve">Data and modelling </w:t>
            </w:r>
            <w:r w:rsidRPr="002F4B6C">
              <w:rPr>
                <w:lang w:val="en-AU"/>
              </w:rPr>
              <w:t>(ways of using data and models to study Earth’s systems and changes in Earth over time)</w:t>
            </w:r>
          </w:p>
        </w:tc>
        <w:tc>
          <w:tcPr>
            <w:tcW w:w="3870" w:type="dxa"/>
            <w:vMerge w:val="restart"/>
            <w:shd w:val="clear" w:color="auto" w:fill="FFFFFF" w:themeFill="background1"/>
          </w:tcPr>
          <w:p w14:paraId="36C1F58D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Data analysis</w:t>
            </w:r>
            <w:r w:rsidRPr="002F4B6C">
              <w:t>: interpret data from a monitoring program using paleoclimatology, marine and ocean, weather balloon, land-based stations or other online databases</w:t>
            </w:r>
          </w:p>
          <w:p w14:paraId="49F5FAA3" w14:textId="77777777" w:rsidR="002F4B6C" w:rsidRPr="002F4B6C" w:rsidRDefault="002F4B6C" w:rsidP="002F4B6C">
            <w:pPr>
              <w:pStyle w:val="VCAAtablecondensedbullet"/>
            </w:pPr>
            <w:r w:rsidRPr="002F4B6C">
              <w:rPr>
                <w:i/>
                <w:iCs/>
              </w:rPr>
              <w:t>Correlational study</w:t>
            </w:r>
            <w:r w:rsidRPr="002F4B6C">
              <w:t>: explore the use of Aboriginal and Torres Strait Islander peoples’ seasonal calendars as data records of Earth’s changing features over time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</w:tcPr>
          <w:p w14:paraId="7C9D25F0" w14:textId="77777777" w:rsidR="002F4B6C" w:rsidRPr="002F4B6C" w:rsidRDefault="002F4B6C" w:rsidP="002F4B6C">
            <w:pPr>
              <w:pStyle w:val="VCAAtablecondensedbullet"/>
            </w:pPr>
            <w:r w:rsidRPr="002F4B6C">
              <w:t>systematically generate and record primary data, and collate secondary data, appropriate to the investigation, including use of databases and reputable online data sources</w:t>
            </w:r>
          </w:p>
          <w:p w14:paraId="33C56984" w14:textId="77777777" w:rsidR="002F4B6C" w:rsidRPr="002F4B6C" w:rsidRDefault="002F4B6C" w:rsidP="002F4B6C">
            <w:pPr>
              <w:pStyle w:val="VCAAtablecondensedbullet"/>
            </w:pPr>
            <w:r w:rsidRPr="002F4B6C">
              <w:t>process and analyse data to identify cause-and-effect relationships, correlations, and linear, non-linear or cyclical patterns</w:t>
            </w:r>
          </w:p>
        </w:tc>
        <w:tc>
          <w:tcPr>
            <w:tcW w:w="2430" w:type="dxa"/>
            <w:shd w:val="clear" w:color="auto" w:fill="FFFFFF" w:themeFill="background1"/>
          </w:tcPr>
          <w:p w14:paraId="376DB436" w14:textId="77777777" w:rsidR="002F4B6C" w:rsidRPr="002F4B6C" w:rsidRDefault="002F4B6C" w:rsidP="002F4B6C">
            <w:pPr>
              <w:spacing w:before="80" w:after="80" w:line="240" w:lineRule="exact"/>
              <w:ind w:left="9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0164743C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5B07EC60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12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5A040347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66FEA3EA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51E34224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166D3BC4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79A9C20" w14:textId="77777777" w:rsidR="002F4B6C" w:rsidRPr="002F4B6C" w:rsidRDefault="002F4B6C" w:rsidP="00252CD6">
            <w:pPr>
              <w:pStyle w:val="VCAAtablecondensed"/>
              <w:spacing w:after="120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 xml:space="preserve">Data analysis task </w:t>
            </w:r>
            <w:r w:rsidRPr="002F4B6C">
              <w:rPr>
                <w:lang w:val="en-AU"/>
              </w:rPr>
              <w:t>(30 minutes): students are presented with a set of data related to an unfamiliar scenario involving change in Earth’s systems - temperature data over time; plot data and interpret trends</w:t>
            </w:r>
          </w:p>
        </w:tc>
      </w:tr>
    </w:tbl>
    <w:p w14:paraId="27F07563" w14:textId="77777777" w:rsidR="002F4B6C" w:rsidRDefault="002F4B6C">
      <w:r>
        <w:br w:type="page"/>
      </w:r>
    </w:p>
    <w:tbl>
      <w:tblPr>
        <w:tblStyle w:val="TableGrid1"/>
        <w:tblW w:w="1457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440"/>
        <w:gridCol w:w="2790"/>
        <w:gridCol w:w="3870"/>
        <w:gridCol w:w="3330"/>
        <w:gridCol w:w="2430"/>
      </w:tblGrid>
      <w:tr w:rsidR="002F4B6C" w:rsidRPr="002F4B6C" w14:paraId="0F723A11" w14:textId="77777777" w:rsidTr="00EA4640">
        <w:tc>
          <w:tcPr>
            <w:tcW w:w="710" w:type="dxa"/>
            <w:shd w:val="clear" w:color="auto" w:fill="FFFFFF" w:themeFill="background1"/>
            <w:vAlign w:val="center"/>
          </w:tcPr>
          <w:p w14:paraId="05CBD7F9" w14:textId="04075264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14:paraId="78292B72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5E749E65" w14:textId="77777777" w:rsidR="002F4B6C" w:rsidRPr="002F4B6C" w:rsidRDefault="002F4B6C" w:rsidP="00EA4640">
            <w:pPr>
              <w:pStyle w:val="VCAAtablecondensed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 xml:space="preserve">Managing environmental challenges </w:t>
            </w:r>
            <w:r w:rsidRPr="002F4B6C">
              <w:rPr>
                <w:lang w:val="en-AU"/>
              </w:rPr>
              <w:t>(the role of innovation and science in responding to challenges because of environmental change and disruption; including the contribution of scientific data, new technologies, regulatory frameworks and diverse stakeholder values and priorities in managing environmental challenges of regional relevance)</w:t>
            </w:r>
          </w:p>
        </w:tc>
        <w:tc>
          <w:tcPr>
            <w:tcW w:w="3870" w:type="dxa"/>
            <w:vMerge w:val="restart"/>
            <w:shd w:val="clear" w:color="auto" w:fill="FFFFFF" w:themeFill="background1"/>
          </w:tcPr>
          <w:p w14:paraId="3AED6B86" w14:textId="77777777" w:rsidR="002F4B6C" w:rsidRPr="002F4B6C" w:rsidRDefault="002F4B6C" w:rsidP="00EA4640">
            <w:pPr>
              <w:pStyle w:val="VCAAtablecondensedbullet"/>
            </w:pPr>
            <w:r w:rsidRPr="002F4B6C">
              <w:rPr>
                <w:i/>
                <w:iCs/>
              </w:rPr>
              <w:t>Discussion</w:t>
            </w:r>
            <w:r w:rsidRPr="002F4B6C">
              <w:t>: explore ways to innovate to ensure developments are sustainable in areas prone to natural disasters</w:t>
            </w:r>
          </w:p>
          <w:p w14:paraId="4142BD8F" w14:textId="77777777" w:rsidR="002F4B6C" w:rsidRPr="002F4B6C" w:rsidRDefault="002F4B6C" w:rsidP="00EA4640">
            <w:pPr>
              <w:pStyle w:val="VCAAtablecondensedbullet"/>
              <w:rPr>
                <w:i/>
                <w:iCs/>
              </w:rPr>
            </w:pPr>
            <w:r w:rsidRPr="002F4B6C">
              <w:rPr>
                <w:i/>
                <w:iCs/>
              </w:rPr>
              <w:t>Literature review</w:t>
            </w:r>
            <w:r w:rsidRPr="002F4B6C">
              <w:t>: Murray Darling Basin plan (or plan for an area of local significance) research task incorporating scientific data, new technologies, regulatory frameworks and stakeholder values</w:t>
            </w:r>
          </w:p>
          <w:p w14:paraId="386EF489" w14:textId="3598C986" w:rsidR="002F4B6C" w:rsidRPr="002F4B6C" w:rsidRDefault="002F4B6C" w:rsidP="00EA4640">
            <w:pPr>
              <w:pStyle w:val="VCAAtablecondensedbullet"/>
              <w:rPr>
                <w:i/>
                <w:iCs/>
              </w:rPr>
            </w:pPr>
            <w:r w:rsidRPr="002F4B6C">
              <w:rPr>
                <w:i/>
                <w:iCs/>
              </w:rPr>
              <w:t xml:space="preserve">Modelling: </w:t>
            </w:r>
            <w:r w:rsidRPr="002F4B6C">
              <w:t>annotate a design of the features of an earthquake-resistant building</w:t>
            </w:r>
            <w:r w:rsidRPr="002F4B6C">
              <w:rPr>
                <w:i/>
                <w:iCs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</w:tcPr>
          <w:p w14:paraId="13A80097" w14:textId="77777777" w:rsidR="002F4B6C" w:rsidRPr="002F4B6C" w:rsidRDefault="002F4B6C" w:rsidP="002F4B6C">
            <w:pPr>
              <w:pStyle w:val="VCAAtablecondensedbullet"/>
            </w:pPr>
            <w:r w:rsidRPr="002F4B6C">
              <w:t>use reasoning to construct scientific arguments, and to draw and justify conclusions consistent with evidence and relevant to the question under investigation</w:t>
            </w:r>
          </w:p>
          <w:p w14:paraId="2F2B6C03" w14:textId="77777777" w:rsidR="002F4B6C" w:rsidRPr="002F4B6C" w:rsidRDefault="002F4B6C" w:rsidP="002F4B6C">
            <w:pPr>
              <w:pStyle w:val="VCAAtablecondensedbullet"/>
              <w:rPr>
                <w:b/>
                <w:lang w:val="en-AU"/>
              </w:rPr>
            </w:pPr>
            <w:r w:rsidRPr="002F4B6C">
              <w:t>acknowledge sources of information and assistance, and use standard scientific referencing conventions</w:t>
            </w:r>
          </w:p>
        </w:tc>
        <w:tc>
          <w:tcPr>
            <w:tcW w:w="2430" w:type="dxa"/>
            <w:shd w:val="clear" w:color="auto" w:fill="FFFFFF" w:themeFill="background1"/>
          </w:tcPr>
          <w:p w14:paraId="2FDB69AF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06AEC08F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2C2A4956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14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6D4C33B1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1F680A22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vMerge/>
            <w:shd w:val="clear" w:color="auto" w:fill="FFFFFF" w:themeFill="background1"/>
            <w:vAlign w:val="center"/>
          </w:tcPr>
          <w:p w14:paraId="75598580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066386D3" w14:textId="77777777" w:rsidR="002F4B6C" w:rsidRPr="002F4B6C" w:rsidRDefault="002F4B6C" w:rsidP="002F4B6C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33801ED" w14:textId="77777777" w:rsidR="002F4B6C" w:rsidRPr="002F4B6C" w:rsidRDefault="002F4B6C" w:rsidP="002F4B6C">
            <w:pPr>
              <w:pStyle w:val="VCAAtablecondensed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 xml:space="preserve">Response to a media article </w:t>
            </w:r>
            <w:r w:rsidRPr="002F4B6C">
              <w:rPr>
                <w:lang w:val="en-AU"/>
              </w:rPr>
              <w:t>(20 minutes):</w:t>
            </w:r>
            <w:r w:rsidRPr="002F4B6C">
              <w:rPr>
                <w:b/>
                <w:lang w:val="en-AU"/>
              </w:rPr>
              <w:t xml:space="preserve"> </w:t>
            </w:r>
            <w:r w:rsidRPr="002F4B6C">
              <w:rPr>
                <w:lang w:val="en-AU"/>
              </w:rPr>
              <w:t xml:space="preserve">students respond to a media article about the local council’s planned management strategies for controlling erosion at a beach </w:t>
            </w:r>
          </w:p>
        </w:tc>
      </w:tr>
      <w:tr w:rsidR="002F4B6C" w:rsidRPr="002F4B6C" w14:paraId="52B63AD5" w14:textId="77777777" w:rsidTr="00EA4640">
        <w:tc>
          <w:tcPr>
            <w:tcW w:w="710" w:type="dxa"/>
            <w:shd w:val="clear" w:color="auto" w:fill="FFFFFF" w:themeFill="background1"/>
            <w:vAlign w:val="center"/>
          </w:tcPr>
          <w:p w14:paraId="791DF128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B9891D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4CDE17F" w14:textId="77777777" w:rsidR="002F4B6C" w:rsidRPr="002F4B6C" w:rsidRDefault="002F4B6C" w:rsidP="00EA4640">
            <w:pPr>
              <w:autoSpaceDE w:val="0"/>
              <w:autoSpaceDN w:val="0"/>
              <w:adjustRightInd w:val="0"/>
              <w:spacing w:before="80" w:after="123"/>
              <w:rPr>
                <w:rFonts w:ascii="Arial Narrow" w:hAnsi="Arial Narrow" w:cs="Arial"/>
                <w:color w:val="000000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AU"/>
              </w:rPr>
              <w:t xml:space="preserve">Investigation design </w:t>
            </w:r>
            <w:r w:rsidRPr="002F4B6C">
              <w:rPr>
                <w:rFonts w:ascii="Arial Narrow" w:hAnsi="Arial Narrow" w:cs="Arial"/>
                <w:color w:val="000000"/>
                <w:sz w:val="20"/>
                <w:szCs w:val="20"/>
                <w:lang w:val="en-AU"/>
              </w:rPr>
              <w:t xml:space="preserve">(environmental science concepts and methodology; techniques of primary qualitative, quantitative data generation; accuracy, precision, reproducibility, repeatability and validity of measurements; and health, safety and ethical guidelines relevant to the selected scientific investigation) </w:t>
            </w:r>
          </w:p>
        </w:tc>
        <w:tc>
          <w:tcPr>
            <w:tcW w:w="3870" w:type="dxa"/>
            <w:shd w:val="clear" w:color="auto" w:fill="FFFFFF" w:themeFill="background1"/>
          </w:tcPr>
          <w:p w14:paraId="29509550" w14:textId="77777777" w:rsidR="002F4B6C" w:rsidRPr="002F4B6C" w:rsidRDefault="002F4B6C" w:rsidP="00EA4640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  <w:lang w:val="en-AU"/>
              </w:rPr>
              <w:t>Formulating hypotheses</w:t>
            </w:r>
            <w:r w:rsidRPr="002F4B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AU"/>
              </w:rPr>
              <w:t>: practice converting investigation questions into hypotheses</w:t>
            </w:r>
          </w:p>
          <w:p w14:paraId="137CDF2E" w14:textId="77777777" w:rsidR="002F4B6C" w:rsidRPr="002F4B6C" w:rsidRDefault="002F4B6C" w:rsidP="00EA4640">
            <w:pPr>
              <w:numPr>
                <w:ilvl w:val="0"/>
                <w:numId w:val="6"/>
              </w:numPr>
              <w:spacing w:before="80" w:after="80" w:line="240" w:lineRule="exac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  <w:lang w:val="en-AU"/>
              </w:rPr>
              <w:t>Register an individual research question</w:t>
            </w:r>
            <w:r w:rsidRPr="002F4B6C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AU"/>
              </w:rPr>
              <w:t>: develop a research question, aim and hypothesis; make a prediction about the investigation outcome; outline the purpose of communication and target audience; propose investigation methodology and method, and check safety requirements</w:t>
            </w:r>
          </w:p>
        </w:tc>
        <w:tc>
          <w:tcPr>
            <w:tcW w:w="3330" w:type="dxa"/>
            <w:shd w:val="clear" w:color="auto" w:fill="FFFFFF" w:themeFill="background1"/>
          </w:tcPr>
          <w:p w14:paraId="388A9545" w14:textId="77777777" w:rsidR="002F4B6C" w:rsidRPr="002F4B6C" w:rsidRDefault="002F4B6C" w:rsidP="002F4B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sz w:val="20"/>
                <w:szCs w:val="20"/>
                <w:lang w:val="en-AU"/>
              </w:rPr>
              <w:t>formulate hypotheses to focus investigations</w:t>
            </w:r>
          </w:p>
          <w:p w14:paraId="378D3C54" w14:textId="77777777" w:rsidR="002F4B6C" w:rsidRPr="002F4B6C" w:rsidRDefault="002F4B6C" w:rsidP="002F4B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sz w:val="20"/>
                <w:szCs w:val="20"/>
                <w:lang w:val="en-AU"/>
              </w:rPr>
              <w:t>predict possible outcomes of investigations</w:t>
            </w:r>
          </w:p>
          <w:p w14:paraId="40502833" w14:textId="77777777" w:rsidR="002F4B6C" w:rsidRPr="002F4B6C" w:rsidRDefault="002F4B6C" w:rsidP="002F4B6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sz w:val="20"/>
                <w:szCs w:val="20"/>
              </w:rPr>
              <w:t>apply relevant occupational health and safety guidelines while undertaking practical investigations</w:t>
            </w:r>
          </w:p>
          <w:p w14:paraId="5E230384" w14:textId="77777777" w:rsidR="002F4B6C" w:rsidRPr="002F4B6C" w:rsidRDefault="002F4B6C" w:rsidP="00252CD6">
            <w:pPr>
              <w:numPr>
                <w:ilvl w:val="0"/>
                <w:numId w:val="6"/>
              </w:numPr>
              <w:spacing w:before="80" w:after="12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demonstrate ethical conduct when undertaking and reporting investigations</w:t>
            </w:r>
          </w:p>
        </w:tc>
        <w:tc>
          <w:tcPr>
            <w:tcW w:w="2430" w:type="dxa"/>
            <w:shd w:val="clear" w:color="auto" w:fill="FFFFFF" w:themeFill="background1"/>
          </w:tcPr>
          <w:p w14:paraId="004ADABD" w14:textId="77777777" w:rsidR="002F4B6C" w:rsidRPr="002F4B6C" w:rsidRDefault="002F4B6C" w:rsidP="002F4B6C">
            <w:pPr>
              <w:spacing w:before="80" w:after="80" w:line="240" w:lineRule="exact"/>
              <w:ind w:left="450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1C3E814B" w14:textId="77777777" w:rsidTr="00EA4640">
        <w:trPr>
          <w:trHeight w:val="1070"/>
        </w:trPr>
        <w:tc>
          <w:tcPr>
            <w:tcW w:w="710" w:type="dxa"/>
            <w:shd w:val="clear" w:color="auto" w:fill="FFFFFF" w:themeFill="background1"/>
            <w:vAlign w:val="center"/>
          </w:tcPr>
          <w:p w14:paraId="33FBE3BC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14:paraId="615C69CD" w14:textId="77777777" w:rsidR="002F4B6C" w:rsidRPr="00EA4640" w:rsidRDefault="002F4B6C" w:rsidP="00252CD6">
            <w:pPr>
              <w:pStyle w:val="VCAAtablecondensed"/>
              <w:rPr>
                <w:b/>
                <w:i/>
                <w:lang w:val="en-AU"/>
              </w:rPr>
            </w:pPr>
            <w:r w:rsidRPr="00EA4640">
              <w:rPr>
                <w:b/>
                <w:i/>
                <w:lang w:val="en-AU"/>
              </w:rPr>
              <w:t>Area of Study 3: How do scientific investigations develop understanding of how Earth’s systems support life?</w:t>
            </w:r>
          </w:p>
        </w:tc>
        <w:tc>
          <w:tcPr>
            <w:tcW w:w="2790" w:type="dxa"/>
            <w:shd w:val="clear" w:color="auto" w:fill="FFFFFF" w:themeFill="background1"/>
          </w:tcPr>
          <w:p w14:paraId="3153DAC1" w14:textId="77777777" w:rsidR="002F4B6C" w:rsidRPr="002F4B6C" w:rsidRDefault="002F4B6C" w:rsidP="00EA4640">
            <w:pPr>
              <w:pStyle w:val="VCAAtablecondensed"/>
              <w:rPr>
                <w:lang w:val="en-AU"/>
              </w:rPr>
            </w:pPr>
            <w:r w:rsidRPr="002F4B6C">
              <w:rPr>
                <w:b/>
                <w:lang w:val="en-AU"/>
              </w:rPr>
              <w:t xml:space="preserve">Scientific evidence </w:t>
            </w:r>
            <w:r w:rsidRPr="002F4B6C">
              <w:rPr>
                <w:lang w:val="en-AU"/>
              </w:rPr>
              <w:t>(distinction between an aim, a hypothesis, a model, a theory and a law; scientific models or theories; characteristics and ways of organising, analysing and evaluating generated primary data; identification of patterns, relationships and sources of error; use of a logbook to authenticate generated primary data; limitations of investigation methods and data generation and/or analysis)</w:t>
            </w:r>
          </w:p>
        </w:tc>
        <w:tc>
          <w:tcPr>
            <w:tcW w:w="3870" w:type="dxa"/>
            <w:shd w:val="clear" w:color="auto" w:fill="FFFFFF" w:themeFill="background1"/>
          </w:tcPr>
          <w:p w14:paraId="78FBEC8F" w14:textId="77777777" w:rsidR="002F4B6C" w:rsidRPr="002F4B6C" w:rsidRDefault="002F4B6C" w:rsidP="00252CD6">
            <w:pPr>
              <w:pStyle w:val="VCAAtablecondensedbullet"/>
            </w:pPr>
            <w:r w:rsidRPr="002F4B6C">
              <w:rPr>
                <w:i/>
                <w:iCs/>
              </w:rPr>
              <w:t>Reflection on others’ investigations</w:t>
            </w:r>
            <w:r w:rsidRPr="002F4B6C">
              <w:t>: Evaluate the pros and cons of the methodology and data generation method used in a selected previously completed investigation; suggest improvements</w:t>
            </w:r>
          </w:p>
          <w:p w14:paraId="73AF30F8" w14:textId="77777777" w:rsidR="002F4B6C" w:rsidRPr="002F4B6C" w:rsidRDefault="002F4B6C" w:rsidP="00252CD6">
            <w:pPr>
              <w:pStyle w:val="VCAAtablecondensedbullet"/>
              <w:rPr>
                <w:b/>
              </w:rPr>
            </w:pPr>
            <w:r w:rsidRPr="002F4B6C">
              <w:rPr>
                <w:i/>
                <w:iCs/>
              </w:rPr>
              <w:t>Data generation and analysis of own investigation</w:t>
            </w:r>
            <w:r w:rsidRPr="002F4B6C">
              <w:t xml:space="preserve">: generate primary data; analyse and evaluate data and methods; evaluate limitations of conclusions </w:t>
            </w:r>
          </w:p>
        </w:tc>
        <w:tc>
          <w:tcPr>
            <w:tcW w:w="3330" w:type="dxa"/>
            <w:shd w:val="clear" w:color="auto" w:fill="FFFFFF" w:themeFill="background1"/>
          </w:tcPr>
          <w:p w14:paraId="22F68039" w14:textId="77777777" w:rsidR="002F4B6C" w:rsidRPr="002F4B6C" w:rsidRDefault="002F4B6C" w:rsidP="00252CD6">
            <w:pPr>
              <w:pStyle w:val="VCAAtablecondensedbullet"/>
            </w:pPr>
            <w:r w:rsidRPr="002F4B6C">
              <w:t>evaluate data to determine the degree to which the evidence supports the aim of the investigation, and make recommendations, as appropriate, for modifying or extending the investigation</w:t>
            </w:r>
          </w:p>
          <w:p w14:paraId="65A1D45C" w14:textId="77777777" w:rsidR="002F4B6C" w:rsidRPr="002F4B6C" w:rsidRDefault="002F4B6C" w:rsidP="00252CD6">
            <w:pPr>
              <w:pStyle w:val="VCAAtablecondensedbullet"/>
              <w:spacing w:after="120"/>
              <w:rPr>
                <w:b/>
                <w:lang w:val="en-AU"/>
              </w:rPr>
            </w:pPr>
            <w:r w:rsidRPr="002F4B6C">
              <w:rPr>
                <w:color w:val="000000" w:themeColor="text1"/>
              </w:rPr>
              <w:t xml:space="preserve">identify and analyse experimental data </w:t>
            </w:r>
            <w:r w:rsidRPr="002F4B6C">
              <w:rPr>
                <w:rFonts w:eastAsiaTheme="minorEastAsia" w:cstheme="minorHAnsi"/>
                <w:color w:val="000000" w:themeColor="text1"/>
              </w:rPr>
              <w:t>qualitatively,</w:t>
            </w:r>
            <w:r w:rsidRPr="002F4B6C">
              <w:rPr>
                <w:color w:val="000000" w:themeColor="text1"/>
              </w:rPr>
              <w:t xml:space="preserve"> handling, where appropriate, concepts of: accuracy, precision, repeatability, reproducibility and validity of measurements</w:t>
            </w:r>
          </w:p>
          <w:p w14:paraId="0C5CBC78" w14:textId="77777777" w:rsidR="002F4B6C" w:rsidRPr="002F4B6C" w:rsidRDefault="002F4B6C" w:rsidP="00252CD6">
            <w:pPr>
              <w:pStyle w:val="VCAAtablecondensedbullet"/>
            </w:pPr>
            <w:r w:rsidRPr="002F4B6C">
              <w:t>evaluate data to determine the degree to which the evidence supports or refutes the initial prediction or hypothesis</w:t>
            </w:r>
          </w:p>
          <w:p w14:paraId="5CB70269" w14:textId="77777777" w:rsidR="002F4B6C" w:rsidRPr="002F4B6C" w:rsidRDefault="002F4B6C" w:rsidP="00252CD6">
            <w:pPr>
              <w:pStyle w:val="VCAAtablecondensedbullet"/>
              <w:spacing w:after="120"/>
            </w:pPr>
            <w:r w:rsidRPr="002F4B6C">
              <w:t>identify, describe and explain the limitations of conclusions, including identification of further evidence required</w:t>
            </w:r>
          </w:p>
        </w:tc>
        <w:tc>
          <w:tcPr>
            <w:tcW w:w="2430" w:type="dxa"/>
            <w:shd w:val="clear" w:color="auto" w:fill="FFFFFF" w:themeFill="background1"/>
          </w:tcPr>
          <w:p w14:paraId="73E46689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F4B6C" w:rsidRPr="002F4B6C" w14:paraId="516A1ABE" w14:textId="77777777" w:rsidTr="00EA4640">
        <w:tc>
          <w:tcPr>
            <w:tcW w:w="710" w:type="dxa"/>
            <w:shd w:val="clear" w:color="auto" w:fill="FFFFFF" w:themeFill="background1"/>
            <w:vAlign w:val="center"/>
          </w:tcPr>
          <w:p w14:paraId="24F2E6E6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17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1590D86E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0CBA363" w14:textId="77777777" w:rsidR="002F4B6C" w:rsidRPr="002F4B6C" w:rsidRDefault="002F4B6C" w:rsidP="00EA4640">
            <w:pPr>
              <w:pStyle w:val="VCAAtablecondensed"/>
              <w:rPr>
                <w:rFonts w:ascii="Arial" w:hAnsi="Arial"/>
                <w:b/>
                <w:lang w:val="en-AU"/>
              </w:rPr>
            </w:pPr>
            <w:r w:rsidRPr="002F4B6C">
              <w:rPr>
                <w:b/>
                <w:lang w:val="en-AU"/>
              </w:rPr>
              <w:t xml:space="preserve">Science communication </w:t>
            </w:r>
            <w:r w:rsidRPr="002F4B6C">
              <w:rPr>
                <w:lang w:val="en-AU"/>
              </w:rPr>
              <w:t>(conventions of scientific report writing for the selected scientific investigation; presentation of findings)</w:t>
            </w:r>
          </w:p>
        </w:tc>
        <w:tc>
          <w:tcPr>
            <w:tcW w:w="3870" w:type="dxa"/>
            <w:shd w:val="clear" w:color="auto" w:fill="FFFFFF" w:themeFill="background1"/>
          </w:tcPr>
          <w:p w14:paraId="4F480C58" w14:textId="77777777" w:rsidR="002F4B6C" w:rsidRPr="002F4B6C" w:rsidRDefault="002F4B6C" w:rsidP="00252CD6">
            <w:pPr>
              <w:pStyle w:val="VCAAtablecondensedbullet"/>
            </w:pPr>
            <w:r w:rsidRPr="002F4B6C">
              <w:rPr>
                <w:i/>
                <w:iCs/>
              </w:rPr>
              <w:t>Critique</w:t>
            </w:r>
            <w:r w:rsidRPr="002F4B6C">
              <w:t xml:space="preserve">: Consider the characteristics of effective science communication; review an existing investigation and its presentation, and evaluate the effectiveness of the communication </w:t>
            </w:r>
          </w:p>
          <w:p w14:paraId="1A0E5DB8" w14:textId="77777777" w:rsidR="002F4B6C" w:rsidRPr="002F4B6C" w:rsidRDefault="002F4B6C" w:rsidP="00252CD6">
            <w:pPr>
              <w:pStyle w:val="VCAAtablecondensedbullet"/>
              <w:spacing w:after="120"/>
            </w:pPr>
            <w:r w:rsidRPr="002F4B6C">
              <w:rPr>
                <w:i/>
                <w:iCs/>
              </w:rPr>
              <w:t>Communicate</w:t>
            </w:r>
            <w:r w:rsidRPr="002F4B6C">
              <w:t>: present investigation findings in an appropriate format for a designated audience</w:t>
            </w:r>
          </w:p>
        </w:tc>
        <w:tc>
          <w:tcPr>
            <w:tcW w:w="3330" w:type="dxa"/>
            <w:shd w:val="clear" w:color="auto" w:fill="FFFFFF" w:themeFill="background1"/>
          </w:tcPr>
          <w:p w14:paraId="342E15D7" w14:textId="77777777" w:rsidR="002F4B6C" w:rsidRPr="002F4B6C" w:rsidRDefault="002F4B6C" w:rsidP="00252CD6">
            <w:pPr>
              <w:pStyle w:val="VCAAtablecondensedbullet"/>
              <w:rPr>
                <w:b/>
                <w:lang w:val="en-AU"/>
              </w:rPr>
            </w:pPr>
            <w:r w:rsidRPr="002F4B6C">
              <w:t xml:space="preserve">use clear, coherent and concise expression to communicate to specific audiences and for specific purposes in appropriate scientific genres, including scientific reports and posters </w:t>
            </w:r>
          </w:p>
        </w:tc>
        <w:tc>
          <w:tcPr>
            <w:tcW w:w="2430" w:type="dxa"/>
            <w:shd w:val="clear" w:color="auto" w:fill="FFFFFF" w:themeFill="background1"/>
          </w:tcPr>
          <w:p w14:paraId="6708A335" w14:textId="77777777" w:rsidR="002F4B6C" w:rsidRPr="002F4B6C" w:rsidRDefault="002F4B6C" w:rsidP="00252CD6">
            <w:pPr>
              <w:pStyle w:val="VCAAtablecondensed"/>
              <w:rPr>
                <w:b/>
                <w:lang w:val="en-AU"/>
              </w:rPr>
            </w:pPr>
            <w:r w:rsidRPr="002F4B6C">
              <w:rPr>
                <w:b/>
                <w:lang w:val="en-AU"/>
              </w:rPr>
              <w:t xml:space="preserve">Scientific poster communication </w:t>
            </w:r>
            <w:r w:rsidRPr="002F4B6C">
              <w:rPr>
                <w:lang w:val="en-AU"/>
              </w:rPr>
              <w:t>(500 words):</w:t>
            </w:r>
            <w:r w:rsidRPr="002F4B6C">
              <w:rPr>
                <w:b/>
                <w:lang w:val="en-AU"/>
              </w:rPr>
              <w:t xml:space="preserve"> </w:t>
            </w:r>
            <w:r w:rsidRPr="002F4B6C">
              <w:rPr>
                <w:lang w:val="en-AU"/>
              </w:rPr>
              <w:t xml:space="preserve">students </w:t>
            </w:r>
            <w:bookmarkStart w:id="1" w:name="_GoBack"/>
            <w:bookmarkEnd w:id="1"/>
            <w:r w:rsidRPr="002F4B6C">
              <w:rPr>
                <w:lang w:val="en-AU"/>
              </w:rPr>
              <w:t>may work on investigation in groups, but poster presented individually, including logbook authentication of data</w:t>
            </w:r>
          </w:p>
        </w:tc>
      </w:tr>
      <w:tr w:rsidR="002F4B6C" w:rsidRPr="002F4B6C" w14:paraId="5272346F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6E90D9D7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18</w:t>
            </w:r>
          </w:p>
        </w:tc>
        <w:tc>
          <w:tcPr>
            <w:tcW w:w="11430" w:type="dxa"/>
            <w:gridSpan w:val="4"/>
            <w:vMerge w:val="restart"/>
            <w:shd w:val="clear" w:color="auto" w:fill="FFFFFF" w:themeFill="background1"/>
            <w:vAlign w:val="center"/>
          </w:tcPr>
          <w:p w14:paraId="4601FFBF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Unit revision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  <w:vAlign w:val="center"/>
          </w:tcPr>
          <w:p w14:paraId="55BD18EE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End-of-semester examination</w:t>
            </w:r>
          </w:p>
        </w:tc>
      </w:tr>
      <w:tr w:rsidR="002F4B6C" w:rsidRPr="002F4B6C" w14:paraId="160245D3" w14:textId="77777777" w:rsidTr="002F4B6C">
        <w:tc>
          <w:tcPr>
            <w:tcW w:w="710" w:type="dxa"/>
            <w:shd w:val="clear" w:color="auto" w:fill="FFFFFF" w:themeFill="background1"/>
            <w:vAlign w:val="center"/>
          </w:tcPr>
          <w:p w14:paraId="0252553A" w14:textId="77777777" w:rsidR="002F4B6C" w:rsidRPr="002F4B6C" w:rsidRDefault="002F4B6C" w:rsidP="002F4B6C">
            <w:pPr>
              <w:spacing w:before="80" w:after="80"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2F4B6C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19</w:t>
            </w:r>
          </w:p>
        </w:tc>
        <w:tc>
          <w:tcPr>
            <w:tcW w:w="11430" w:type="dxa"/>
            <w:gridSpan w:val="4"/>
            <w:vMerge/>
            <w:shd w:val="clear" w:color="auto" w:fill="FFFFFF" w:themeFill="background1"/>
            <w:vAlign w:val="center"/>
          </w:tcPr>
          <w:p w14:paraId="2B9C4FD0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  <w:vAlign w:val="center"/>
          </w:tcPr>
          <w:p w14:paraId="26AEABD1" w14:textId="77777777" w:rsidR="002F4B6C" w:rsidRPr="002F4B6C" w:rsidRDefault="002F4B6C" w:rsidP="002F4B6C">
            <w:pPr>
              <w:spacing w:before="80" w:after="80" w:line="240" w:lineRule="exact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</w:tbl>
    <w:p w14:paraId="01F532B0" w14:textId="36A63E77" w:rsidR="002F4B6C" w:rsidRDefault="002F4B6C" w:rsidP="00B01578">
      <w:pPr>
        <w:pStyle w:val="VCAAbody"/>
        <w:rPr>
          <w:color w:val="auto"/>
        </w:rPr>
      </w:pPr>
    </w:p>
    <w:p w14:paraId="2B976676" w14:textId="103634AD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2F4B6C" w:rsidRDefault="002F4B6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F4B6C" w:rsidRDefault="002F4B6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2F4B6C" w:rsidRDefault="002F4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2F4B6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2F4B6C" w:rsidRPr="00D06414" w:rsidRDefault="002F4B6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2F4B6C" w:rsidRPr="00D06414" w:rsidRDefault="002F4B6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F54319E" w:rsidR="002F4B6C" w:rsidRPr="00D06414" w:rsidRDefault="002F4B6C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464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F4B6C" w:rsidRPr="00D06414" w:rsidRDefault="002F4B6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2F4B6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F4B6C" w:rsidRPr="00D06414" w:rsidRDefault="002F4B6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F4B6C" w:rsidRPr="00D06414" w:rsidRDefault="002F4B6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F4B6C" w:rsidRPr="00D06414" w:rsidRDefault="002F4B6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F4B6C" w:rsidRPr="00D06414" w:rsidRDefault="002F4B6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2F4B6C" w:rsidRDefault="002F4B6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F4B6C" w:rsidRDefault="002F4B6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2F4B6C" w:rsidRDefault="002F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5434C1C" w:rsidR="002F4B6C" w:rsidRPr="00D86DE4" w:rsidRDefault="00EA464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4B6C">
          <w:rPr>
            <w:color w:val="999999" w:themeColor="accent2"/>
          </w:rPr>
          <w:t>VCE Environmental Science: Sample teaching plan</w:t>
        </w:r>
      </w:sdtContent>
    </w:sdt>
    <w:r w:rsidR="002F4B6C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2F4B6C" w:rsidRPr="009370BC" w:rsidRDefault="002F4B6C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CD0CF2"/>
    <w:multiLevelType w:val="hybridMultilevel"/>
    <w:tmpl w:val="824C36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AEC07AD"/>
    <w:multiLevelType w:val="hybridMultilevel"/>
    <w:tmpl w:val="2AA8B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46C90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55CD0"/>
    <w:rsid w:val="001779EA"/>
    <w:rsid w:val="001D3246"/>
    <w:rsid w:val="002279BA"/>
    <w:rsid w:val="002329F3"/>
    <w:rsid w:val="00243F0D"/>
    <w:rsid w:val="00252CD6"/>
    <w:rsid w:val="00260767"/>
    <w:rsid w:val="002647BB"/>
    <w:rsid w:val="002754C1"/>
    <w:rsid w:val="002841C8"/>
    <w:rsid w:val="0028516B"/>
    <w:rsid w:val="002C6F90"/>
    <w:rsid w:val="002E4FB5"/>
    <w:rsid w:val="002F4B6C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A4640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2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89098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A1FD-2A9F-40E8-9397-F38BED474698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F5D058-9487-4014-A88E-EDFE873F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Environmental Science: Sample teaching plan</vt:lpstr>
    </vt:vector>
  </TitlesOfParts>
  <Manager>vcaa@education.vic.gov.au</Manager>
  <Company>Victorian Curriculum and Assessment Authority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Environmental Science: Sample teaching plan</dc:title>
  <dc:subject>VCE Environmental Science</dc:subject>
  <dc:creator>vcaa@education.vic.gov.au</dc:creator>
  <cp:keywords>environmental science, sample, teaching, plan, Unit 1</cp:keywords>
  <cp:lastModifiedBy>Julie Coleman</cp:lastModifiedBy>
  <cp:revision>5</cp:revision>
  <cp:lastPrinted>2015-05-15T02:36:00Z</cp:lastPrinted>
  <dcterms:created xsi:type="dcterms:W3CDTF">2022-02-11T02:39:00Z</dcterms:created>
  <dcterms:modified xsi:type="dcterms:W3CDTF">2022-02-11T03:46:00Z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