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7E13E" w14:textId="77777777" w:rsidR="00DC195F" w:rsidRPr="008D672A" w:rsidRDefault="00DC195F" w:rsidP="00DC195F">
      <w:pPr>
        <w:rPr>
          <w:rFonts w:ascii="Arial" w:hAnsi="Arial" w:cs="Arial"/>
          <w:b/>
        </w:rPr>
      </w:pPr>
      <w:bookmarkStart w:id="0" w:name="_GoBack"/>
      <w:bookmarkEnd w:id="0"/>
      <w:r w:rsidRPr="008D672A">
        <w:rPr>
          <w:rFonts w:ascii="Arial" w:hAnsi="Arial" w:cs="Arial"/>
          <w:b/>
        </w:rPr>
        <w:t>This Learning Progression begins at Level 7 of the Victorian Curriculum and concludes at Level 9. Three progressions are provided in this span.</w:t>
      </w:r>
    </w:p>
    <w:p w14:paraId="1968EB08" w14:textId="77777777" w:rsidR="00DC195F" w:rsidRPr="008D672A" w:rsidRDefault="00DC195F" w:rsidP="00DC195F">
      <w:pPr>
        <w:pStyle w:val="Default"/>
        <w:rPr>
          <w:sz w:val="22"/>
          <w:szCs w:val="22"/>
        </w:rPr>
      </w:pPr>
      <w:r w:rsidRPr="008D672A">
        <w:rPr>
          <w:i/>
          <w:sz w:val="22"/>
          <w:szCs w:val="22"/>
        </w:rPr>
        <w:t>Description:</w:t>
      </w:r>
      <w:r w:rsidRPr="008D672A">
        <w:rPr>
          <w:sz w:val="22"/>
          <w:szCs w:val="22"/>
        </w:rPr>
        <w:t xml:space="preserve"> This Learning Progression addresses comparing units in ratios, rates and proportions. A ratio describes a situation in comparative terms, and a proportion is taken to mean when this comparison is used to describe a related situation in the same comparative terms. For example, if the ratio of boys to girls in a class is 2 to 3, the comparison is the number of boys to the number of girls. Knowing that there are 30 children in the class, proportionally, the number of boys is 12 and the number of girls is 18. Applying the base comparison to the whole situation uses proportional reasoning. Proportional reasoning is knowing the multiplicative relationship between the base ratio and the proportional situation to which it is applied. </w:t>
      </w:r>
    </w:p>
    <w:p w14:paraId="690D4DC6" w14:textId="77777777" w:rsidR="00DC195F" w:rsidRPr="008D672A" w:rsidRDefault="00DC195F" w:rsidP="00DC195F">
      <w:pPr>
        <w:pStyle w:val="Default"/>
        <w:rPr>
          <w:sz w:val="22"/>
          <w:szCs w:val="22"/>
        </w:rPr>
      </w:pPr>
    </w:p>
    <w:p w14:paraId="3E6D83CA" w14:textId="77777777" w:rsidR="00DC195F" w:rsidRPr="008D672A" w:rsidRDefault="00DC195F" w:rsidP="00DC195F">
      <w:pPr>
        <w:pStyle w:val="Default"/>
        <w:rPr>
          <w:sz w:val="22"/>
          <w:szCs w:val="22"/>
        </w:rPr>
      </w:pPr>
      <w:r w:rsidRPr="008D672A">
        <w:rPr>
          <w:sz w:val="22"/>
          <w:szCs w:val="22"/>
        </w:rPr>
        <w:t xml:space="preserve">Learning to reason using proportion is a complex process that develops over an extended time. Proportional reasoning also includes numerical comparison tasks involving a comparison of different rates or ratios. For example, if one dog grows from 5 kilograms to 8 kilograms and another dog grows from 3 kilograms to 6 kilograms, which dog grew more? </w:t>
      </w:r>
    </w:p>
    <w:p w14:paraId="0A65B494" w14:textId="77777777" w:rsidR="00DC195F" w:rsidRPr="008D672A" w:rsidRDefault="00DC195F" w:rsidP="00DC195F">
      <w:pPr>
        <w:pStyle w:val="Default"/>
        <w:rPr>
          <w:sz w:val="22"/>
          <w:szCs w:val="22"/>
        </w:rPr>
      </w:pPr>
    </w:p>
    <w:p w14:paraId="7ACD3D39" w14:textId="77777777" w:rsidR="00DC195F" w:rsidRPr="008D672A" w:rsidRDefault="00DC195F" w:rsidP="00DC195F">
      <w:pPr>
        <w:pStyle w:val="Default"/>
        <w:rPr>
          <w:sz w:val="22"/>
          <w:szCs w:val="22"/>
        </w:rPr>
      </w:pPr>
      <w:r w:rsidRPr="008D672A">
        <w:rPr>
          <w:i/>
          <w:sz w:val="22"/>
          <w:szCs w:val="22"/>
        </w:rPr>
        <w:t xml:space="preserve">Related Numeracy Learning Progressions: </w:t>
      </w:r>
      <w:r w:rsidRPr="008D672A">
        <w:rPr>
          <w:sz w:val="22"/>
          <w:szCs w:val="22"/>
        </w:rPr>
        <w:t xml:space="preserve">This Learning Progression also supports the Learning Progressions of </w:t>
      </w:r>
      <w:r w:rsidRPr="008D672A">
        <w:rPr>
          <w:i/>
          <w:sz w:val="22"/>
          <w:szCs w:val="22"/>
        </w:rPr>
        <w:t>Measurement</w:t>
      </w:r>
      <w:r w:rsidRPr="008D672A">
        <w:rPr>
          <w:sz w:val="22"/>
          <w:szCs w:val="22"/>
        </w:rPr>
        <w:t xml:space="preserve">, </w:t>
      </w:r>
      <w:r w:rsidRPr="008D672A">
        <w:rPr>
          <w:i/>
          <w:sz w:val="22"/>
          <w:szCs w:val="22"/>
        </w:rPr>
        <w:t>Interpreting fractions</w:t>
      </w:r>
      <w:r w:rsidRPr="008D672A">
        <w:rPr>
          <w:sz w:val="22"/>
          <w:szCs w:val="22"/>
        </w:rPr>
        <w:t xml:space="preserve"> and </w:t>
      </w:r>
      <w:r w:rsidRPr="008D672A">
        <w:rPr>
          <w:i/>
          <w:sz w:val="22"/>
          <w:szCs w:val="22"/>
        </w:rPr>
        <w:t>Interpreting and representing data.</w:t>
      </w:r>
      <w:r w:rsidRPr="008D672A">
        <w:rPr>
          <w:sz w:val="22"/>
          <w:szCs w:val="22"/>
        </w:rPr>
        <w:t xml:space="preserve"> </w:t>
      </w:r>
    </w:p>
    <w:p w14:paraId="2EB29B09" w14:textId="77777777" w:rsidR="00DC195F" w:rsidRDefault="00DC195F" w:rsidP="00DC195F">
      <w:pPr>
        <w:pStyle w:val="Default"/>
        <w:rPr>
          <w:sz w:val="22"/>
          <w:szCs w:val="22"/>
        </w:rPr>
      </w:pPr>
    </w:p>
    <w:p w14:paraId="14F26E55" w14:textId="77777777" w:rsidR="00DC195F" w:rsidRPr="005E7294" w:rsidRDefault="00DC195F" w:rsidP="00DC195F">
      <w:pPr>
        <w:pStyle w:val="VCAAbody"/>
        <w:rPr>
          <w:rFonts w:ascii="Arial Narrow" w:hAnsi="Arial Narrow"/>
          <w:i/>
        </w:rPr>
      </w:pPr>
      <w:r w:rsidRPr="00143A7F">
        <w:rPr>
          <w:rFonts w:ascii="Arial Narrow" w:hAnsi="Arial Narrow"/>
          <w:i/>
        </w:rPr>
        <w:t xml:space="preserve">Details of progression provide nuanced and detailed descriptions of student learning – </w:t>
      </w:r>
      <w:r w:rsidRPr="00C1032D">
        <w:rPr>
          <w:rFonts w:ascii="Arial Narrow" w:hAnsi="Arial Narrow"/>
          <w:i/>
        </w:rPr>
        <w:t>what students can say, do, make or write.</w:t>
      </w:r>
      <w:r>
        <w:rPr>
          <w:rFonts w:ascii="Arial Narrow" w:hAnsi="Arial Narrow"/>
          <w:i/>
        </w:rPr>
        <w:t xml:space="preserve"> Examples of student learning in</w:t>
      </w:r>
      <w:r w:rsidRPr="00143A7F">
        <w:rPr>
          <w:rFonts w:ascii="Arial Narrow" w:hAnsi="Arial Narrow"/>
          <w:i/>
        </w:rPr>
        <w:t xml:space="preserve"> each </w:t>
      </w:r>
      <w:r>
        <w:rPr>
          <w:rFonts w:ascii="Arial Narrow" w:hAnsi="Arial Narrow"/>
          <w:i/>
        </w:rPr>
        <w:t>step</w:t>
      </w:r>
      <w:r w:rsidRPr="00143A7F">
        <w:rPr>
          <w:rFonts w:ascii="Arial Narrow" w:hAnsi="Arial Narrow"/>
          <w:i/>
        </w:rPr>
        <w:t xml:space="preserve"> are not hierarchical, nor are they</w:t>
      </w:r>
      <w:r>
        <w:rPr>
          <w:rFonts w:ascii="Arial Narrow" w:hAnsi="Arial Narrow"/>
          <w:i/>
        </w:rPr>
        <w:t xml:space="preserve"> to be used as</w:t>
      </w:r>
      <w:r w:rsidRPr="00143A7F">
        <w:rPr>
          <w:rFonts w:ascii="Arial Narrow" w:hAnsi="Arial Narrow"/>
          <w:i/>
        </w:rPr>
        <w:t xml:space="preserve"> a checklist.</w:t>
      </w:r>
    </w:p>
    <w:tbl>
      <w:tblPr>
        <w:tblStyle w:val="TableGrid"/>
        <w:tblW w:w="4985" w:type="pct"/>
        <w:tblLook w:val="04A0" w:firstRow="1" w:lastRow="0" w:firstColumn="1" w:lastColumn="0" w:noHBand="0" w:noVBand="1"/>
      </w:tblPr>
      <w:tblGrid>
        <w:gridCol w:w="3850"/>
        <w:gridCol w:w="3062"/>
        <w:gridCol w:w="6803"/>
        <w:gridCol w:w="940"/>
        <w:gridCol w:w="6432"/>
      </w:tblGrid>
      <w:tr w:rsidR="00DC195F" w:rsidRPr="005E7294" w14:paraId="684BB224" w14:textId="77777777" w:rsidTr="001A104D">
        <w:trPr>
          <w:trHeight w:val="139"/>
        </w:trPr>
        <w:tc>
          <w:tcPr>
            <w:tcW w:w="913" w:type="pct"/>
            <w:tcBorders>
              <w:top w:val="single" w:sz="4" w:space="0" w:color="auto"/>
              <w:left w:val="single" w:sz="4" w:space="0" w:color="auto"/>
              <w:bottom w:val="single" w:sz="4" w:space="0" w:color="auto"/>
              <w:right w:val="nil"/>
            </w:tcBorders>
            <w:shd w:val="clear" w:color="auto" w:fill="404040" w:themeFill="text1" w:themeFillTint="BF"/>
            <w:vAlign w:val="center"/>
          </w:tcPr>
          <w:p w14:paraId="337F5FFD" w14:textId="77777777" w:rsidR="00DC195F" w:rsidRPr="00C1032D" w:rsidRDefault="00DC195F" w:rsidP="001A104D">
            <w:pPr>
              <w:pStyle w:val="VCAAtablecondensedheading"/>
              <w:rPr>
                <w:b/>
                <w:color w:val="FFFFFF" w:themeColor="background1"/>
              </w:rPr>
            </w:pPr>
            <w:r>
              <w:rPr>
                <w:b/>
                <w:color w:val="FFFFFF" w:themeColor="background1"/>
              </w:rPr>
              <w:t>Victorian Curriculum Level 7</w:t>
            </w:r>
          </w:p>
        </w:tc>
        <w:tc>
          <w:tcPr>
            <w:tcW w:w="2562" w:type="pct"/>
            <w:gridSpan w:val="3"/>
            <w:tcBorders>
              <w:top w:val="single" w:sz="4" w:space="0" w:color="auto"/>
              <w:left w:val="nil"/>
              <w:bottom w:val="single" w:sz="4" w:space="0" w:color="auto"/>
              <w:right w:val="nil"/>
            </w:tcBorders>
            <w:shd w:val="clear" w:color="auto" w:fill="404040" w:themeFill="text1" w:themeFillTint="BF"/>
            <w:vAlign w:val="center"/>
          </w:tcPr>
          <w:p w14:paraId="38922DB9" w14:textId="77777777" w:rsidR="00DC195F" w:rsidRPr="00C1032D" w:rsidRDefault="00DC195F" w:rsidP="001A104D">
            <w:pPr>
              <w:pStyle w:val="VCAAtablecondensedheading"/>
              <w:rPr>
                <w:b/>
                <w:color w:val="FFFFFF" w:themeColor="background1"/>
              </w:rPr>
            </w:pPr>
          </w:p>
        </w:tc>
        <w:tc>
          <w:tcPr>
            <w:tcW w:w="1525" w:type="pct"/>
            <w:tcBorders>
              <w:top w:val="single" w:sz="4" w:space="0" w:color="auto"/>
              <w:left w:val="nil"/>
              <w:bottom w:val="single" w:sz="4" w:space="0" w:color="auto"/>
            </w:tcBorders>
            <w:shd w:val="clear" w:color="auto" w:fill="404040" w:themeFill="text1" w:themeFillTint="BF"/>
            <w:vAlign w:val="center"/>
          </w:tcPr>
          <w:p w14:paraId="5AF0F09E" w14:textId="77777777" w:rsidR="00DC195F" w:rsidRPr="00C1032D" w:rsidRDefault="00DC195F" w:rsidP="001A104D">
            <w:pPr>
              <w:pStyle w:val="VCAAtablecondensedheading"/>
              <w:jc w:val="right"/>
              <w:rPr>
                <w:b/>
                <w:color w:val="FFFFFF" w:themeColor="background1"/>
              </w:rPr>
            </w:pPr>
            <w:r>
              <w:rPr>
                <w:b/>
                <w:color w:val="FFFFFF" w:themeColor="background1"/>
              </w:rPr>
              <w:t>Victorian Curriculum Level 9</w:t>
            </w:r>
          </w:p>
        </w:tc>
      </w:tr>
      <w:tr w:rsidR="00D508B6" w14:paraId="6F1262F4" w14:textId="77777777" w:rsidTr="00D508B6">
        <w:trPr>
          <w:trHeight w:val="2310"/>
        </w:trPr>
        <w:tc>
          <w:tcPr>
            <w:tcW w:w="1639" w:type="pct"/>
            <w:gridSpan w:val="2"/>
            <w:vMerge w:val="restart"/>
          </w:tcPr>
          <w:p w14:paraId="3AFDF9A0" w14:textId="77777777" w:rsidR="00D508B6" w:rsidRPr="000352C0" w:rsidRDefault="00D508B6" w:rsidP="001A104D">
            <w:pPr>
              <w:pStyle w:val="Default"/>
              <w:rPr>
                <w:rFonts w:ascii="Arial Narrow" w:hAnsi="Arial Narrow"/>
                <w:b/>
                <w:bCs/>
                <w:sz w:val="22"/>
                <w:szCs w:val="22"/>
              </w:rPr>
            </w:pPr>
            <w:r w:rsidRPr="000352C0">
              <w:rPr>
                <w:rFonts w:ascii="Arial Narrow" w:hAnsi="Arial Narrow"/>
                <w:b/>
                <w:bCs/>
                <w:sz w:val="22"/>
                <w:szCs w:val="22"/>
              </w:rPr>
              <w:t xml:space="preserve">Building ratios </w:t>
            </w:r>
          </w:p>
          <w:p w14:paraId="3C5E5434" w14:textId="77777777" w:rsidR="00D508B6" w:rsidRPr="000352C0" w:rsidRDefault="00D508B6" w:rsidP="001A104D">
            <w:pPr>
              <w:pStyle w:val="Default"/>
              <w:rPr>
                <w:rFonts w:ascii="Arial Narrow" w:hAnsi="Arial Narrow"/>
                <w:sz w:val="22"/>
                <w:szCs w:val="22"/>
              </w:rPr>
            </w:pPr>
          </w:p>
          <w:p w14:paraId="09D12A02" w14:textId="77777777" w:rsidR="00D508B6" w:rsidRDefault="00D508B6" w:rsidP="001A104D">
            <w:pPr>
              <w:pStyle w:val="Default"/>
              <w:rPr>
                <w:rFonts w:ascii="Arial Narrow" w:hAnsi="Arial Narrow"/>
                <w:sz w:val="22"/>
                <w:szCs w:val="22"/>
              </w:rPr>
            </w:pPr>
            <w:r w:rsidRPr="000352C0">
              <w:rPr>
                <w:rFonts w:ascii="Arial Narrow" w:hAnsi="Arial Narrow"/>
                <w:sz w:val="22"/>
                <w:szCs w:val="22"/>
              </w:rPr>
              <w:t>The student</w:t>
            </w:r>
            <w:r>
              <w:rPr>
                <w:rFonts w:ascii="Arial Narrow" w:hAnsi="Arial Narrow"/>
                <w:sz w:val="22"/>
                <w:szCs w:val="22"/>
              </w:rPr>
              <w:t>:</w:t>
            </w:r>
            <w:r w:rsidRPr="000352C0">
              <w:rPr>
                <w:rFonts w:ascii="Arial Narrow" w:hAnsi="Arial Narrow"/>
                <w:sz w:val="22"/>
                <w:szCs w:val="22"/>
              </w:rPr>
              <w:t xml:space="preserve"> </w:t>
            </w:r>
          </w:p>
          <w:p w14:paraId="38453D68" w14:textId="77777777" w:rsidR="00D508B6" w:rsidRPr="000352C0" w:rsidRDefault="00D508B6" w:rsidP="00DC195F">
            <w:pPr>
              <w:pStyle w:val="Default"/>
              <w:numPr>
                <w:ilvl w:val="0"/>
                <w:numId w:val="1"/>
              </w:numPr>
              <w:rPr>
                <w:rFonts w:ascii="Arial Narrow" w:hAnsi="Arial Narrow"/>
                <w:sz w:val="22"/>
                <w:szCs w:val="22"/>
              </w:rPr>
            </w:pPr>
            <w:r w:rsidRPr="000352C0">
              <w:rPr>
                <w:rFonts w:ascii="Arial Narrow" w:hAnsi="Arial Narrow"/>
                <w:sz w:val="22"/>
                <w:szCs w:val="22"/>
              </w:rPr>
              <w:t>uses knowledge of fractions as part-whole relationships t</w:t>
            </w:r>
            <w:r>
              <w:rPr>
                <w:rFonts w:ascii="Arial Narrow" w:hAnsi="Arial Narrow"/>
                <w:sz w:val="22"/>
                <w:szCs w:val="22"/>
              </w:rPr>
              <w:t>o divide and compare quantities</w:t>
            </w:r>
            <w:r w:rsidRPr="000352C0">
              <w:rPr>
                <w:rFonts w:ascii="Arial Narrow" w:hAnsi="Arial Narrow"/>
                <w:sz w:val="22"/>
                <w:szCs w:val="22"/>
              </w:rPr>
              <w:t xml:space="preserve"> </w:t>
            </w:r>
          </w:p>
          <w:p w14:paraId="53519ED7" w14:textId="77777777" w:rsidR="00D508B6" w:rsidRPr="000352C0" w:rsidRDefault="00D508B6" w:rsidP="00DC195F">
            <w:pPr>
              <w:pStyle w:val="Default"/>
              <w:numPr>
                <w:ilvl w:val="0"/>
                <w:numId w:val="1"/>
              </w:numPr>
              <w:rPr>
                <w:rFonts w:ascii="Arial Narrow" w:hAnsi="Arial Narrow"/>
                <w:sz w:val="22"/>
                <w:szCs w:val="22"/>
              </w:rPr>
            </w:pPr>
            <w:r w:rsidRPr="000352C0">
              <w:rPr>
                <w:rFonts w:ascii="Arial Narrow" w:hAnsi="Arial Narrow"/>
                <w:sz w:val="22"/>
                <w:szCs w:val="22"/>
              </w:rPr>
              <w:t>represent</w:t>
            </w:r>
            <w:r>
              <w:rPr>
                <w:rFonts w:ascii="Arial Narrow" w:hAnsi="Arial Narrow"/>
                <w:sz w:val="22"/>
                <w:szCs w:val="22"/>
              </w:rPr>
              <w:t>s</w:t>
            </w:r>
            <w:r w:rsidRPr="000352C0">
              <w:rPr>
                <w:rFonts w:ascii="Arial Narrow" w:hAnsi="Arial Narrow"/>
                <w:sz w:val="22"/>
                <w:szCs w:val="22"/>
              </w:rPr>
              <w:t xml:space="preserve"> and model ratios using diagrams or objects (in a ratio 1:4 of red to blue counters, for each red counter there are four blue counters).  </w:t>
            </w:r>
          </w:p>
          <w:p w14:paraId="7D4772B2" w14:textId="77777777" w:rsidR="00D508B6" w:rsidRDefault="00D508B6" w:rsidP="001A104D">
            <w:pPr>
              <w:rPr>
                <w:rFonts w:ascii="Arial Narrow" w:hAnsi="Arial Narrow"/>
              </w:rPr>
            </w:pPr>
          </w:p>
          <w:p w14:paraId="390819A4" w14:textId="77777777" w:rsidR="00D508B6" w:rsidRDefault="00D508B6" w:rsidP="001A104D">
            <w:pPr>
              <w:rPr>
                <w:rFonts w:ascii="Arial Narrow" w:hAnsi="Arial Narrow"/>
              </w:rPr>
            </w:pPr>
          </w:p>
          <w:p w14:paraId="06CC6F8A" w14:textId="77777777" w:rsidR="00D508B6" w:rsidRDefault="00D508B6" w:rsidP="001A104D">
            <w:pPr>
              <w:rPr>
                <w:rFonts w:ascii="Arial Narrow" w:hAnsi="Arial Narrow"/>
              </w:rPr>
            </w:pPr>
          </w:p>
          <w:p w14:paraId="6BDFB521" w14:textId="77777777" w:rsidR="00D508B6" w:rsidRDefault="00D508B6" w:rsidP="001A104D">
            <w:pPr>
              <w:rPr>
                <w:rFonts w:ascii="Arial Narrow" w:hAnsi="Arial Narrow"/>
              </w:rPr>
            </w:pPr>
          </w:p>
          <w:p w14:paraId="0034B571" w14:textId="77777777" w:rsidR="00D508B6" w:rsidRDefault="00D508B6" w:rsidP="001A104D">
            <w:pPr>
              <w:rPr>
                <w:rFonts w:ascii="Arial Narrow" w:hAnsi="Arial Narrow"/>
              </w:rPr>
            </w:pPr>
          </w:p>
        </w:tc>
        <w:tc>
          <w:tcPr>
            <w:tcW w:w="1613" w:type="pct"/>
            <w:tcBorders>
              <w:bottom w:val="dashed" w:sz="4" w:space="0" w:color="000000"/>
            </w:tcBorders>
          </w:tcPr>
          <w:p w14:paraId="01216CAC" w14:textId="77777777" w:rsidR="00D508B6" w:rsidRPr="000352C0" w:rsidRDefault="00D508B6" w:rsidP="001A104D">
            <w:pPr>
              <w:pStyle w:val="Default"/>
              <w:rPr>
                <w:rFonts w:ascii="Arial Narrow" w:hAnsi="Arial Narrow"/>
                <w:sz w:val="22"/>
                <w:szCs w:val="22"/>
              </w:rPr>
            </w:pPr>
            <w:r w:rsidRPr="000352C0">
              <w:rPr>
                <w:rFonts w:ascii="Arial Narrow" w:hAnsi="Arial Narrow"/>
                <w:b/>
                <w:bCs/>
                <w:sz w:val="22"/>
                <w:szCs w:val="22"/>
              </w:rPr>
              <w:t xml:space="preserve">Ratios </w:t>
            </w:r>
          </w:p>
          <w:p w14:paraId="7A52B3EF" w14:textId="77777777" w:rsidR="00D508B6" w:rsidRPr="000352C0" w:rsidRDefault="00D508B6" w:rsidP="001A104D">
            <w:pPr>
              <w:pStyle w:val="Default"/>
              <w:rPr>
                <w:rFonts w:ascii="Arial Narrow" w:hAnsi="Arial Narrow"/>
                <w:sz w:val="22"/>
                <w:szCs w:val="22"/>
              </w:rPr>
            </w:pPr>
          </w:p>
          <w:p w14:paraId="51CDE1E7" w14:textId="77777777" w:rsidR="00D508B6" w:rsidRDefault="00D508B6" w:rsidP="001A104D">
            <w:pPr>
              <w:pStyle w:val="Default"/>
              <w:rPr>
                <w:rFonts w:ascii="Arial Narrow" w:hAnsi="Arial Narrow"/>
                <w:sz w:val="22"/>
                <w:szCs w:val="22"/>
              </w:rPr>
            </w:pPr>
            <w:r w:rsidRPr="000352C0">
              <w:rPr>
                <w:rFonts w:ascii="Arial Narrow" w:hAnsi="Arial Narrow"/>
                <w:sz w:val="22"/>
                <w:szCs w:val="22"/>
              </w:rPr>
              <w:t>The student</w:t>
            </w:r>
            <w:r>
              <w:rPr>
                <w:rFonts w:ascii="Arial Narrow" w:hAnsi="Arial Narrow"/>
                <w:sz w:val="22"/>
                <w:szCs w:val="22"/>
              </w:rPr>
              <w:t>:</w:t>
            </w:r>
            <w:r w:rsidRPr="000352C0">
              <w:rPr>
                <w:rFonts w:ascii="Arial Narrow" w:hAnsi="Arial Narrow"/>
                <w:sz w:val="22"/>
                <w:szCs w:val="22"/>
              </w:rPr>
              <w:t xml:space="preserve"> </w:t>
            </w:r>
          </w:p>
          <w:p w14:paraId="626046BD" w14:textId="77777777" w:rsidR="00D508B6" w:rsidRPr="000352C0" w:rsidRDefault="00D508B6" w:rsidP="00DC195F">
            <w:pPr>
              <w:pStyle w:val="Default"/>
              <w:numPr>
                <w:ilvl w:val="0"/>
                <w:numId w:val="2"/>
              </w:numPr>
              <w:rPr>
                <w:rFonts w:ascii="Arial Narrow" w:hAnsi="Arial Narrow"/>
                <w:sz w:val="22"/>
                <w:szCs w:val="22"/>
              </w:rPr>
            </w:pPr>
            <w:r w:rsidRPr="000352C0">
              <w:rPr>
                <w:rFonts w:ascii="Arial Narrow" w:hAnsi="Arial Narrow"/>
                <w:sz w:val="22"/>
                <w:szCs w:val="22"/>
              </w:rPr>
              <w:t>interprets ratios as a comparison between the same units of measure (students t</w:t>
            </w:r>
            <w:r>
              <w:rPr>
                <w:rFonts w:ascii="Arial Narrow" w:hAnsi="Arial Narrow"/>
                <w:sz w:val="22"/>
                <w:szCs w:val="22"/>
              </w:rPr>
              <w:t>o teachers in a school is 20:1)</w:t>
            </w:r>
          </w:p>
          <w:p w14:paraId="2286A91D" w14:textId="77777777" w:rsidR="00D508B6" w:rsidRPr="000352C0" w:rsidRDefault="00D508B6" w:rsidP="00DC195F">
            <w:pPr>
              <w:pStyle w:val="Default"/>
              <w:numPr>
                <w:ilvl w:val="0"/>
                <w:numId w:val="2"/>
              </w:numPr>
              <w:rPr>
                <w:rFonts w:ascii="Arial Narrow" w:hAnsi="Arial Narrow"/>
                <w:sz w:val="22"/>
                <w:szCs w:val="22"/>
              </w:rPr>
            </w:pPr>
            <w:r w:rsidRPr="000352C0">
              <w:rPr>
                <w:rFonts w:ascii="Arial Narrow" w:hAnsi="Arial Narrow"/>
                <w:sz w:val="22"/>
                <w:szCs w:val="22"/>
              </w:rPr>
              <w:t>express</w:t>
            </w:r>
            <w:r>
              <w:rPr>
                <w:rFonts w:ascii="Arial Narrow" w:hAnsi="Arial Narrow"/>
                <w:sz w:val="22"/>
                <w:szCs w:val="22"/>
              </w:rPr>
              <w:t>es</w:t>
            </w:r>
            <w:r w:rsidRPr="000352C0">
              <w:rPr>
                <w:rFonts w:ascii="Arial Narrow" w:hAnsi="Arial Narrow"/>
                <w:sz w:val="22"/>
                <w:szCs w:val="22"/>
              </w:rPr>
              <w:t xml:space="preserve"> a ratio as equivalent fractions or percentages (ratio 1:1, each part rep</w:t>
            </w:r>
            <w:r>
              <w:rPr>
                <w:rFonts w:ascii="Arial Narrow" w:hAnsi="Arial Narrow"/>
                <w:sz w:val="22"/>
                <w:szCs w:val="22"/>
              </w:rPr>
              <w:t>resents ½ or 50% of the whole)</w:t>
            </w:r>
          </w:p>
          <w:p w14:paraId="231278F5" w14:textId="77777777" w:rsidR="00D508B6" w:rsidRPr="000352C0" w:rsidRDefault="00D508B6" w:rsidP="00DC195F">
            <w:pPr>
              <w:pStyle w:val="Default"/>
              <w:numPr>
                <w:ilvl w:val="0"/>
                <w:numId w:val="2"/>
              </w:numPr>
              <w:rPr>
                <w:rFonts w:ascii="Arial Narrow" w:hAnsi="Arial Narrow"/>
                <w:sz w:val="22"/>
                <w:szCs w:val="22"/>
              </w:rPr>
            </w:pPr>
            <w:r w:rsidRPr="000352C0">
              <w:rPr>
                <w:rFonts w:ascii="Arial Narrow" w:hAnsi="Arial Narrow"/>
                <w:sz w:val="22"/>
                <w:szCs w:val="22"/>
              </w:rPr>
              <w:t xml:space="preserve">uses a ratio to increase or decrease quantities to maintain a given consistency (doubling a recipe). </w:t>
            </w:r>
          </w:p>
          <w:p w14:paraId="16B7040E" w14:textId="73F79127" w:rsidR="00D508B6" w:rsidRDefault="00D508B6" w:rsidP="001A104D">
            <w:pPr>
              <w:pStyle w:val="Default"/>
              <w:rPr>
                <w:rFonts w:ascii="Arial Narrow" w:hAnsi="Arial Narrow"/>
                <w:sz w:val="22"/>
                <w:szCs w:val="22"/>
              </w:rPr>
            </w:pPr>
          </w:p>
          <w:p w14:paraId="7C50F993" w14:textId="77777777" w:rsidR="00D508B6" w:rsidRDefault="00D508B6" w:rsidP="00D508B6">
            <w:pPr>
              <w:pStyle w:val="Default"/>
              <w:rPr>
                <w:rFonts w:ascii="Arial Narrow" w:hAnsi="Arial Narrow"/>
              </w:rPr>
            </w:pPr>
          </w:p>
        </w:tc>
        <w:tc>
          <w:tcPr>
            <w:tcW w:w="1748" w:type="pct"/>
            <w:gridSpan w:val="2"/>
            <w:vMerge w:val="restart"/>
          </w:tcPr>
          <w:p w14:paraId="498365C0" w14:textId="77777777" w:rsidR="00D508B6" w:rsidRPr="000352C0" w:rsidRDefault="00D508B6" w:rsidP="001A104D">
            <w:pPr>
              <w:pStyle w:val="Default"/>
              <w:rPr>
                <w:rFonts w:ascii="Arial Narrow" w:hAnsi="Arial Narrow"/>
                <w:sz w:val="22"/>
                <w:szCs w:val="22"/>
              </w:rPr>
            </w:pPr>
            <w:r w:rsidRPr="000352C0">
              <w:rPr>
                <w:rFonts w:ascii="Arial Narrow" w:hAnsi="Arial Narrow"/>
                <w:b/>
                <w:bCs/>
                <w:sz w:val="22"/>
                <w:szCs w:val="22"/>
              </w:rPr>
              <w:t xml:space="preserve">Applying proportion </w:t>
            </w:r>
          </w:p>
          <w:p w14:paraId="50E35F93" w14:textId="77777777" w:rsidR="00D508B6" w:rsidRPr="000352C0" w:rsidRDefault="00D508B6" w:rsidP="001A104D">
            <w:pPr>
              <w:pStyle w:val="Default"/>
              <w:rPr>
                <w:rFonts w:ascii="Arial Narrow" w:hAnsi="Arial Narrow"/>
                <w:sz w:val="22"/>
                <w:szCs w:val="22"/>
              </w:rPr>
            </w:pPr>
          </w:p>
          <w:p w14:paraId="3DD668AA" w14:textId="77777777" w:rsidR="00D508B6" w:rsidRDefault="00D508B6" w:rsidP="001A104D">
            <w:pPr>
              <w:pStyle w:val="Default"/>
              <w:rPr>
                <w:rFonts w:ascii="Arial Narrow" w:hAnsi="Arial Narrow"/>
                <w:sz w:val="22"/>
                <w:szCs w:val="22"/>
              </w:rPr>
            </w:pPr>
            <w:r w:rsidRPr="000352C0">
              <w:rPr>
                <w:rFonts w:ascii="Arial Narrow" w:hAnsi="Arial Narrow"/>
                <w:sz w:val="22"/>
                <w:szCs w:val="22"/>
              </w:rPr>
              <w:t>The student</w:t>
            </w:r>
            <w:r>
              <w:rPr>
                <w:rFonts w:ascii="Arial Narrow" w:hAnsi="Arial Narrow"/>
                <w:sz w:val="22"/>
                <w:szCs w:val="22"/>
              </w:rPr>
              <w:t>:</w:t>
            </w:r>
          </w:p>
          <w:p w14:paraId="657A0890" w14:textId="77777777" w:rsidR="00D508B6" w:rsidRPr="000352C0" w:rsidRDefault="00D508B6" w:rsidP="00DC195F">
            <w:pPr>
              <w:pStyle w:val="Default"/>
              <w:numPr>
                <w:ilvl w:val="0"/>
                <w:numId w:val="4"/>
              </w:numPr>
              <w:rPr>
                <w:rFonts w:ascii="Arial Narrow" w:hAnsi="Arial Narrow"/>
                <w:sz w:val="22"/>
                <w:szCs w:val="22"/>
              </w:rPr>
            </w:pPr>
            <w:r w:rsidRPr="000352C0">
              <w:rPr>
                <w:rFonts w:ascii="Arial Narrow" w:hAnsi="Arial Narrow"/>
                <w:sz w:val="22"/>
                <w:szCs w:val="22"/>
              </w:rPr>
              <w:t>interprets proportion as the e</w:t>
            </w:r>
            <w:r>
              <w:rPr>
                <w:rFonts w:ascii="Arial Narrow" w:hAnsi="Arial Narrow"/>
                <w:sz w:val="22"/>
                <w:szCs w:val="22"/>
              </w:rPr>
              <w:t>quality of two ratios or rates</w:t>
            </w:r>
          </w:p>
          <w:p w14:paraId="15A76F1B" w14:textId="77777777" w:rsidR="00D508B6" w:rsidRPr="000352C0" w:rsidRDefault="00D508B6" w:rsidP="00DC195F">
            <w:pPr>
              <w:pStyle w:val="Default"/>
              <w:numPr>
                <w:ilvl w:val="0"/>
                <w:numId w:val="4"/>
              </w:numPr>
              <w:rPr>
                <w:rFonts w:ascii="Arial Narrow" w:hAnsi="Arial Narrow"/>
                <w:sz w:val="22"/>
                <w:szCs w:val="22"/>
              </w:rPr>
            </w:pPr>
            <w:r w:rsidRPr="000352C0">
              <w:rPr>
                <w:rFonts w:ascii="Arial Narrow" w:hAnsi="Arial Narrow"/>
                <w:sz w:val="22"/>
                <w:szCs w:val="22"/>
              </w:rPr>
              <w:t>use</w:t>
            </w:r>
            <w:r>
              <w:rPr>
                <w:rFonts w:ascii="Arial Narrow" w:hAnsi="Arial Narrow"/>
                <w:sz w:val="22"/>
                <w:szCs w:val="22"/>
              </w:rPr>
              <w:t>s</w:t>
            </w:r>
            <w:r w:rsidRPr="000352C0">
              <w:rPr>
                <w:rFonts w:ascii="Arial Narrow" w:hAnsi="Arial Narrow"/>
                <w:sz w:val="22"/>
                <w:szCs w:val="22"/>
              </w:rPr>
              <w:t xml:space="preserve"> common fractions and deci</w:t>
            </w:r>
            <w:r>
              <w:rPr>
                <w:rFonts w:ascii="Arial Narrow" w:hAnsi="Arial Narrow"/>
                <w:sz w:val="22"/>
                <w:szCs w:val="22"/>
              </w:rPr>
              <w:t>mals for proportional division</w:t>
            </w:r>
          </w:p>
          <w:p w14:paraId="535E1CC6" w14:textId="77777777" w:rsidR="00D508B6" w:rsidRPr="000352C0" w:rsidRDefault="00D508B6" w:rsidP="00DC195F">
            <w:pPr>
              <w:pStyle w:val="Default"/>
              <w:numPr>
                <w:ilvl w:val="0"/>
                <w:numId w:val="4"/>
              </w:numPr>
              <w:rPr>
                <w:rFonts w:ascii="Arial Narrow" w:hAnsi="Arial Narrow"/>
                <w:sz w:val="22"/>
                <w:szCs w:val="22"/>
              </w:rPr>
            </w:pPr>
            <w:r w:rsidRPr="000352C0">
              <w:rPr>
                <w:rFonts w:ascii="Arial Narrow" w:hAnsi="Arial Narrow"/>
                <w:sz w:val="22"/>
                <w:szCs w:val="22"/>
              </w:rPr>
              <w:t>demonstrates how increasing one quantity in a ratio wi</w:t>
            </w:r>
            <w:r>
              <w:rPr>
                <w:rFonts w:ascii="Arial Narrow" w:hAnsi="Arial Narrow"/>
                <w:sz w:val="22"/>
                <w:szCs w:val="22"/>
              </w:rPr>
              <w:t>ll affect the total proportion</w:t>
            </w:r>
          </w:p>
          <w:p w14:paraId="5C82BA16" w14:textId="77777777" w:rsidR="00D508B6" w:rsidRPr="000352C0" w:rsidRDefault="00D508B6" w:rsidP="00DC195F">
            <w:pPr>
              <w:pStyle w:val="Default"/>
              <w:numPr>
                <w:ilvl w:val="0"/>
                <w:numId w:val="4"/>
              </w:numPr>
              <w:rPr>
                <w:rFonts w:ascii="Arial Narrow" w:hAnsi="Arial Narrow"/>
                <w:sz w:val="22"/>
                <w:szCs w:val="22"/>
              </w:rPr>
            </w:pPr>
            <w:r w:rsidRPr="000352C0">
              <w:rPr>
                <w:rFonts w:ascii="Arial Narrow" w:hAnsi="Arial Narrow"/>
                <w:sz w:val="22"/>
                <w:szCs w:val="22"/>
              </w:rPr>
              <w:t>perform</w:t>
            </w:r>
            <w:r>
              <w:rPr>
                <w:rFonts w:ascii="Arial Narrow" w:hAnsi="Arial Narrow"/>
                <w:sz w:val="22"/>
                <w:szCs w:val="22"/>
              </w:rPr>
              <w:t>s</w:t>
            </w:r>
            <w:r w:rsidRPr="000352C0">
              <w:rPr>
                <w:rFonts w:ascii="Arial Narrow" w:hAnsi="Arial Narrow"/>
                <w:sz w:val="22"/>
                <w:szCs w:val="22"/>
              </w:rPr>
              <w:t xml:space="preserve"> operations with negative integers involving rates</w:t>
            </w:r>
            <w:r>
              <w:rPr>
                <w:rFonts w:ascii="Arial Narrow" w:hAnsi="Arial Narrow"/>
                <w:sz w:val="22"/>
                <w:szCs w:val="22"/>
              </w:rPr>
              <w:t xml:space="preserve"> (rates of descent or cooling)</w:t>
            </w:r>
          </w:p>
          <w:p w14:paraId="1E29B5E3" w14:textId="77777777" w:rsidR="00D508B6" w:rsidRPr="000352C0" w:rsidRDefault="00D508B6" w:rsidP="00DC195F">
            <w:pPr>
              <w:pStyle w:val="Default"/>
              <w:numPr>
                <w:ilvl w:val="0"/>
                <w:numId w:val="4"/>
              </w:numPr>
              <w:rPr>
                <w:rFonts w:ascii="Arial Narrow" w:hAnsi="Arial Narrow"/>
                <w:sz w:val="22"/>
                <w:szCs w:val="22"/>
              </w:rPr>
            </w:pPr>
            <w:r w:rsidRPr="000352C0">
              <w:rPr>
                <w:rFonts w:ascii="Arial Narrow" w:hAnsi="Arial Narrow"/>
                <w:sz w:val="22"/>
                <w:szCs w:val="22"/>
              </w:rPr>
              <w:t xml:space="preserve">explains and applies the difference between direct and indirect proportion (direct – working more hours will result in earning more money; indirect – travelling at a greater speed will mean the journey takes less time). </w:t>
            </w:r>
          </w:p>
          <w:p w14:paraId="41337B6A" w14:textId="77777777" w:rsidR="00D508B6" w:rsidRDefault="00D508B6" w:rsidP="001A104D">
            <w:pPr>
              <w:rPr>
                <w:rFonts w:ascii="Arial Narrow" w:hAnsi="Arial Narrow"/>
              </w:rPr>
            </w:pPr>
          </w:p>
        </w:tc>
      </w:tr>
      <w:tr w:rsidR="00D508B6" w14:paraId="232F434D" w14:textId="77777777" w:rsidTr="00D508B6">
        <w:trPr>
          <w:trHeight w:val="2310"/>
        </w:trPr>
        <w:tc>
          <w:tcPr>
            <w:tcW w:w="1639" w:type="pct"/>
            <w:gridSpan w:val="2"/>
            <w:vMerge/>
          </w:tcPr>
          <w:p w14:paraId="1A5D15F6" w14:textId="77777777" w:rsidR="00D508B6" w:rsidRPr="000352C0" w:rsidRDefault="00D508B6" w:rsidP="001A104D">
            <w:pPr>
              <w:pStyle w:val="Default"/>
              <w:rPr>
                <w:rFonts w:ascii="Arial Narrow" w:hAnsi="Arial Narrow"/>
                <w:b/>
                <w:bCs/>
                <w:sz w:val="22"/>
                <w:szCs w:val="22"/>
              </w:rPr>
            </w:pPr>
          </w:p>
        </w:tc>
        <w:tc>
          <w:tcPr>
            <w:tcW w:w="1613" w:type="pct"/>
            <w:tcBorders>
              <w:top w:val="dashed" w:sz="4" w:space="0" w:color="000000"/>
            </w:tcBorders>
          </w:tcPr>
          <w:p w14:paraId="6328562B" w14:textId="77777777" w:rsidR="00D508B6" w:rsidRPr="000352C0" w:rsidRDefault="00D508B6" w:rsidP="00D508B6">
            <w:pPr>
              <w:pStyle w:val="Default"/>
              <w:rPr>
                <w:rFonts w:ascii="Arial Narrow" w:hAnsi="Arial Narrow"/>
                <w:b/>
                <w:bCs/>
                <w:sz w:val="22"/>
                <w:szCs w:val="22"/>
              </w:rPr>
            </w:pPr>
            <w:r w:rsidRPr="000352C0">
              <w:rPr>
                <w:rFonts w:ascii="Arial Narrow" w:hAnsi="Arial Narrow"/>
                <w:b/>
                <w:bCs/>
                <w:sz w:val="22"/>
                <w:szCs w:val="22"/>
              </w:rPr>
              <w:t xml:space="preserve">Rates </w:t>
            </w:r>
          </w:p>
          <w:p w14:paraId="1D7EA69C" w14:textId="77777777" w:rsidR="00D508B6" w:rsidRPr="000352C0" w:rsidRDefault="00D508B6" w:rsidP="00D508B6">
            <w:pPr>
              <w:pStyle w:val="Default"/>
              <w:rPr>
                <w:rFonts w:ascii="Arial Narrow" w:hAnsi="Arial Narrow"/>
                <w:sz w:val="22"/>
                <w:szCs w:val="22"/>
              </w:rPr>
            </w:pPr>
          </w:p>
          <w:p w14:paraId="1ECA733C" w14:textId="77777777" w:rsidR="00D508B6" w:rsidRDefault="00D508B6" w:rsidP="00D508B6">
            <w:pPr>
              <w:pStyle w:val="Default"/>
              <w:rPr>
                <w:rFonts w:ascii="Arial Narrow" w:hAnsi="Arial Narrow"/>
                <w:sz w:val="22"/>
                <w:szCs w:val="22"/>
              </w:rPr>
            </w:pPr>
            <w:r w:rsidRPr="000352C0">
              <w:rPr>
                <w:rFonts w:ascii="Arial Narrow" w:hAnsi="Arial Narrow"/>
                <w:sz w:val="22"/>
                <w:szCs w:val="22"/>
              </w:rPr>
              <w:t>The student</w:t>
            </w:r>
            <w:r>
              <w:rPr>
                <w:rFonts w:ascii="Arial Narrow" w:hAnsi="Arial Narrow"/>
                <w:sz w:val="22"/>
                <w:szCs w:val="22"/>
              </w:rPr>
              <w:t>:</w:t>
            </w:r>
          </w:p>
          <w:p w14:paraId="57B37FFD" w14:textId="77777777" w:rsidR="00D508B6" w:rsidRPr="000352C0" w:rsidRDefault="00D508B6" w:rsidP="00D508B6">
            <w:pPr>
              <w:pStyle w:val="Default"/>
              <w:numPr>
                <w:ilvl w:val="0"/>
                <w:numId w:val="3"/>
              </w:numPr>
              <w:rPr>
                <w:rFonts w:ascii="Arial Narrow" w:hAnsi="Arial Narrow"/>
                <w:sz w:val="22"/>
                <w:szCs w:val="22"/>
              </w:rPr>
            </w:pPr>
            <w:r w:rsidRPr="000352C0">
              <w:rPr>
                <w:rFonts w:ascii="Arial Narrow" w:hAnsi="Arial Narrow"/>
                <w:sz w:val="22"/>
                <w:szCs w:val="22"/>
              </w:rPr>
              <w:t>interprets rates as a relationship between two different types of quant</w:t>
            </w:r>
            <w:r>
              <w:rPr>
                <w:rFonts w:ascii="Arial Narrow" w:hAnsi="Arial Narrow"/>
                <w:sz w:val="22"/>
                <w:szCs w:val="22"/>
              </w:rPr>
              <w:t>ities (money per unit of fuel)</w:t>
            </w:r>
          </w:p>
          <w:p w14:paraId="1C41F9C9" w14:textId="77777777" w:rsidR="00D508B6" w:rsidRPr="000352C0" w:rsidRDefault="00D508B6" w:rsidP="00D508B6">
            <w:pPr>
              <w:pStyle w:val="Default"/>
              <w:numPr>
                <w:ilvl w:val="0"/>
                <w:numId w:val="3"/>
              </w:numPr>
              <w:rPr>
                <w:rFonts w:ascii="Arial Narrow" w:hAnsi="Arial Narrow"/>
                <w:sz w:val="22"/>
                <w:szCs w:val="22"/>
              </w:rPr>
            </w:pPr>
            <w:r w:rsidRPr="000352C0">
              <w:rPr>
                <w:rFonts w:ascii="Arial Narrow" w:hAnsi="Arial Narrow"/>
                <w:sz w:val="22"/>
                <w:szCs w:val="22"/>
              </w:rPr>
              <w:t>use</w:t>
            </w:r>
            <w:r>
              <w:rPr>
                <w:rFonts w:ascii="Arial Narrow" w:hAnsi="Arial Narrow"/>
                <w:sz w:val="22"/>
                <w:szCs w:val="22"/>
              </w:rPr>
              <w:t>s</w:t>
            </w:r>
            <w:r w:rsidRPr="000352C0">
              <w:rPr>
                <w:rFonts w:ascii="Arial Narrow" w:hAnsi="Arial Narrow"/>
                <w:sz w:val="22"/>
                <w:szCs w:val="22"/>
              </w:rPr>
              <w:t xml:space="preserve"> rates to determine how quantities change.  </w:t>
            </w:r>
          </w:p>
          <w:p w14:paraId="0020501E" w14:textId="77777777" w:rsidR="00D508B6" w:rsidRPr="000352C0" w:rsidRDefault="00D508B6" w:rsidP="001A104D">
            <w:pPr>
              <w:pStyle w:val="Default"/>
              <w:rPr>
                <w:rFonts w:ascii="Arial Narrow" w:hAnsi="Arial Narrow"/>
                <w:b/>
                <w:bCs/>
                <w:sz w:val="22"/>
                <w:szCs w:val="22"/>
              </w:rPr>
            </w:pPr>
          </w:p>
        </w:tc>
        <w:tc>
          <w:tcPr>
            <w:tcW w:w="1748" w:type="pct"/>
            <w:gridSpan w:val="2"/>
            <w:vMerge/>
          </w:tcPr>
          <w:p w14:paraId="72AE48E4" w14:textId="77777777" w:rsidR="00D508B6" w:rsidRPr="000352C0" w:rsidRDefault="00D508B6" w:rsidP="001A104D">
            <w:pPr>
              <w:pStyle w:val="Default"/>
              <w:rPr>
                <w:rFonts w:ascii="Arial Narrow" w:hAnsi="Arial Narrow"/>
                <w:b/>
                <w:bCs/>
                <w:sz w:val="22"/>
                <w:szCs w:val="22"/>
              </w:rPr>
            </w:pPr>
          </w:p>
        </w:tc>
      </w:tr>
    </w:tbl>
    <w:p w14:paraId="2F6B157D" w14:textId="77777777" w:rsidR="00DC195F" w:rsidRPr="008D672A" w:rsidRDefault="00DC195F" w:rsidP="00DC195F">
      <w:pPr>
        <w:pStyle w:val="VCAAbody"/>
        <w:rPr>
          <w:b/>
          <w:color w:val="FFFFFF" w:themeColor="background1"/>
        </w:rPr>
      </w:pPr>
      <w:r w:rsidRPr="008D672A">
        <w:t>Student learning in numeracy has links beyond Mathematics in the Victorian Curriculum F–10.  Teachers are encouraged to identify links within their teaching and learning plans.</w:t>
      </w:r>
      <w:r w:rsidRPr="008D672A">
        <w:rPr>
          <w:b/>
          <w:color w:val="FFFFFF" w:themeColor="background1"/>
        </w:rPr>
        <w:t xml:space="preserve"> </w:t>
      </w:r>
    </w:p>
    <w:p w14:paraId="3A243726" w14:textId="77777777" w:rsidR="00DC195F" w:rsidRDefault="00DC195F" w:rsidP="00DC195F">
      <w:pPr>
        <w:pStyle w:val="VCAAHeading4"/>
        <w:rPr>
          <w:sz w:val="22"/>
        </w:rPr>
      </w:pPr>
    </w:p>
    <w:p w14:paraId="1A64855F" w14:textId="77777777" w:rsidR="00DC195F" w:rsidRDefault="00DC195F" w:rsidP="00DC195F">
      <w:pPr>
        <w:pStyle w:val="VCAAHeading4"/>
        <w:rPr>
          <w:sz w:val="22"/>
        </w:rPr>
      </w:pPr>
    </w:p>
    <w:p w14:paraId="1D5D5BD0" w14:textId="77777777" w:rsidR="00262A21" w:rsidRDefault="00C07F5D"/>
    <w:sectPr w:rsidR="00262A21" w:rsidSect="00DC195F">
      <w:headerReference w:type="default" r:id="rId11"/>
      <w:footerReference w:type="default" r:id="rId12"/>
      <w:headerReference w:type="first" r:id="rId13"/>
      <w:footerReference w:type="first" r:id="rId14"/>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24288" w14:textId="77777777" w:rsidR="00DF0F59" w:rsidRDefault="00DF0F59" w:rsidP="00DC195F">
      <w:pPr>
        <w:spacing w:after="0" w:line="240" w:lineRule="auto"/>
      </w:pPr>
      <w:r>
        <w:separator/>
      </w:r>
    </w:p>
  </w:endnote>
  <w:endnote w:type="continuationSeparator" w:id="0">
    <w:p w14:paraId="65A95B0A" w14:textId="77777777" w:rsidR="00DF0F59" w:rsidRDefault="00DF0F59" w:rsidP="00DC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B44614" w14:paraId="3C41C7D7" w14:textId="77777777" w:rsidTr="004754A7">
      <w:trPr>
        <w:trHeight w:val="701"/>
      </w:trPr>
      <w:tc>
        <w:tcPr>
          <w:tcW w:w="7230" w:type="dxa"/>
          <w:vAlign w:val="center"/>
        </w:tcPr>
        <w:p w14:paraId="39042CFF" w14:textId="77777777" w:rsidR="00B44614" w:rsidRPr="002329F3" w:rsidRDefault="00D74DB0" w:rsidP="0028516B">
          <w:pPr>
            <w:pStyle w:val="VCAAtrademarkinfo"/>
          </w:pPr>
          <w:r>
            <w:rPr>
              <w:color w:val="C0504D" w:themeColor="accent2"/>
            </w:rPr>
            <w:t xml:space="preserve">© </w:t>
          </w:r>
          <w:hyperlink r:id="rId1" w:history="1">
            <w:r>
              <w:rPr>
                <w:rStyle w:val="Hyperlink"/>
              </w:rPr>
              <w:t>VCAA</w:t>
            </w:r>
          </w:hyperlink>
        </w:p>
      </w:tc>
      <w:tc>
        <w:tcPr>
          <w:tcW w:w="8930" w:type="dxa"/>
          <w:vAlign w:val="center"/>
        </w:tcPr>
        <w:p w14:paraId="703F0222" w14:textId="77777777" w:rsidR="00B44614" w:rsidRPr="00B41951" w:rsidRDefault="00D74DB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429C55C0" w14:textId="77777777" w:rsidR="00B44614" w:rsidRPr="00243F0D" w:rsidRDefault="00C07F5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1046"/>
    </w:tblGrid>
    <w:tr w:rsidR="00933297" w14:paraId="1E884930" w14:textId="77777777" w:rsidTr="00933297">
      <w:trPr>
        <w:trHeight w:val="993"/>
      </w:trPr>
      <w:tc>
        <w:tcPr>
          <w:tcW w:w="3261" w:type="dxa"/>
          <w:shd w:val="clear" w:color="auto" w:fill="auto"/>
          <w:vAlign w:val="center"/>
        </w:tcPr>
        <w:p w14:paraId="57F51A53" w14:textId="1CD966F8" w:rsidR="00933297" w:rsidRPr="00B41951" w:rsidRDefault="00C07F5D" w:rsidP="00D468D5">
          <w:pPr>
            <w:pStyle w:val="VCAAbody"/>
            <w:jc w:val="center"/>
            <w:rPr>
              <w:sz w:val="18"/>
              <w:szCs w:val="18"/>
            </w:rPr>
          </w:pPr>
          <w:hyperlink r:id="rId1" w:tgtFrame="_blank" w:history="1">
            <w:r w:rsidR="00933297">
              <w:rPr>
                <w:rStyle w:val="Hyperlink"/>
                <w:color w:val="0066CC"/>
                <w:sz w:val="20"/>
                <w:szCs w:val="20"/>
              </w:rPr>
              <w:t>VCAA</w:t>
            </w:r>
          </w:hyperlink>
          <w:r w:rsidR="00933297">
            <w:rPr>
              <w:color w:val="000000"/>
              <w:sz w:val="20"/>
              <w:szCs w:val="20"/>
            </w:rPr>
            <w:t> </w:t>
          </w:r>
          <w:r w:rsidR="00933297">
            <w:rPr>
              <w:color w:val="999999"/>
              <w:sz w:val="20"/>
              <w:szCs w:val="20"/>
            </w:rPr>
            <w:t>© 2018</w:t>
          </w:r>
        </w:p>
      </w:tc>
      <w:tc>
        <w:tcPr>
          <w:tcW w:w="11046" w:type="dxa"/>
          <w:vAlign w:val="center"/>
        </w:tcPr>
        <w:p w14:paraId="70FFC07C" w14:textId="5B4FF04A" w:rsidR="00933297" w:rsidRDefault="00933297" w:rsidP="00E548A3">
          <w:pPr>
            <w:pStyle w:val="Footer"/>
            <w:tabs>
              <w:tab w:val="clear" w:pos="9026"/>
              <w:tab w:val="left" w:pos="8376"/>
              <w:tab w:val="right" w:pos="11340"/>
            </w:tabs>
            <w:ind w:right="5562"/>
            <w:jc w:val="right"/>
          </w:pPr>
          <w:r>
            <w:rPr>
              <w:noProof/>
              <w:lang w:val="en-AU" w:eastAsia="en-AU"/>
            </w:rPr>
            <w:t xml:space="preserve">     </w:t>
          </w:r>
        </w:p>
      </w:tc>
    </w:tr>
  </w:tbl>
  <w:p w14:paraId="6D6C7EE4" w14:textId="77777777" w:rsidR="00B44614" w:rsidRDefault="00C07F5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55870" w14:textId="77777777" w:rsidR="00DF0F59" w:rsidRDefault="00DF0F59" w:rsidP="00DC195F">
      <w:pPr>
        <w:spacing w:after="0" w:line="240" w:lineRule="auto"/>
      </w:pPr>
      <w:r>
        <w:separator/>
      </w:r>
    </w:p>
  </w:footnote>
  <w:footnote w:type="continuationSeparator" w:id="0">
    <w:p w14:paraId="7B5071FC" w14:textId="77777777" w:rsidR="00DF0F59" w:rsidRDefault="00DF0F59" w:rsidP="00DC1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C0504D" w:themeColor="accent2"/>
      </w:rPr>
      <w:alias w:val="Title"/>
      <w:tag w:val=""/>
      <w:id w:val="-633248545"/>
      <w:dataBinding w:prefixMappings="xmlns:ns0='http://purl.org/dc/elements/1.1/' xmlns:ns1='http://schemas.openxmlformats.org/package/2006/metadata/core-properties' " w:xpath="/ns1:coreProperties[1]/ns0:title[1]" w:storeItemID="{6C3C8BC8-F283-45AE-878A-BAB7291924A1}"/>
      <w:text/>
    </w:sdtPr>
    <w:sdtEndPr/>
    <w:sdtContent>
      <w:p w14:paraId="317B6680" w14:textId="77777777" w:rsidR="00B44614" w:rsidRPr="00D86DE4" w:rsidRDefault="00DC195F" w:rsidP="00D86DE4">
        <w:pPr>
          <w:pStyle w:val="VCAAcaptionsandfootnotes"/>
          <w:rPr>
            <w:color w:val="C0504D" w:themeColor="accent2"/>
          </w:rPr>
        </w:pPr>
        <w:r>
          <w:rPr>
            <w:b/>
            <w:color w:val="C0504D" w:themeColor="accent2"/>
            <w:lang w:val="en-AU"/>
          </w:rPr>
          <w:t>Numeracy Learning Progression – Comparing units (ratios, rates and proportion) – Level 7 to 9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7B61" w14:textId="1AE60036" w:rsidR="00B44614" w:rsidRPr="001D184E" w:rsidRDefault="00D74DB0" w:rsidP="00AB2D21">
    <w:pPr>
      <w:pStyle w:val="VCAADocumenttitle"/>
      <w:spacing w:before="0" w:after="0"/>
      <w:ind w:left="2880" w:firstLine="720"/>
      <w:rPr>
        <w:sz w:val="44"/>
      </w:rPr>
    </w:pPr>
    <w:r>
      <w:drawing>
        <wp:anchor distT="0" distB="0" distL="114300" distR="114300" simplePos="0" relativeHeight="251659264" behindDoc="0" locked="0" layoutInCell="1" allowOverlap="1" wp14:anchorId="0B6595C4" wp14:editId="532F2FC8">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60288" behindDoc="0" locked="0" layoutInCell="1" allowOverlap="1" wp14:anchorId="5448F29B" wp14:editId="0D90142E">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9B3964">
          <w:rPr>
            <w:sz w:val="28"/>
            <w:szCs w:val="28"/>
          </w:rPr>
          <w:t>Numeracy Learning Progression – Comparing units (ratios, rates and proportion) – Level 7 to 9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1EA1"/>
    <w:multiLevelType w:val="hybridMultilevel"/>
    <w:tmpl w:val="A828A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9014FD3"/>
    <w:multiLevelType w:val="hybridMultilevel"/>
    <w:tmpl w:val="327AF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8124B59"/>
    <w:multiLevelType w:val="hybridMultilevel"/>
    <w:tmpl w:val="C76C2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FF37F80"/>
    <w:multiLevelType w:val="hybridMultilevel"/>
    <w:tmpl w:val="97F87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5F"/>
    <w:rsid w:val="00016A59"/>
    <w:rsid w:val="000D1D62"/>
    <w:rsid w:val="0045618B"/>
    <w:rsid w:val="005D7991"/>
    <w:rsid w:val="008D672A"/>
    <w:rsid w:val="00933297"/>
    <w:rsid w:val="009B3964"/>
    <w:rsid w:val="00AB2D21"/>
    <w:rsid w:val="00C07F5D"/>
    <w:rsid w:val="00D508B6"/>
    <w:rsid w:val="00D74DB0"/>
    <w:rsid w:val="00DC195F"/>
    <w:rsid w:val="00DF0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E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C19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95F"/>
    <w:rPr>
      <w:lang w:val="en-US"/>
    </w:rPr>
  </w:style>
  <w:style w:type="paragraph" w:customStyle="1" w:styleId="VCAADocumenttitle">
    <w:name w:val="VCAA Document title"/>
    <w:basedOn w:val="Normal"/>
    <w:qFormat/>
    <w:rsid w:val="00DC195F"/>
    <w:pPr>
      <w:spacing w:before="600" w:after="600" w:line="560" w:lineRule="exact"/>
    </w:pPr>
    <w:rPr>
      <w:rFonts w:ascii="Arial" w:hAnsi="Arial" w:cs="Arial"/>
      <w:b/>
      <w:noProof/>
      <w:color w:val="4F81BD" w:themeColor="accent1"/>
      <w:sz w:val="48"/>
      <w:szCs w:val="48"/>
      <w:lang w:val="en-AU" w:eastAsia="en-AU"/>
    </w:rPr>
  </w:style>
  <w:style w:type="paragraph" w:customStyle="1" w:styleId="VCAAbody">
    <w:name w:val="VCAA body"/>
    <w:link w:val="VCAAbodyChar"/>
    <w:qFormat/>
    <w:rsid w:val="00DC195F"/>
    <w:pPr>
      <w:spacing w:before="120" w:after="120" w:line="280" w:lineRule="exact"/>
    </w:pPr>
    <w:rPr>
      <w:rFonts w:ascii="Arial" w:hAnsi="Arial" w:cs="Arial"/>
      <w:color w:val="000000" w:themeColor="text1"/>
      <w:lang w:val="en-US"/>
    </w:rPr>
  </w:style>
  <w:style w:type="table" w:styleId="TableGrid">
    <w:name w:val="Table Grid"/>
    <w:basedOn w:val="TableNormal"/>
    <w:uiPriority w:val="59"/>
    <w:rsid w:val="00DC195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heading">
    <w:name w:val="VCAA table condensed heading"/>
    <w:basedOn w:val="Normal"/>
    <w:qFormat/>
    <w:rsid w:val="00DC195F"/>
    <w:pPr>
      <w:spacing w:before="80" w:after="80" w:line="240" w:lineRule="exact"/>
    </w:pPr>
    <w:rPr>
      <w:rFonts w:ascii="Arial Narrow" w:hAnsi="Arial Narrow" w:cs="Arial"/>
      <w:color w:val="000000" w:themeColor="text1"/>
    </w:rPr>
  </w:style>
  <w:style w:type="paragraph" w:customStyle="1" w:styleId="VCAAHeading4">
    <w:name w:val="VCAA Heading 4"/>
    <w:basedOn w:val="Normal"/>
    <w:qFormat/>
    <w:rsid w:val="00DC195F"/>
    <w:pPr>
      <w:spacing w:before="280" w:after="140" w:line="280" w:lineRule="exact"/>
      <w:contextualSpacing/>
    </w:pPr>
    <w:rPr>
      <w:rFonts w:ascii="Arial" w:hAnsi="Arial" w:cs="Arial"/>
      <w:b/>
      <w:color w:val="000000" w:themeColor="text1"/>
      <w:sz w:val="24"/>
      <w:lang w:val="en" w:eastAsia="en-AU"/>
    </w:rPr>
  </w:style>
  <w:style w:type="paragraph" w:customStyle="1" w:styleId="VCAAcaptionsandfootnotes">
    <w:name w:val="VCAA captions and footnotes"/>
    <w:basedOn w:val="VCAAbody"/>
    <w:qFormat/>
    <w:rsid w:val="00DC195F"/>
    <w:pPr>
      <w:spacing w:line="240" w:lineRule="exact"/>
    </w:pPr>
    <w:rPr>
      <w:sz w:val="18"/>
      <w:szCs w:val="18"/>
    </w:rPr>
  </w:style>
  <w:style w:type="paragraph" w:customStyle="1" w:styleId="VCAAtrademarkinfo">
    <w:name w:val="VCAA trademark info"/>
    <w:basedOn w:val="VCAAcaptionsandfootnotes"/>
    <w:qFormat/>
    <w:rsid w:val="00DC195F"/>
    <w:pPr>
      <w:spacing w:after="0" w:line="200" w:lineRule="exact"/>
    </w:pPr>
    <w:rPr>
      <w:sz w:val="16"/>
      <w:szCs w:val="16"/>
    </w:rPr>
  </w:style>
  <w:style w:type="character" w:styleId="Hyperlink">
    <w:name w:val="Hyperlink"/>
    <w:basedOn w:val="DefaultParagraphFont"/>
    <w:uiPriority w:val="99"/>
    <w:unhideWhenUsed/>
    <w:rsid w:val="00DC195F"/>
    <w:rPr>
      <w:color w:val="0000FF" w:themeColor="hyperlink"/>
      <w:u w:val="single"/>
    </w:rPr>
  </w:style>
  <w:style w:type="character" w:customStyle="1" w:styleId="VCAAbodyChar">
    <w:name w:val="VCAA body Char"/>
    <w:basedOn w:val="DefaultParagraphFont"/>
    <w:link w:val="VCAAbody"/>
    <w:rsid w:val="00DC195F"/>
    <w:rPr>
      <w:rFonts w:ascii="Arial" w:hAnsi="Arial" w:cs="Arial"/>
      <w:color w:val="000000" w:themeColor="text1"/>
      <w:lang w:val="en-US"/>
    </w:rPr>
  </w:style>
  <w:style w:type="paragraph" w:customStyle="1" w:styleId="Default">
    <w:name w:val="Default"/>
    <w:rsid w:val="00DC19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1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5F"/>
    <w:rPr>
      <w:rFonts w:ascii="Tahoma" w:hAnsi="Tahoma" w:cs="Tahoma"/>
      <w:sz w:val="16"/>
      <w:szCs w:val="16"/>
      <w:lang w:val="en-US"/>
    </w:rPr>
  </w:style>
  <w:style w:type="paragraph" w:styleId="Header">
    <w:name w:val="header"/>
    <w:basedOn w:val="Normal"/>
    <w:link w:val="HeaderChar"/>
    <w:uiPriority w:val="99"/>
    <w:unhideWhenUsed/>
    <w:rsid w:val="00DC1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95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C19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95F"/>
    <w:rPr>
      <w:lang w:val="en-US"/>
    </w:rPr>
  </w:style>
  <w:style w:type="paragraph" w:customStyle="1" w:styleId="VCAADocumenttitle">
    <w:name w:val="VCAA Document title"/>
    <w:basedOn w:val="Normal"/>
    <w:qFormat/>
    <w:rsid w:val="00DC195F"/>
    <w:pPr>
      <w:spacing w:before="600" w:after="600" w:line="560" w:lineRule="exact"/>
    </w:pPr>
    <w:rPr>
      <w:rFonts w:ascii="Arial" w:hAnsi="Arial" w:cs="Arial"/>
      <w:b/>
      <w:noProof/>
      <w:color w:val="4F81BD" w:themeColor="accent1"/>
      <w:sz w:val="48"/>
      <w:szCs w:val="48"/>
      <w:lang w:val="en-AU" w:eastAsia="en-AU"/>
    </w:rPr>
  </w:style>
  <w:style w:type="paragraph" w:customStyle="1" w:styleId="VCAAbody">
    <w:name w:val="VCAA body"/>
    <w:link w:val="VCAAbodyChar"/>
    <w:qFormat/>
    <w:rsid w:val="00DC195F"/>
    <w:pPr>
      <w:spacing w:before="120" w:after="120" w:line="280" w:lineRule="exact"/>
    </w:pPr>
    <w:rPr>
      <w:rFonts w:ascii="Arial" w:hAnsi="Arial" w:cs="Arial"/>
      <w:color w:val="000000" w:themeColor="text1"/>
      <w:lang w:val="en-US"/>
    </w:rPr>
  </w:style>
  <w:style w:type="table" w:styleId="TableGrid">
    <w:name w:val="Table Grid"/>
    <w:basedOn w:val="TableNormal"/>
    <w:uiPriority w:val="59"/>
    <w:rsid w:val="00DC195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heading">
    <w:name w:val="VCAA table condensed heading"/>
    <w:basedOn w:val="Normal"/>
    <w:qFormat/>
    <w:rsid w:val="00DC195F"/>
    <w:pPr>
      <w:spacing w:before="80" w:after="80" w:line="240" w:lineRule="exact"/>
    </w:pPr>
    <w:rPr>
      <w:rFonts w:ascii="Arial Narrow" w:hAnsi="Arial Narrow" w:cs="Arial"/>
      <w:color w:val="000000" w:themeColor="text1"/>
    </w:rPr>
  </w:style>
  <w:style w:type="paragraph" w:customStyle="1" w:styleId="VCAAHeading4">
    <w:name w:val="VCAA Heading 4"/>
    <w:basedOn w:val="Normal"/>
    <w:qFormat/>
    <w:rsid w:val="00DC195F"/>
    <w:pPr>
      <w:spacing w:before="280" w:after="140" w:line="280" w:lineRule="exact"/>
      <w:contextualSpacing/>
    </w:pPr>
    <w:rPr>
      <w:rFonts w:ascii="Arial" w:hAnsi="Arial" w:cs="Arial"/>
      <w:b/>
      <w:color w:val="000000" w:themeColor="text1"/>
      <w:sz w:val="24"/>
      <w:lang w:val="en" w:eastAsia="en-AU"/>
    </w:rPr>
  </w:style>
  <w:style w:type="paragraph" w:customStyle="1" w:styleId="VCAAcaptionsandfootnotes">
    <w:name w:val="VCAA captions and footnotes"/>
    <w:basedOn w:val="VCAAbody"/>
    <w:qFormat/>
    <w:rsid w:val="00DC195F"/>
    <w:pPr>
      <w:spacing w:line="240" w:lineRule="exact"/>
    </w:pPr>
    <w:rPr>
      <w:sz w:val="18"/>
      <w:szCs w:val="18"/>
    </w:rPr>
  </w:style>
  <w:style w:type="paragraph" w:customStyle="1" w:styleId="VCAAtrademarkinfo">
    <w:name w:val="VCAA trademark info"/>
    <w:basedOn w:val="VCAAcaptionsandfootnotes"/>
    <w:qFormat/>
    <w:rsid w:val="00DC195F"/>
    <w:pPr>
      <w:spacing w:after="0" w:line="200" w:lineRule="exact"/>
    </w:pPr>
    <w:rPr>
      <w:sz w:val="16"/>
      <w:szCs w:val="16"/>
    </w:rPr>
  </w:style>
  <w:style w:type="character" w:styleId="Hyperlink">
    <w:name w:val="Hyperlink"/>
    <w:basedOn w:val="DefaultParagraphFont"/>
    <w:uiPriority w:val="99"/>
    <w:unhideWhenUsed/>
    <w:rsid w:val="00DC195F"/>
    <w:rPr>
      <w:color w:val="0000FF" w:themeColor="hyperlink"/>
      <w:u w:val="single"/>
    </w:rPr>
  </w:style>
  <w:style w:type="character" w:customStyle="1" w:styleId="VCAAbodyChar">
    <w:name w:val="VCAA body Char"/>
    <w:basedOn w:val="DefaultParagraphFont"/>
    <w:link w:val="VCAAbody"/>
    <w:rsid w:val="00DC195F"/>
    <w:rPr>
      <w:rFonts w:ascii="Arial" w:hAnsi="Arial" w:cs="Arial"/>
      <w:color w:val="000000" w:themeColor="text1"/>
      <w:lang w:val="en-US"/>
    </w:rPr>
  </w:style>
  <w:style w:type="paragraph" w:customStyle="1" w:styleId="Default">
    <w:name w:val="Default"/>
    <w:rsid w:val="00DC19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1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5F"/>
    <w:rPr>
      <w:rFonts w:ascii="Tahoma" w:hAnsi="Tahoma" w:cs="Tahoma"/>
      <w:sz w:val="16"/>
      <w:szCs w:val="16"/>
      <w:lang w:val="en-US"/>
    </w:rPr>
  </w:style>
  <w:style w:type="paragraph" w:styleId="Header">
    <w:name w:val="header"/>
    <w:basedOn w:val="Normal"/>
    <w:link w:val="HeaderChar"/>
    <w:uiPriority w:val="99"/>
    <w:unhideWhenUsed/>
    <w:rsid w:val="00DC1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9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20D11-24E8-4AE0-8455-2D8A33F64707}"/>
</file>

<file path=customXml/itemProps2.xml><?xml version="1.0" encoding="utf-8"?>
<ds:datastoreItem xmlns:ds="http://schemas.openxmlformats.org/officeDocument/2006/customXml" ds:itemID="{2CA39170-E89E-4152-A0D7-793CA09ABD2E}"/>
</file>

<file path=customXml/itemProps3.xml><?xml version="1.0" encoding="utf-8"?>
<ds:datastoreItem xmlns:ds="http://schemas.openxmlformats.org/officeDocument/2006/customXml" ds:itemID="{426CCAB9-0678-4FAA-A2A4-1DDEC83FEC6D}"/>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Numeracy Learning Progression – Comparing units (ratios, rates and proportion) – Level 7 to 9 span</vt:lpstr>
    </vt:vector>
  </TitlesOfParts>
  <Company>Victorian Curriculum and Assessment Authority</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Comparing units (ratios, rates and proportion) – Level 7 to 9 span</dc:title>
  <dc:creator>vcaa.f10.curriculum@edumail.vic.gov.au</dc:creator>
  <cp:keywords>Mathematics, Numeracy; Learning Progression</cp:keywords>
  <cp:lastModifiedBy>Driver, Tim P</cp:lastModifiedBy>
  <cp:revision>2</cp:revision>
  <dcterms:created xsi:type="dcterms:W3CDTF">2018-05-09T00:16:00Z</dcterms:created>
  <dcterms:modified xsi:type="dcterms:W3CDTF">2018-05-09T00:16:00Z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