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DBA0" w14:textId="77777777" w:rsidR="00267736" w:rsidRPr="00F97F45" w:rsidRDefault="00267736" w:rsidP="00F97F45">
      <w:pPr>
        <w:pStyle w:val="VCAAbody"/>
        <w:rPr>
          <w:b/>
        </w:rPr>
      </w:pPr>
      <w:bookmarkStart w:id="0" w:name="_GoBack"/>
      <w:bookmarkEnd w:id="0"/>
      <w:r w:rsidRPr="00F97F45">
        <w:rPr>
          <w:b/>
        </w:rPr>
        <w:t xml:space="preserve">This Learning Progression begins at Level </w:t>
      </w:r>
      <w:r w:rsidR="00537CBD" w:rsidRPr="00F97F45">
        <w:rPr>
          <w:b/>
        </w:rPr>
        <w:t>1</w:t>
      </w:r>
      <w:r w:rsidR="00E10BA6" w:rsidRPr="00F97F45">
        <w:rPr>
          <w:b/>
        </w:rPr>
        <w:t xml:space="preserve"> </w:t>
      </w:r>
      <w:r w:rsidRPr="00F97F45">
        <w:rPr>
          <w:b/>
        </w:rPr>
        <w:t>of the Victorian Cur</w:t>
      </w:r>
      <w:r w:rsidR="00537CBD" w:rsidRPr="00F97F45">
        <w:rPr>
          <w:b/>
        </w:rPr>
        <w:t>riculum and concludes at Level 8</w:t>
      </w:r>
      <w:r w:rsidRPr="00F97F45">
        <w:rPr>
          <w:b/>
        </w:rPr>
        <w:t xml:space="preserve">. </w:t>
      </w:r>
      <w:r w:rsidR="00EC7E6E" w:rsidRPr="00F97F45">
        <w:rPr>
          <w:b/>
        </w:rPr>
        <w:t xml:space="preserve"> Five </w:t>
      </w:r>
      <w:r w:rsidRPr="00F97F45">
        <w:rPr>
          <w:b/>
        </w:rPr>
        <w:t>progressions are provided in this span.</w:t>
      </w:r>
    </w:p>
    <w:p w14:paraId="50226F1A" w14:textId="77777777" w:rsidR="00EC7E6E" w:rsidRDefault="00267736" w:rsidP="00267736">
      <w:pPr>
        <w:pStyle w:val="VCAAbody"/>
        <w:rPr>
          <w:rFonts w:asciiTheme="minorHAnsi" w:hAnsiTheme="minorHAnsi" w:cstheme="minorHAnsi"/>
        </w:rPr>
      </w:pPr>
      <w:r w:rsidRPr="00EC7E6E">
        <w:rPr>
          <w:rFonts w:asciiTheme="minorHAnsi" w:hAnsiTheme="minorHAnsi" w:cstheme="minorHAnsi"/>
          <w:i/>
        </w:rPr>
        <w:t>Description:</w:t>
      </w:r>
      <w:r w:rsidRPr="00EC7E6E">
        <w:rPr>
          <w:rFonts w:asciiTheme="minorHAnsi" w:hAnsiTheme="minorHAnsi" w:cstheme="minorHAnsi"/>
        </w:rPr>
        <w:t xml:space="preserve"> </w:t>
      </w:r>
      <w:r w:rsidR="003D7372">
        <w:rPr>
          <w:rFonts w:asciiTheme="minorHAnsi" w:hAnsiTheme="minorHAnsi" w:cstheme="minorHAnsi"/>
        </w:rPr>
        <w:t>This Learning P</w:t>
      </w:r>
      <w:r w:rsidR="003D7372" w:rsidRPr="00EC7E6E">
        <w:rPr>
          <w:rFonts w:asciiTheme="minorHAnsi" w:hAnsiTheme="minorHAnsi" w:cstheme="minorHAnsi"/>
        </w:rPr>
        <w:t xml:space="preserve">rogression describes how a student becomes increasingly able to use the language of chance and the numerical values of probabilities when determining the likelihood of an event. </w:t>
      </w:r>
      <w:r w:rsidR="00537CBD" w:rsidRPr="00EC7E6E">
        <w:rPr>
          <w:rFonts w:asciiTheme="minorHAnsi" w:hAnsiTheme="minorHAnsi" w:cstheme="minorHAnsi"/>
        </w:rPr>
        <w:t xml:space="preserve">Our modern understandings of probability date from the second half of the 17th century with the analysis of games of chance. Many of the basic ideas of probability can run contrary to common beliefs. </w:t>
      </w:r>
      <w:r w:rsidR="00B92613">
        <w:rPr>
          <w:rFonts w:asciiTheme="minorHAnsi" w:hAnsiTheme="minorHAnsi" w:cstheme="minorHAnsi"/>
        </w:rPr>
        <w:t>People often need</w:t>
      </w:r>
      <w:r w:rsidR="00B92613" w:rsidRPr="00EC7E6E">
        <w:rPr>
          <w:rFonts w:asciiTheme="minorHAnsi" w:hAnsiTheme="minorHAnsi" w:cstheme="minorHAnsi"/>
        </w:rPr>
        <w:t xml:space="preserve"> t</w:t>
      </w:r>
      <w:r w:rsidR="00B92613">
        <w:rPr>
          <w:rFonts w:asciiTheme="minorHAnsi" w:hAnsiTheme="minorHAnsi" w:cstheme="minorHAnsi"/>
        </w:rPr>
        <w:t xml:space="preserve">o overcome strongly held beliefs to recognise </w:t>
      </w:r>
      <w:r w:rsidR="00537CBD" w:rsidRPr="00EC7E6E">
        <w:rPr>
          <w:rFonts w:asciiTheme="minorHAnsi" w:hAnsiTheme="minorHAnsi" w:cstheme="minorHAnsi"/>
        </w:rPr>
        <w:t xml:space="preserve">how what has happened in the past does not influence what will happen in the future with independent events. </w:t>
      </w:r>
    </w:p>
    <w:p w14:paraId="540D1A73" w14:textId="77777777" w:rsidR="00267736" w:rsidRPr="00EC7E6E" w:rsidRDefault="00EC7E6E" w:rsidP="00267736">
      <w:pPr>
        <w:pStyle w:val="VCAAbody"/>
        <w:rPr>
          <w:rFonts w:asciiTheme="minorHAnsi" w:hAnsiTheme="minorHAnsi" w:cstheme="minorHAnsi"/>
        </w:rPr>
      </w:pPr>
      <w:r w:rsidRPr="00B70D39">
        <w:rPr>
          <w:rFonts w:asciiTheme="minorHAnsi" w:hAnsiTheme="minorHAnsi" w:cstheme="minorHAnsi"/>
          <w:i/>
        </w:rPr>
        <w:t>Related Numeracy Learning Progressions</w:t>
      </w:r>
      <w:r w:rsidRPr="00B70D39">
        <w:rPr>
          <w:rFonts w:asciiTheme="minorHAnsi" w:hAnsiTheme="minorHAnsi" w:cstheme="minorHAnsi"/>
        </w:rPr>
        <w:t xml:space="preserve">: </w:t>
      </w:r>
      <w:r w:rsidR="003D7372">
        <w:rPr>
          <w:rFonts w:asciiTheme="minorHAnsi" w:hAnsiTheme="minorHAnsi" w:cstheme="minorHAnsi"/>
        </w:rPr>
        <w:t>This Learning Progression is related to</w:t>
      </w:r>
      <w:r w:rsidR="00537CBD" w:rsidRPr="00EC7E6E">
        <w:rPr>
          <w:rFonts w:asciiTheme="minorHAnsi" w:hAnsiTheme="minorHAnsi" w:cstheme="minorHAnsi"/>
        </w:rPr>
        <w:t xml:space="preserve"> </w:t>
      </w:r>
      <w:r w:rsidR="003D7372" w:rsidRPr="003D7372">
        <w:rPr>
          <w:rFonts w:asciiTheme="minorHAnsi" w:hAnsiTheme="minorHAnsi" w:cstheme="minorHAnsi"/>
          <w:i/>
        </w:rPr>
        <w:t>Interpreting and representing data</w:t>
      </w:r>
      <w:r w:rsidR="003D7372">
        <w:rPr>
          <w:rFonts w:asciiTheme="minorHAnsi" w:hAnsiTheme="minorHAnsi" w:cstheme="minorHAnsi"/>
        </w:rPr>
        <w:t xml:space="preserve">. </w:t>
      </w:r>
    </w:p>
    <w:p w14:paraId="15BC9E19" w14:textId="54EBD71E" w:rsidR="00267736" w:rsidRPr="005E7294" w:rsidRDefault="00267736" w:rsidP="00267736">
      <w:pPr>
        <w:pStyle w:val="VCAAbody"/>
        <w:rPr>
          <w:rFonts w:ascii="Arial Narrow" w:hAnsi="Arial Narrow"/>
          <w:i/>
        </w:rPr>
      </w:pPr>
      <w:r w:rsidRPr="00143A7F">
        <w:rPr>
          <w:rFonts w:ascii="Arial Narrow" w:hAnsi="Arial Narrow"/>
          <w:i/>
        </w:rPr>
        <w:t xml:space="preserve">Details of progression provide nuanced and detailed descriptions of student learning – </w:t>
      </w:r>
      <w:r w:rsidRPr="00C1032D">
        <w:rPr>
          <w:rFonts w:ascii="Arial Narrow" w:hAnsi="Arial Narrow"/>
          <w:i/>
        </w:rPr>
        <w:t>what students can say, do, make or write.</w:t>
      </w:r>
      <w:r>
        <w:rPr>
          <w:rFonts w:ascii="Arial Narrow" w:hAnsi="Arial Narrow"/>
          <w:i/>
        </w:rPr>
        <w:t xml:space="preserve"> Examples of student learning in</w:t>
      </w:r>
      <w:r w:rsidRPr="00143A7F">
        <w:rPr>
          <w:rFonts w:ascii="Arial Narrow" w:hAnsi="Arial Narrow"/>
          <w:i/>
        </w:rPr>
        <w:t xml:space="preserve"> each progression are not hierarchical, nor are they </w:t>
      </w:r>
      <w:r w:rsidR="006233FE">
        <w:rPr>
          <w:rFonts w:ascii="Arial Narrow" w:hAnsi="Arial Narrow"/>
          <w:i/>
        </w:rPr>
        <w:t xml:space="preserve">to be used as </w:t>
      </w:r>
      <w:r w:rsidRPr="00143A7F">
        <w:rPr>
          <w:rFonts w:ascii="Arial Narrow" w:hAnsi="Arial Narrow"/>
          <w:i/>
        </w:rPr>
        <w:t>a checklist.</w:t>
      </w:r>
    </w:p>
    <w:tbl>
      <w:tblPr>
        <w:tblStyle w:val="TableGrid"/>
        <w:tblW w:w="5000" w:type="pct"/>
        <w:tblLook w:val="04A0" w:firstRow="1" w:lastRow="0" w:firstColumn="1" w:lastColumn="0" w:noHBand="0" w:noVBand="1"/>
      </w:tblPr>
      <w:tblGrid>
        <w:gridCol w:w="4873"/>
        <w:gridCol w:w="13033"/>
        <w:gridCol w:w="3244"/>
      </w:tblGrid>
      <w:tr w:rsidR="00267736" w:rsidRPr="005E7294" w14:paraId="110C090C" w14:textId="77777777" w:rsidTr="006B5E8F">
        <w:trPr>
          <w:trHeight w:val="139"/>
        </w:trPr>
        <w:tc>
          <w:tcPr>
            <w:tcW w:w="1152" w:type="pct"/>
            <w:tcBorders>
              <w:top w:val="single" w:sz="4" w:space="0" w:color="auto"/>
              <w:left w:val="single" w:sz="4" w:space="0" w:color="auto"/>
              <w:bottom w:val="single" w:sz="4" w:space="0" w:color="auto"/>
              <w:right w:val="nil"/>
            </w:tcBorders>
            <w:shd w:val="clear" w:color="auto" w:fill="404040" w:themeFill="text1" w:themeFillTint="BF"/>
            <w:vAlign w:val="center"/>
          </w:tcPr>
          <w:p w14:paraId="0009E347" w14:textId="77777777" w:rsidR="00267736" w:rsidRPr="00C1032D" w:rsidRDefault="00537CBD" w:rsidP="006B5E8F">
            <w:pPr>
              <w:pStyle w:val="VCAAtablecondensedheading"/>
              <w:rPr>
                <w:b/>
                <w:color w:val="FFFFFF" w:themeColor="background1"/>
              </w:rPr>
            </w:pPr>
            <w:r>
              <w:rPr>
                <w:b/>
                <w:color w:val="FFFFFF" w:themeColor="background1"/>
              </w:rPr>
              <w:t>Victorian Curriculum Level 1</w:t>
            </w:r>
          </w:p>
        </w:tc>
        <w:tc>
          <w:tcPr>
            <w:tcW w:w="3081" w:type="pct"/>
            <w:tcBorders>
              <w:top w:val="single" w:sz="4" w:space="0" w:color="auto"/>
              <w:left w:val="nil"/>
              <w:bottom w:val="single" w:sz="4" w:space="0" w:color="auto"/>
              <w:right w:val="nil"/>
            </w:tcBorders>
            <w:shd w:val="clear" w:color="auto" w:fill="404040" w:themeFill="text1" w:themeFillTint="BF"/>
            <w:vAlign w:val="center"/>
          </w:tcPr>
          <w:p w14:paraId="1660C521" w14:textId="77777777" w:rsidR="00267736" w:rsidRPr="00C1032D" w:rsidRDefault="00267736" w:rsidP="006B5E8F">
            <w:pPr>
              <w:pStyle w:val="VCAAtablecondensedheading"/>
              <w:rPr>
                <w:b/>
                <w:color w:val="FFFFFF" w:themeColor="background1"/>
              </w:rPr>
            </w:pPr>
          </w:p>
        </w:tc>
        <w:tc>
          <w:tcPr>
            <w:tcW w:w="767" w:type="pct"/>
            <w:tcBorders>
              <w:top w:val="single" w:sz="4" w:space="0" w:color="auto"/>
              <w:left w:val="nil"/>
              <w:bottom w:val="single" w:sz="4" w:space="0" w:color="auto"/>
            </w:tcBorders>
            <w:shd w:val="clear" w:color="auto" w:fill="404040" w:themeFill="text1" w:themeFillTint="BF"/>
            <w:vAlign w:val="center"/>
          </w:tcPr>
          <w:p w14:paraId="19774E85" w14:textId="77777777" w:rsidR="00267736" w:rsidRPr="00C1032D" w:rsidRDefault="00537CBD" w:rsidP="006B5E8F">
            <w:pPr>
              <w:pStyle w:val="VCAAtablecondensedheading"/>
              <w:jc w:val="right"/>
              <w:rPr>
                <w:b/>
                <w:color w:val="FFFFFF" w:themeColor="background1"/>
              </w:rPr>
            </w:pPr>
            <w:r>
              <w:rPr>
                <w:b/>
                <w:color w:val="FFFFFF" w:themeColor="background1"/>
              </w:rPr>
              <w:t>Victorian Curriculum Level 8</w:t>
            </w:r>
          </w:p>
        </w:tc>
      </w:tr>
    </w:tbl>
    <w:tbl>
      <w:tblPr>
        <w:tblStyle w:val="TableGrid1"/>
        <w:tblW w:w="0" w:type="auto"/>
        <w:tblLayout w:type="fixed"/>
        <w:tblLook w:val="04A0" w:firstRow="1" w:lastRow="0" w:firstColumn="1" w:lastColumn="0" w:noHBand="0" w:noVBand="1"/>
      </w:tblPr>
      <w:tblGrid>
        <w:gridCol w:w="4230"/>
        <w:gridCol w:w="4230"/>
        <w:gridCol w:w="4230"/>
        <w:gridCol w:w="4230"/>
        <w:gridCol w:w="4230"/>
      </w:tblGrid>
      <w:tr w:rsidR="00537CBD" w14:paraId="65A1C2F7" w14:textId="77777777" w:rsidTr="00537CBD">
        <w:tc>
          <w:tcPr>
            <w:tcW w:w="4230" w:type="dxa"/>
            <w:tcBorders>
              <w:top w:val="single" w:sz="4" w:space="0" w:color="auto"/>
              <w:left w:val="single" w:sz="4" w:space="0" w:color="auto"/>
              <w:bottom w:val="single" w:sz="4" w:space="0" w:color="auto"/>
              <w:right w:val="single" w:sz="4" w:space="0" w:color="auto"/>
            </w:tcBorders>
          </w:tcPr>
          <w:p w14:paraId="15C3D2A5" w14:textId="77777777" w:rsidR="00537CBD" w:rsidRDefault="00537CBD">
            <w:pPr>
              <w:pStyle w:val="Default"/>
              <w:rPr>
                <w:rFonts w:ascii="Arial Narrow" w:hAnsi="Arial Narrow"/>
                <w:b/>
                <w:bCs/>
                <w:sz w:val="22"/>
                <w:szCs w:val="22"/>
              </w:rPr>
            </w:pPr>
            <w:r>
              <w:rPr>
                <w:rFonts w:ascii="Arial Narrow" w:hAnsi="Arial Narrow"/>
                <w:b/>
                <w:bCs/>
                <w:sz w:val="22"/>
                <w:szCs w:val="22"/>
              </w:rPr>
              <w:t xml:space="preserve">Describing chance </w:t>
            </w:r>
          </w:p>
          <w:p w14:paraId="1474B797" w14:textId="77777777" w:rsidR="00537CBD" w:rsidRDefault="00537CBD">
            <w:pPr>
              <w:pStyle w:val="Default"/>
              <w:rPr>
                <w:rFonts w:ascii="Arial Narrow" w:hAnsi="Arial Narrow"/>
                <w:sz w:val="22"/>
                <w:szCs w:val="22"/>
              </w:rPr>
            </w:pPr>
          </w:p>
          <w:p w14:paraId="5CB3CD40" w14:textId="77777777" w:rsidR="00537CBD" w:rsidRDefault="009F54B9">
            <w:pPr>
              <w:pStyle w:val="Default"/>
              <w:rPr>
                <w:rFonts w:ascii="Arial Narrow" w:hAnsi="Arial Narrow"/>
                <w:sz w:val="22"/>
                <w:szCs w:val="22"/>
              </w:rPr>
            </w:pPr>
            <w:r>
              <w:rPr>
                <w:rFonts w:ascii="Arial Narrow" w:hAnsi="Arial Narrow"/>
                <w:sz w:val="22"/>
                <w:szCs w:val="22"/>
              </w:rPr>
              <w:t>The student:</w:t>
            </w:r>
          </w:p>
          <w:p w14:paraId="78D5FD23" w14:textId="77777777" w:rsidR="00537CBD" w:rsidRDefault="00537CBD" w:rsidP="006B5E8F">
            <w:pPr>
              <w:pStyle w:val="Default"/>
              <w:numPr>
                <w:ilvl w:val="0"/>
                <w:numId w:val="16"/>
              </w:numPr>
              <w:rPr>
                <w:rFonts w:ascii="Arial Narrow" w:hAnsi="Arial Narrow"/>
                <w:sz w:val="22"/>
                <w:szCs w:val="22"/>
              </w:rPr>
            </w:pPr>
            <w:r>
              <w:rPr>
                <w:rFonts w:ascii="Arial Narrow" w:hAnsi="Arial Narrow"/>
                <w:sz w:val="22"/>
                <w:szCs w:val="22"/>
              </w:rPr>
              <w:t>describes everyday o</w:t>
            </w:r>
            <w:r w:rsidR="003D7372">
              <w:rPr>
                <w:rFonts w:ascii="Arial Narrow" w:hAnsi="Arial Narrow"/>
                <w:sz w:val="22"/>
                <w:szCs w:val="22"/>
              </w:rPr>
              <w:t>ccurrences that involve chance</w:t>
            </w:r>
          </w:p>
          <w:p w14:paraId="445D1D21" w14:textId="77777777" w:rsidR="00537CBD" w:rsidRDefault="00537CBD" w:rsidP="006B5E8F">
            <w:pPr>
              <w:pStyle w:val="Default"/>
              <w:numPr>
                <w:ilvl w:val="0"/>
                <w:numId w:val="16"/>
              </w:numPr>
              <w:rPr>
                <w:rFonts w:ascii="Arial Narrow" w:hAnsi="Arial Narrow"/>
                <w:sz w:val="22"/>
                <w:szCs w:val="22"/>
              </w:rPr>
            </w:pPr>
            <w:r>
              <w:rPr>
                <w:rFonts w:ascii="Arial Narrow" w:hAnsi="Arial Narrow"/>
                <w:sz w:val="22"/>
                <w:szCs w:val="22"/>
              </w:rPr>
              <w:t>recognise</w:t>
            </w:r>
            <w:r w:rsidR="009F54B9">
              <w:rPr>
                <w:rFonts w:ascii="Arial Narrow" w:hAnsi="Arial Narrow"/>
                <w:sz w:val="22"/>
                <w:szCs w:val="22"/>
              </w:rPr>
              <w:t>s</w:t>
            </w:r>
            <w:r>
              <w:rPr>
                <w:rFonts w:ascii="Arial Narrow" w:hAnsi="Arial Narrow"/>
                <w:sz w:val="22"/>
                <w:szCs w:val="22"/>
              </w:rPr>
              <w:t xml:space="preserve"> that some ev</w:t>
            </w:r>
            <w:r w:rsidR="003D7372">
              <w:rPr>
                <w:rFonts w:ascii="Arial Narrow" w:hAnsi="Arial Narrow"/>
                <w:sz w:val="22"/>
                <w:szCs w:val="22"/>
              </w:rPr>
              <w:t>ents might or might not happen</w:t>
            </w:r>
          </w:p>
          <w:p w14:paraId="433346BE" w14:textId="77777777" w:rsidR="00537CBD" w:rsidRDefault="00537CBD" w:rsidP="006B5E8F">
            <w:pPr>
              <w:pStyle w:val="Default"/>
              <w:numPr>
                <w:ilvl w:val="0"/>
                <w:numId w:val="16"/>
              </w:numPr>
              <w:rPr>
                <w:rFonts w:ascii="Arial Narrow" w:hAnsi="Arial Narrow"/>
                <w:sz w:val="22"/>
                <w:szCs w:val="22"/>
              </w:rPr>
            </w:pPr>
            <w:r>
              <w:rPr>
                <w:rFonts w:ascii="Arial Narrow" w:hAnsi="Arial Narrow"/>
                <w:sz w:val="22"/>
                <w:szCs w:val="22"/>
              </w:rPr>
              <w:t xml:space="preserve">makes predictions on the likelihood of simple, everyday occurrences. </w:t>
            </w:r>
          </w:p>
          <w:p w14:paraId="212DB301" w14:textId="77777777" w:rsidR="00537CBD" w:rsidRDefault="00537CBD">
            <w:pPr>
              <w:rPr>
                <w:rFonts w:ascii="Arial Narrow" w:hAnsi="Arial Narrow"/>
              </w:rPr>
            </w:pPr>
          </w:p>
          <w:p w14:paraId="7138E7E1" w14:textId="77777777" w:rsidR="00537CBD" w:rsidRDefault="00537CBD">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2F249D9F" w14:textId="77777777" w:rsidR="00537CBD" w:rsidRDefault="00537CBD">
            <w:pPr>
              <w:pStyle w:val="Default"/>
              <w:rPr>
                <w:rFonts w:ascii="Arial Narrow" w:hAnsi="Arial Narrow"/>
                <w:b/>
                <w:bCs/>
                <w:sz w:val="22"/>
                <w:szCs w:val="22"/>
              </w:rPr>
            </w:pPr>
            <w:r>
              <w:rPr>
                <w:rFonts w:ascii="Arial Narrow" w:hAnsi="Arial Narrow"/>
                <w:b/>
                <w:bCs/>
                <w:sz w:val="22"/>
                <w:szCs w:val="22"/>
              </w:rPr>
              <w:t xml:space="preserve">Comparing chance </w:t>
            </w:r>
          </w:p>
          <w:p w14:paraId="2ABFB268" w14:textId="77777777" w:rsidR="00537CBD" w:rsidRDefault="00537CBD">
            <w:pPr>
              <w:pStyle w:val="Default"/>
              <w:rPr>
                <w:rFonts w:ascii="Arial Narrow" w:hAnsi="Arial Narrow"/>
                <w:sz w:val="22"/>
                <w:szCs w:val="22"/>
              </w:rPr>
            </w:pPr>
          </w:p>
          <w:p w14:paraId="172C0ADD" w14:textId="77777777" w:rsidR="00537CBD" w:rsidRDefault="009F54B9" w:rsidP="00537CBD">
            <w:pPr>
              <w:pStyle w:val="Default"/>
              <w:rPr>
                <w:rFonts w:ascii="Arial Narrow" w:hAnsi="Arial Narrow"/>
                <w:sz w:val="22"/>
                <w:szCs w:val="22"/>
              </w:rPr>
            </w:pPr>
            <w:r>
              <w:rPr>
                <w:rFonts w:ascii="Arial Narrow" w:hAnsi="Arial Narrow"/>
                <w:sz w:val="22"/>
                <w:szCs w:val="22"/>
              </w:rPr>
              <w:t>The student:</w:t>
            </w:r>
          </w:p>
          <w:p w14:paraId="0FA973EA" w14:textId="77777777" w:rsidR="00537CBD" w:rsidRDefault="00537CBD" w:rsidP="00537CBD">
            <w:pPr>
              <w:pStyle w:val="Default"/>
              <w:numPr>
                <w:ilvl w:val="0"/>
                <w:numId w:val="12"/>
              </w:numPr>
              <w:ind w:left="306" w:hanging="283"/>
              <w:rPr>
                <w:rFonts w:ascii="Arial Narrow" w:hAnsi="Arial Narrow"/>
                <w:sz w:val="22"/>
                <w:szCs w:val="22"/>
              </w:rPr>
            </w:pPr>
            <w:r>
              <w:rPr>
                <w:rFonts w:ascii="Arial Narrow" w:hAnsi="Arial Narrow"/>
                <w:sz w:val="22"/>
                <w:szCs w:val="22"/>
              </w:rPr>
              <w:t>explains why one result is more likely than another (if there are more blue than red marbles in a bag, blue</w:t>
            </w:r>
            <w:r w:rsidR="003D7372">
              <w:rPr>
                <w:rFonts w:ascii="Arial Narrow" w:hAnsi="Arial Narrow"/>
                <w:sz w:val="22"/>
                <w:szCs w:val="22"/>
              </w:rPr>
              <w:t xml:space="preserve"> is more likely to be selected)</w:t>
            </w:r>
          </w:p>
          <w:p w14:paraId="72D09140" w14:textId="77777777" w:rsidR="00537CBD" w:rsidRDefault="00537CBD" w:rsidP="00537CBD">
            <w:pPr>
              <w:pStyle w:val="Default"/>
              <w:numPr>
                <w:ilvl w:val="0"/>
                <w:numId w:val="12"/>
              </w:numPr>
              <w:ind w:left="306" w:hanging="283"/>
              <w:rPr>
                <w:rFonts w:ascii="Arial Narrow" w:hAnsi="Arial Narrow"/>
                <w:sz w:val="22"/>
                <w:szCs w:val="22"/>
              </w:rPr>
            </w:pPr>
            <w:r>
              <w:rPr>
                <w:rFonts w:ascii="Arial Narrow" w:hAnsi="Arial Narrow"/>
                <w:sz w:val="22"/>
                <w:szCs w:val="22"/>
              </w:rPr>
              <w:t>explain</w:t>
            </w:r>
            <w:r w:rsidR="009F54B9">
              <w:rPr>
                <w:rFonts w:ascii="Arial Narrow" w:hAnsi="Arial Narrow"/>
                <w:sz w:val="22"/>
                <w:szCs w:val="22"/>
              </w:rPr>
              <w:t>s</w:t>
            </w:r>
            <w:r>
              <w:rPr>
                <w:rFonts w:ascii="Arial Narrow" w:hAnsi="Arial Narrow"/>
                <w:sz w:val="22"/>
                <w:szCs w:val="22"/>
              </w:rPr>
              <w:t xml:space="preserve"> why outcomes of chance experiments may differ from expected results.  </w:t>
            </w:r>
          </w:p>
          <w:p w14:paraId="46613BC3" w14:textId="77777777" w:rsidR="00537CBD" w:rsidRDefault="00537CBD">
            <w:pPr>
              <w:pStyle w:val="Default"/>
              <w:rPr>
                <w:rFonts w:ascii="Arial Narrow" w:hAnsi="Arial Narrow"/>
                <w:sz w:val="22"/>
                <w:szCs w:val="22"/>
              </w:rPr>
            </w:pPr>
          </w:p>
          <w:p w14:paraId="1B3E76E4" w14:textId="77777777" w:rsidR="00537CBD" w:rsidRDefault="00537CBD">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4663D481" w14:textId="77777777" w:rsidR="00537CBD" w:rsidRDefault="00537CBD">
            <w:pPr>
              <w:pStyle w:val="Default"/>
              <w:rPr>
                <w:rFonts w:ascii="Arial Narrow" w:hAnsi="Arial Narrow"/>
                <w:b/>
                <w:bCs/>
                <w:sz w:val="22"/>
                <w:szCs w:val="22"/>
              </w:rPr>
            </w:pPr>
            <w:r>
              <w:rPr>
                <w:rFonts w:ascii="Arial Narrow" w:hAnsi="Arial Narrow"/>
                <w:b/>
                <w:bCs/>
                <w:sz w:val="22"/>
                <w:szCs w:val="22"/>
              </w:rPr>
              <w:t xml:space="preserve">Fairness </w:t>
            </w:r>
          </w:p>
          <w:p w14:paraId="7EDC443B" w14:textId="77777777" w:rsidR="00537CBD" w:rsidRDefault="00537CBD">
            <w:pPr>
              <w:pStyle w:val="Default"/>
              <w:rPr>
                <w:rFonts w:ascii="Arial Narrow" w:hAnsi="Arial Narrow"/>
                <w:sz w:val="22"/>
                <w:szCs w:val="22"/>
              </w:rPr>
            </w:pPr>
          </w:p>
          <w:p w14:paraId="633296CC" w14:textId="77777777" w:rsidR="00537CBD" w:rsidRDefault="006B5E8F">
            <w:pPr>
              <w:pStyle w:val="Default"/>
              <w:rPr>
                <w:rFonts w:ascii="Arial Narrow" w:hAnsi="Arial Narrow"/>
                <w:sz w:val="22"/>
                <w:szCs w:val="22"/>
              </w:rPr>
            </w:pPr>
            <w:r>
              <w:rPr>
                <w:rFonts w:ascii="Arial Narrow" w:hAnsi="Arial Narrow"/>
                <w:sz w:val="22"/>
                <w:szCs w:val="22"/>
              </w:rPr>
              <w:t>The student:</w:t>
            </w:r>
          </w:p>
          <w:p w14:paraId="26D00A9E" w14:textId="77777777" w:rsidR="00537CBD" w:rsidRDefault="00537CBD" w:rsidP="00537CBD">
            <w:pPr>
              <w:pStyle w:val="Default"/>
              <w:numPr>
                <w:ilvl w:val="0"/>
                <w:numId w:val="13"/>
              </w:numPr>
              <w:ind w:left="329" w:hanging="284"/>
              <w:rPr>
                <w:rFonts w:ascii="Arial Narrow" w:hAnsi="Arial Narrow"/>
                <w:sz w:val="22"/>
                <w:szCs w:val="22"/>
              </w:rPr>
            </w:pPr>
            <w:r>
              <w:rPr>
                <w:rFonts w:ascii="Arial Narrow" w:hAnsi="Arial Narrow"/>
                <w:sz w:val="22"/>
                <w:szCs w:val="22"/>
              </w:rPr>
              <w:t>identifies all possible o</w:t>
            </w:r>
            <w:r w:rsidR="003D7372">
              <w:rPr>
                <w:rFonts w:ascii="Arial Narrow" w:hAnsi="Arial Narrow"/>
                <w:sz w:val="22"/>
                <w:szCs w:val="22"/>
              </w:rPr>
              <w:t>utcomes from simple experiments</w:t>
            </w:r>
          </w:p>
          <w:p w14:paraId="16342891" w14:textId="77777777" w:rsidR="00537CBD" w:rsidRDefault="00537CBD" w:rsidP="00537CBD">
            <w:pPr>
              <w:pStyle w:val="Default"/>
              <w:numPr>
                <w:ilvl w:val="0"/>
                <w:numId w:val="13"/>
              </w:numPr>
              <w:ind w:left="329" w:hanging="284"/>
              <w:rPr>
                <w:rFonts w:ascii="Arial Narrow" w:hAnsi="Arial Narrow"/>
                <w:sz w:val="22"/>
                <w:szCs w:val="22"/>
              </w:rPr>
            </w:pPr>
            <w:r>
              <w:rPr>
                <w:rFonts w:ascii="Arial Narrow" w:hAnsi="Arial Narrow"/>
                <w:sz w:val="22"/>
                <w:szCs w:val="22"/>
              </w:rPr>
              <w:t>explains that 'fairness' of chance outcomes is related to the equal likel</w:t>
            </w:r>
            <w:r w:rsidR="003D7372">
              <w:rPr>
                <w:rFonts w:ascii="Arial Narrow" w:hAnsi="Arial Narrow"/>
                <w:sz w:val="22"/>
                <w:szCs w:val="22"/>
              </w:rPr>
              <w:t>ihood of all possible outcomes</w:t>
            </w:r>
          </w:p>
          <w:p w14:paraId="6A04FBFE" w14:textId="77777777" w:rsidR="00537CBD" w:rsidRDefault="00537CBD" w:rsidP="00537CBD">
            <w:pPr>
              <w:pStyle w:val="Default"/>
              <w:numPr>
                <w:ilvl w:val="0"/>
                <w:numId w:val="13"/>
              </w:numPr>
              <w:ind w:left="329" w:hanging="284"/>
              <w:rPr>
                <w:rFonts w:ascii="Arial Narrow" w:hAnsi="Arial Narrow"/>
                <w:sz w:val="22"/>
                <w:szCs w:val="22"/>
              </w:rPr>
            </w:pPr>
            <w:r>
              <w:rPr>
                <w:rFonts w:ascii="Arial Narrow" w:hAnsi="Arial Narrow"/>
                <w:sz w:val="22"/>
                <w:szCs w:val="22"/>
              </w:rPr>
              <w:t>identifies unfair elements in games that affect the chances of winning (havi</w:t>
            </w:r>
            <w:r w:rsidR="003D7372">
              <w:rPr>
                <w:rFonts w:ascii="Arial Narrow" w:hAnsi="Arial Narrow"/>
                <w:sz w:val="22"/>
                <w:szCs w:val="22"/>
              </w:rPr>
              <w:t>ng an unequal number of turns)</w:t>
            </w:r>
          </w:p>
          <w:p w14:paraId="5C443DC0" w14:textId="77777777" w:rsidR="00537CBD" w:rsidRDefault="00537CBD" w:rsidP="00537CBD">
            <w:pPr>
              <w:pStyle w:val="Default"/>
              <w:numPr>
                <w:ilvl w:val="0"/>
                <w:numId w:val="13"/>
              </w:numPr>
              <w:ind w:left="329" w:hanging="284"/>
              <w:rPr>
                <w:rFonts w:ascii="Arial Narrow" w:hAnsi="Arial Narrow"/>
                <w:sz w:val="22"/>
                <w:szCs w:val="22"/>
              </w:rPr>
            </w:pPr>
            <w:r>
              <w:rPr>
                <w:rFonts w:ascii="Arial Narrow" w:hAnsi="Arial Narrow"/>
                <w:sz w:val="22"/>
                <w:szCs w:val="22"/>
              </w:rPr>
              <w:t xml:space="preserve">recognises that all probabilities must lie between impossible (no chance) and certain. </w:t>
            </w:r>
          </w:p>
          <w:p w14:paraId="4101DFF8" w14:textId="77777777" w:rsidR="00537CBD" w:rsidRDefault="00537CBD">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7FF9F22D" w14:textId="77777777" w:rsidR="00537CBD" w:rsidRDefault="00537CBD">
            <w:pPr>
              <w:pStyle w:val="Default"/>
              <w:rPr>
                <w:rFonts w:ascii="Arial Narrow" w:hAnsi="Arial Narrow"/>
                <w:b/>
                <w:bCs/>
                <w:sz w:val="22"/>
                <w:szCs w:val="22"/>
              </w:rPr>
            </w:pPr>
            <w:r>
              <w:rPr>
                <w:rFonts w:ascii="Arial Narrow" w:hAnsi="Arial Narrow"/>
                <w:b/>
                <w:bCs/>
                <w:sz w:val="22"/>
                <w:szCs w:val="22"/>
              </w:rPr>
              <w:t xml:space="preserve">Probabilities </w:t>
            </w:r>
          </w:p>
          <w:p w14:paraId="32CC9452" w14:textId="77777777" w:rsidR="00537CBD" w:rsidRDefault="00537CBD">
            <w:pPr>
              <w:pStyle w:val="Default"/>
              <w:rPr>
                <w:rFonts w:ascii="Arial Narrow" w:hAnsi="Arial Narrow"/>
                <w:sz w:val="22"/>
                <w:szCs w:val="22"/>
              </w:rPr>
            </w:pPr>
          </w:p>
          <w:p w14:paraId="6D62DDE3" w14:textId="77777777" w:rsidR="00537CBD" w:rsidRDefault="00537CBD">
            <w:pPr>
              <w:pStyle w:val="Default"/>
              <w:rPr>
                <w:rFonts w:ascii="Arial Narrow" w:hAnsi="Arial Narrow"/>
                <w:sz w:val="22"/>
                <w:szCs w:val="22"/>
              </w:rPr>
            </w:pPr>
            <w:r>
              <w:rPr>
                <w:rFonts w:ascii="Arial Narrow" w:hAnsi="Arial Narrow"/>
                <w:sz w:val="22"/>
                <w:szCs w:val="22"/>
              </w:rPr>
              <w:t>The student:</w:t>
            </w:r>
          </w:p>
          <w:p w14:paraId="04E72DFA" w14:textId="77777777" w:rsidR="00537CBD" w:rsidRDefault="00537CBD" w:rsidP="00537CBD">
            <w:pPr>
              <w:pStyle w:val="Default"/>
              <w:numPr>
                <w:ilvl w:val="0"/>
                <w:numId w:val="14"/>
              </w:numPr>
              <w:ind w:left="351" w:hanging="283"/>
              <w:rPr>
                <w:rFonts w:ascii="Arial Narrow" w:hAnsi="Arial Narrow"/>
                <w:sz w:val="22"/>
                <w:szCs w:val="22"/>
              </w:rPr>
            </w:pPr>
            <w:r>
              <w:rPr>
                <w:rFonts w:ascii="Arial Narrow" w:hAnsi="Arial Narrow"/>
                <w:sz w:val="22"/>
                <w:szCs w:val="22"/>
              </w:rPr>
              <w:t>expresses probability as the number of ways an event can happen out of the</w:t>
            </w:r>
            <w:r w:rsidR="003D7372">
              <w:rPr>
                <w:rFonts w:ascii="Arial Narrow" w:hAnsi="Arial Narrow"/>
                <w:sz w:val="22"/>
                <w:szCs w:val="22"/>
              </w:rPr>
              <w:t xml:space="preserve"> total number of possibilities </w:t>
            </w:r>
          </w:p>
          <w:p w14:paraId="33DB8180" w14:textId="77777777" w:rsidR="00537CBD" w:rsidRDefault="00537CBD" w:rsidP="00537CBD">
            <w:pPr>
              <w:pStyle w:val="Default"/>
              <w:numPr>
                <w:ilvl w:val="0"/>
                <w:numId w:val="14"/>
              </w:numPr>
              <w:ind w:left="351" w:hanging="283"/>
              <w:rPr>
                <w:rFonts w:ascii="Arial Narrow" w:hAnsi="Arial Narrow"/>
                <w:sz w:val="22"/>
                <w:szCs w:val="22"/>
              </w:rPr>
            </w:pPr>
            <w:r>
              <w:rPr>
                <w:rFonts w:ascii="Arial Narrow" w:hAnsi="Arial Narrow"/>
                <w:sz w:val="22"/>
                <w:szCs w:val="22"/>
              </w:rPr>
              <w:t xml:space="preserve">describes probabilities as fractions of one (the probability of an even number when rolling a dice is ½).  </w:t>
            </w:r>
          </w:p>
          <w:p w14:paraId="0703CF64" w14:textId="77777777" w:rsidR="00537CBD" w:rsidRDefault="00537CBD">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3837D22C" w14:textId="77777777" w:rsidR="00537CBD" w:rsidRDefault="00537CBD">
            <w:pPr>
              <w:pStyle w:val="Default"/>
              <w:rPr>
                <w:rFonts w:ascii="Arial Narrow" w:hAnsi="Arial Narrow"/>
                <w:b/>
                <w:bCs/>
                <w:sz w:val="22"/>
                <w:szCs w:val="22"/>
              </w:rPr>
            </w:pPr>
            <w:r>
              <w:rPr>
                <w:rFonts w:ascii="Arial Narrow" w:hAnsi="Arial Narrow"/>
                <w:b/>
                <w:bCs/>
                <w:sz w:val="22"/>
                <w:szCs w:val="22"/>
              </w:rPr>
              <w:t xml:space="preserve">Calculating probabilities </w:t>
            </w:r>
          </w:p>
          <w:p w14:paraId="5086A738" w14:textId="77777777" w:rsidR="00537CBD" w:rsidRDefault="00537CBD">
            <w:pPr>
              <w:pStyle w:val="Default"/>
              <w:rPr>
                <w:rFonts w:ascii="Arial Narrow" w:hAnsi="Arial Narrow"/>
                <w:sz w:val="22"/>
                <w:szCs w:val="22"/>
              </w:rPr>
            </w:pPr>
          </w:p>
          <w:p w14:paraId="58C9E2E3" w14:textId="77777777" w:rsidR="00537CBD" w:rsidRDefault="00537CBD">
            <w:pPr>
              <w:pStyle w:val="Default"/>
              <w:rPr>
                <w:rFonts w:ascii="Arial Narrow" w:hAnsi="Arial Narrow"/>
                <w:sz w:val="22"/>
                <w:szCs w:val="22"/>
              </w:rPr>
            </w:pPr>
            <w:r>
              <w:rPr>
                <w:rFonts w:ascii="Arial Narrow" w:hAnsi="Arial Narrow"/>
                <w:sz w:val="22"/>
                <w:szCs w:val="22"/>
              </w:rPr>
              <w:t>The student:</w:t>
            </w:r>
          </w:p>
          <w:p w14:paraId="54120C9C" w14:textId="77777777" w:rsidR="00537CBD" w:rsidRDefault="00537CBD" w:rsidP="00537CBD">
            <w:pPr>
              <w:pStyle w:val="Default"/>
              <w:numPr>
                <w:ilvl w:val="0"/>
                <w:numId w:val="15"/>
              </w:numPr>
              <w:ind w:left="374" w:hanging="284"/>
              <w:rPr>
                <w:rFonts w:ascii="Arial Narrow" w:hAnsi="Arial Narrow"/>
                <w:sz w:val="22"/>
                <w:szCs w:val="22"/>
              </w:rPr>
            </w:pPr>
            <w:r>
              <w:rPr>
                <w:rFonts w:ascii="Arial Narrow" w:hAnsi="Arial Narrow"/>
                <w:sz w:val="22"/>
                <w:szCs w:val="22"/>
              </w:rPr>
              <w:t xml:space="preserve">describes the likelihood of events </w:t>
            </w:r>
            <w:r w:rsidR="003D7372">
              <w:rPr>
                <w:rFonts w:ascii="Arial Narrow" w:hAnsi="Arial Narrow"/>
                <w:sz w:val="22"/>
                <w:szCs w:val="22"/>
              </w:rPr>
              <w:t>using a fraction or percentage</w:t>
            </w:r>
          </w:p>
          <w:p w14:paraId="537A96F6" w14:textId="77777777" w:rsidR="00537CBD" w:rsidRDefault="00537CBD" w:rsidP="00537CBD">
            <w:pPr>
              <w:pStyle w:val="Default"/>
              <w:numPr>
                <w:ilvl w:val="0"/>
                <w:numId w:val="15"/>
              </w:numPr>
              <w:ind w:left="374" w:hanging="284"/>
              <w:rPr>
                <w:rFonts w:ascii="Arial Narrow" w:hAnsi="Arial Narrow"/>
                <w:sz w:val="22"/>
                <w:szCs w:val="22"/>
              </w:rPr>
            </w:pPr>
            <w:r>
              <w:rPr>
                <w:rFonts w:ascii="Arial Narrow" w:hAnsi="Arial Narrow"/>
                <w:sz w:val="22"/>
                <w:szCs w:val="22"/>
              </w:rPr>
              <w:t xml:space="preserve">interprets the odds of an event (odds of 5:1, the odds against rolling a 6, means </w:t>
            </w:r>
            <w:r w:rsidR="003D7372">
              <w:rPr>
                <w:rFonts w:ascii="Arial Narrow" w:hAnsi="Arial Narrow"/>
                <w:sz w:val="22"/>
                <w:szCs w:val="22"/>
              </w:rPr>
              <w:t>a wager of $1 stands to win $5)</w:t>
            </w:r>
            <w:r>
              <w:rPr>
                <w:rFonts w:ascii="Arial Narrow" w:hAnsi="Arial Narrow"/>
                <w:sz w:val="22"/>
                <w:szCs w:val="22"/>
              </w:rPr>
              <w:t xml:space="preserve"> </w:t>
            </w:r>
          </w:p>
          <w:p w14:paraId="20FE307D" w14:textId="77777777" w:rsidR="00537CBD" w:rsidRDefault="00537CBD" w:rsidP="00537CBD">
            <w:pPr>
              <w:pStyle w:val="Default"/>
              <w:numPr>
                <w:ilvl w:val="0"/>
                <w:numId w:val="15"/>
              </w:numPr>
              <w:ind w:left="374" w:hanging="284"/>
              <w:rPr>
                <w:rFonts w:ascii="Arial Narrow" w:hAnsi="Arial Narrow"/>
                <w:sz w:val="22"/>
                <w:szCs w:val="22"/>
              </w:rPr>
            </w:pPr>
            <w:r>
              <w:rPr>
                <w:rFonts w:ascii="Arial Narrow" w:hAnsi="Arial Narrow"/>
                <w:sz w:val="22"/>
                <w:szCs w:val="22"/>
              </w:rPr>
              <w:t>explains how probability is not af</w:t>
            </w:r>
            <w:r w:rsidR="006B5E8F">
              <w:rPr>
                <w:rFonts w:ascii="Arial Narrow" w:hAnsi="Arial Narrow"/>
                <w:sz w:val="22"/>
                <w:szCs w:val="22"/>
              </w:rPr>
              <w:t>fected by previous results (i</w:t>
            </w:r>
            <w:r>
              <w:rPr>
                <w:rFonts w:ascii="Arial Narrow" w:hAnsi="Arial Narrow"/>
                <w:sz w:val="22"/>
                <w:szCs w:val="22"/>
              </w:rPr>
              <w:t>f a coin is tossed and heads have come up 7 times in a row, it is still equally likely that the next toss will be heads or t</w:t>
            </w:r>
            <w:r w:rsidR="003D7372">
              <w:rPr>
                <w:rFonts w:ascii="Arial Narrow" w:hAnsi="Arial Narrow"/>
                <w:sz w:val="22"/>
                <w:szCs w:val="22"/>
              </w:rPr>
              <w:t>ails)</w:t>
            </w:r>
          </w:p>
          <w:p w14:paraId="5296EC13" w14:textId="77777777" w:rsidR="00537CBD" w:rsidRDefault="00537CBD" w:rsidP="00537CBD">
            <w:pPr>
              <w:pStyle w:val="Default"/>
              <w:numPr>
                <w:ilvl w:val="0"/>
                <w:numId w:val="15"/>
              </w:numPr>
              <w:ind w:left="374" w:hanging="284"/>
              <w:rPr>
                <w:rFonts w:ascii="Arial Narrow" w:hAnsi="Arial Narrow"/>
                <w:sz w:val="22"/>
                <w:szCs w:val="22"/>
              </w:rPr>
            </w:pPr>
            <w:r>
              <w:rPr>
                <w:rFonts w:ascii="Arial Narrow" w:hAnsi="Arial Narrow"/>
                <w:sz w:val="22"/>
                <w:szCs w:val="22"/>
              </w:rPr>
              <w:t>recognises that the chance of something occurring or not occurring has a total probability of 1 (the probability of rolling a 3 is 1/6 and the probabil</w:t>
            </w:r>
            <w:r w:rsidR="003D7372">
              <w:rPr>
                <w:rFonts w:ascii="Arial Narrow" w:hAnsi="Arial Narrow"/>
                <w:sz w:val="22"/>
                <w:szCs w:val="22"/>
              </w:rPr>
              <w:t>ity of not rolling a 3 is 5/6)</w:t>
            </w:r>
          </w:p>
          <w:p w14:paraId="02EB6561" w14:textId="77777777" w:rsidR="00537CBD" w:rsidRDefault="00537CBD" w:rsidP="00537CBD">
            <w:pPr>
              <w:pStyle w:val="Default"/>
              <w:numPr>
                <w:ilvl w:val="0"/>
                <w:numId w:val="15"/>
              </w:numPr>
              <w:ind w:left="374" w:hanging="284"/>
              <w:rPr>
                <w:rFonts w:ascii="Arial Narrow" w:hAnsi="Arial Narrow"/>
                <w:sz w:val="22"/>
                <w:szCs w:val="22"/>
              </w:rPr>
            </w:pPr>
            <w:r>
              <w:rPr>
                <w:rFonts w:ascii="Arial Narrow" w:hAnsi="Arial Narrow"/>
                <w:sz w:val="22"/>
                <w:szCs w:val="22"/>
              </w:rPr>
              <w:t>determines the probability of co</w:t>
            </w:r>
            <w:r w:rsidR="003D7372">
              <w:rPr>
                <w:rFonts w:ascii="Arial Narrow" w:hAnsi="Arial Narrow"/>
                <w:sz w:val="22"/>
                <w:szCs w:val="22"/>
              </w:rPr>
              <w:t>mpound events (tossing 2 coins)</w:t>
            </w:r>
          </w:p>
          <w:p w14:paraId="1B9CF0DD" w14:textId="77777777" w:rsidR="00537CBD" w:rsidRDefault="00537CBD" w:rsidP="00537CBD">
            <w:pPr>
              <w:pStyle w:val="Default"/>
              <w:numPr>
                <w:ilvl w:val="0"/>
                <w:numId w:val="15"/>
              </w:numPr>
              <w:ind w:left="374" w:hanging="284"/>
              <w:rPr>
                <w:rFonts w:ascii="Arial Narrow" w:hAnsi="Arial Narrow"/>
                <w:sz w:val="22"/>
                <w:szCs w:val="22"/>
              </w:rPr>
            </w:pPr>
            <w:r>
              <w:rPr>
                <w:rFonts w:ascii="Arial Narrow" w:hAnsi="Arial Narrow"/>
                <w:sz w:val="22"/>
                <w:szCs w:val="22"/>
              </w:rPr>
              <w:t xml:space="preserve">compares expected and actual results of a chance event. </w:t>
            </w:r>
          </w:p>
          <w:p w14:paraId="6ED111B8" w14:textId="77777777" w:rsidR="00537CBD" w:rsidRDefault="00537CBD">
            <w:pPr>
              <w:pStyle w:val="Default"/>
              <w:rPr>
                <w:rFonts w:ascii="Arial Narrow" w:hAnsi="Arial Narrow"/>
              </w:rPr>
            </w:pPr>
          </w:p>
        </w:tc>
      </w:tr>
    </w:tbl>
    <w:p w14:paraId="2D955508" w14:textId="77777777" w:rsidR="006233FE" w:rsidRPr="00432138" w:rsidRDefault="006233FE" w:rsidP="006233FE">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5E5113C5" w14:textId="77777777" w:rsidR="00575B46" w:rsidRPr="00871D52" w:rsidRDefault="00575B46" w:rsidP="00575B46">
      <w:pPr>
        <w:rPr>
          <w:lang w:val="en-AU"/>
        </w:rPr>
      </w:pPr>
    </w:p>
    <w:p w14:paraId="67706786"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107EE" w14:textId="77777777" w:rsidR="00B92613" w:rsidRDefault="00B92613" w:rsidP="00304EA1">
      <w:pPr>
        <w:spacing w:after="0" w:line="240" w:lineRule="auto"/>
      </w:pPr>
      <w:r>
        <w:separator/>
      </w:r>
    </w:p>
  </w:endnote>
  <w:endnote w:type="continuationSeparator" w:id="0">
    <w:p w14:paraId="70F09BF2" w14:textId="77777777" w:rsidR="00B92613" w:rsidRDefault="00B926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B92613" w14:paraId="3D7A58C3" w14:textId="77777777" w:rsidTr="004754A7">
      <w:trPr>
        <w:trHeight w:val="701"/>
      </w:trPr>
      <w:tc>
        <w:tcPr>
          <w:tcW w:w="7230" w:type="dxa"/>
          <w:vAlign w:val="center"/>
        </w:tcPr>
        <w:p w14:paraId="734428E8" w14:textId="77777777" w:rsidR="00B92613" w:rsidRPr="002329F3" w:rsidRDefault="00B92613"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18E25241" w14:textId="77777777" w:rsidR="00B92613" w:rsidRPr="00B41951" w:rsidRDefault="00B9261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19ABFFD1" w14:textId="77777777" w:rsidR="00B92613" w:rsidRPr="00243F0D" w:rsidRDefault="00B9261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B92613" w14:paraId="3D77CDD4" w14:textId="77777777" w:rsidTr="000B5CC5">
      <w:trPr>
        <w:trHeight w:val="993"/>
      </w:trPr>
      <w:tc>
        <w:tcPr>
          <w:tcW w:w="8613" w:type="dxa"/>
          <w:vAlign w:val="center"/>
        </w:tcPr>
        <w:p w14:paraId="09BB0C40" w14:textId="7904C919" w:rsidR="00B92613" w:rsidRPr="004A2ED8" w:rsidRDefault="00EE3412" w:rsidP="002329F3">
          <w:pPr>
            <w:pStyle w:val="VCAAtrademarkinfo"/>
            <w:rPr>
              <w:color w:val="999999" w:themeColor="accent2"/>
            </w:rPr>
          </w:pPr>
          <w:hyperlink r:id="rId1" w:tgtFrame="_blank" w:history="1">
            <w:r w:rsidR="00C16314">
              <w:rPr>
                <w:rStyle w:val="Hyperlink"/>
                <w:color w:val="0066CC"/>
                <w:sz w:val="20"/>
                <w:szCs w:val="20"/>
              </w:rPr>
              <w:t>VCAA</w:t>
            </w:r>
          </w:hyperlink>
          <w:r w:rsidR="00C16314">
            <w:rPr>
              <w:color w:val="000000"/>
              <w:sz w:val="20"/>
              <w:szCs w:val="20"/>
            </w:rPr>
            <w:t> </w:t>
          </w:r>
          <w:r w:rsidR="00C16314">
            <w:rPr>
              <w:color w:val="999999"/>
              <w:sz w:val="20"/>
              <w:szCs w:val="20"/>
            </w:rPr>
            <w:t>© 2018</w:t>
          </w:r>
        </w:p>
      </w:tc>
      <w:tc>
        <w:tcPr>
          <w:tcW w:w="3261" w:type="dxa"/>
          <w:shd w:val="clear" w:color="auto" w:fill="auto"/>
          <w:vAlign w:val="center"/>
        </w:tcPr>
        <w:p w14:paraId="67D1BAA8" w14:textId="5D975DE7" w:rsidR="00B92613" w:rsidRPr="00B41951" w:rsidRDefault="00B92613" w:rsidP="00D468D5">
          <w:pPr>
            <w:pStyle w:val="VCAAbody"/>
            <w:jc w:val="center"/>
            <w:rPr>
              <w:sz w:val="18"/>
              <w:szCs w:val="18"/>
            </w:rPr>
          </w:pPr>
        </w:p>
      </w:tc>
      <w:tc>
        <w:tcPr>
          <w:tcW w:w="11046" w:type="dxa"/>
          <w:vAlign w:val="center"/>
        </w:tcPr>
        <w:p w14:paraId="73F29CD7" w14:textId="12FA548B" w:rsidR="00B92613" w:rsidRDefault="00B92613" w:rsidP="00E548A3">
          <w:pPr>
            <w:pStyle w:val="Footer"/>
            <w:tabs>
              <w:tab w:val="clear" w:pos="9026"/>
              <w:tab w:val="left" w:pos="8376"/>
              <w:tab w:val="right" w:pos="11340"/>
            </w:tabs>
            <w:ind w:right="5562"/>
            <w:jc w:val="right"/>
          </w:pPr>
          <w:r>
            <w:rPr>
              <w:noProof/>
              <w:lang w:val="en-AU" w:eastAsia="en-AU"/>
            </w:rPr>
            <w:t xml:space="preserve">     </w:t>
          </w:r>
        </w:p>
      </w:tc>
    </w:tr>
  </w:tbl>
  <w:p w14:paraId="3820233F" w14:textId="77777777" w:rsidR="00B92613" w:rsidRDefault="00B9261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5C4A" w14:textId="77777777" w:rsidR="00B92613" w:rsidRDefault="00B92613" w:rsidP="00304EA1">
      <w:pPr>
        <w:spacing w:after="0" w:line="240" w:lineRule="auto"/>
      </w:pPr>
      <w:r>
        <w:separator/>
      </w:r>
    </w:p>
  </w:footnote>
  <w:footnote w:type="continuationSeparator" w:id="0">
    <w:p w14:paraId="2BDA5541" w14:textId="77777777" w:rsidR="00B92613" w:rsidRDefault="00B9261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FBB3F68" w14:textId="77777777" w:rsidR="00B92613" w:rsidRPr="00D86DE4" w:rsidRDefault="00B92613" w:rsidP="00D86DE4">
        <w:pPr>
          <w:pStyle w:val="VCAAcaptionsandfootnotes"/>
          <w:rPr>
            <w:color w:val="999999" w:themeColor="accent2"/>
          </w:rPr>
        </w:pPr>
        <w:r>
          <w:rPr>
            <w:b/>
            <w:color w:val="999999" w:themeColor="accent2"/>
            <w:lang w:val="en-AU"/>
          </w:rPr>
          <w:t>Numeracy Learning Progression – Understanding chance – Level 1 to Level 8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6B58" w14:textId="4D576410" w:rsidR="00B92613" w:rsidRPr="009370BC" w:rsidRDefault="00B92613" w:rsidP="006233FE">
    <w:pPr>
      <w:pStyle w:val="VCAADocumenttitle"/>
      <w:spacing w:before="0" w:after="0"/>
      <w:ind w:left="2880" w:firstLine="720"/>
    </w:pPr>
    <w:r>
      <w:drawing>
        <wp:anchor distT="0" distB="0" distL="114300" distR="114300" simplePos="0" relativeHeight="251658240" behindDoc="0" locked="0" layoutInCell="1" allowOverlap="1" wp14:anchorId="644169B2" wp14:editId="3C80C594">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33289888" wp14:editId="3770641C">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04724C">
          <w:rPr>
            <w:sz w:val="28"/>
            <w:szCs w:val="28"/>
          </w:rPr>
          <w:t>Numeracy Learning Progression – Understanding chance – Level 1 to Level 8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B4752"/>
    <w:multiLevelType w:val="hybridMultilevel"/>
    <w:tmpl w:val="D47AC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97471"/>
    <w:multiLevelType w:val="hybridMultilevel"/>
    <w:tmpl w:val="A564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3FF32033"/>
    <w:multiLevelType w:val="hybridMultilevel"/>
    <w:tmpl w:val="F230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E355F5"/>
    <w:multiLevelType w:val="hybridMultilevel"/>
    <w:tmpl w:val="9AD66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D0E32"/>
    <w:multiLevelType w:val="hybridMultilevel"/>
    <w:tmpl w:val="7760FE7E"/>
    <w:lvl w:ilvl="0" w:tplc="0C090001">
      <w:start w:val="1"/>
      <w:numFmt w:val="bullet"/>
      <w:lvlText w:val=""/>
      <w:lvlJc w:val="left"/>
      <w:pPr>
        <w:ind w:left="697" w:hanging="360"/>
      </w:pPr>
      <w:rPr>
        <w:rFonts w:ascii="Symbol" w:hAnsi="Symbol" w:hint="default"/>
      </w:rPr>
    </w:lvl>
    <w:lvl w:ilvl="1" w:tplc="0C090003" w:tentative="1">
      <w:start w:val="1"/>
      <w:numFmt w:val="bullet"/>
      <w:lvlText w:val="o"/>
      <w:lvlJc w:val="left"/>
      <w:pPr>
        <w:ind w:left="1417" w:hanging="360"/>
      </w:pPr>
      <w:rPr>
        <w:rFonts w:ascii="Courier New" w:hAnsi="Courier New" w:cs="Courier New" w:hint="default"/>
      </w:rPr>
    </w:lvl>
    <w:lvl w:ilvl="2" w:tplc="0C090005" w:tentative="1">
      <w:start w:val="1"/>
      <w:numFmt w:val="bullet"/>
      <w:lvlText w:val=""/>
      <w:lvlJc w:val="left"/>
      <w:pPr>
        <w:ind w:left="2137" w:hanging="360"/>
      </w:pPr>
      <w:rPr>
        <w:rFonts w:ascii="Wingdings" w:hAnsi="Wingdings" w:hint="default"/>
      </w:rPr>
    </w:lvl>
    <w:lvl w:ilvl="3" w:tplc="0C090001" w:tentative="1">
      <w:start w:val="1"/>
      <w:numFmt w:val="bullet"/>
      <w:lvlText w:val=""/>
      <w:lvlJc w:val="left"/>
      <w:pPr>
        <w:ind w:left="2857" w:hanging="360"/>
      </w:pPr>
      <w:rPr>
        <w:rFonts w:ascii="Symbol" w:hAnsi="Symbol" w:hint="default"/>
      </w:rPr>
    </w:lvl>
    <w:lvl w:ilvl="4" w:tplc="0C090003" w:tentative="1">
      <w:start w:val="1"/>
      <w:numFmt w:val="bullet"/>
      <w:lvlText w:val="o"/>
      <w:lvlJc w:val="left"/>
      <w:pPr>
        <w:ind w:left="3577" w:hanging="360"/>
      </w:pPr>
      <w:rPr>
        <w:rFonts w:ascii="Courier New" w:hAnsi="Courier New" w:cs="Courier New" w:hint="default"/>
      </w:rPr>
    </w:lvl>
    <w:lvl w:ilvl="5" w:tplc="0C090005" w:tentative="1">
      <w:start w:val="1"/>
      <w:numFmt w:val="bullet"/>
      <w:lvlText w:val=""/>
      <w:lvlJc w:val="left"/>
      <w:pPr>
        <w:ind w:left="4297" w:hanging="360"/>
      </w:pPr>
      <w:rPr>
        <w:rFonts w:ascii="Wingdings" w:hAnsi="Wingdings" w:hint="default"/>
      </w:rPr>
    </w:lvl>
    <w:lvl w:ilvl="6" w:tplc="0C090001" w:tentative="1">
      <w:start w:val="1"/>
      <w:numFmt w:val="bullet"/>
      <w:lvlText w:val=""/>
      <w:lvlJc w:val="left"/>
      <w:pPr>
        <w:ind w:left="5017" w:hanging="360"/>
      </w:pPr>
      <w:rPr>
        <w:rFonts w:ascii="Symbol" w:hAnsi="Symbol" w:hint="default"/>
      </w:rPr>
    </w:lvl>
    <w:lvl w:ilvl="7" w:tplc="0C090003" w:tentative="1">
      <w:start w:val="1"/>
      <w:numFmt w:val="bullet"/>
      <w:lvlText w:val="o"/>
      <w:lvlJc w:val="left"/>
      <w:pPr>
        <w:ind w:left="5737" w:hanging="360"/>
      </w:pPr>
      <w:rPr>
        <w:rFonts w:ascii="Courier New" w:hAnsi="Courier New" w:cs="Courier New" w:hint="default"/>
      </w:rPr>
    </w:lvl>
    <w:lvl w:ilvl="8" w:tplc="0C090005" w:tentative="1">
      <w:start w:val="1"/>
      <w:numFmt w:val="bullet"/>
      <w:lvlText w:val=""/>
      <w:lvlJc w:val="left"/>
      <w:pPr>
        <w:ind w:left="6457" w:hanging="360"/>
      </w:pPr>
      <w:rPr>
        <w:rFonts w:ascii="Wingdings" w:hAnsi="Wingdings" w:hint="default"/>
      </w:rPr>
    </w:lvl>
  </w:abstractNum>
  <w:abstractNum w:abstractNumId="15">
    <w:nsid w:val="733E5C31"/>
    <w:multiLevelType w:val="hybridMultilevel"/>
    <w:tmpl w:val="FED4A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10"/>
  </w:num>
  <w:num w:numId="6">
    <w:abstractNumId w:val="0"/>
  </w:num>
  <w:num w:numId="7">
    <w:abstractNumId w:val="11"/>
  </w:num>
  <w:num w:numId="8">
    <w:abstractNumId w:val="13"/>
  </w:num>
  <w:num w:numId="9">
    <w:abstractNumId w:val="3"/>
  </w:num>
  <w:num w:numId="10">
    <w:abstractNumId w:val="8"/>
  </w:num>
  <w:num w:numId="11">
    <w:abstractNumId w:val="6"/>
  </w:num>
  <w:num w:numId="12">
    <w:abstractNumId w:val="14"/>
  </w:num>
  <w:num w:numId="13">
    <w:abstractNumId w:val="4"/>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4724C"/>
    <w:rsid w:val="000577DC"/>
    <w:rsid w:val="0005780E"/>
    <w:rsid w:val="000A71F7"/>
    <w:rsid w:val="000B5B53"/>
    <w:rsid w:val="000B5CC5"/>
    <w:rsid w:val="000E4A92"/>
    <w:rsid w:val="000F09E4"/>
    <w:rsid w:val="000F16FD"/>
    <w:rsid w:val="00111C27"/>
    <w:rsid w:val="001209DB"/>
    <w:rsid w:val="0015344B"/>
    <w:rsid w:val="00156019"/>
    <w:rsid w:val="00164D7A"/>
    <w:rsid w:val="00172E14"/>
    <w:rsid w:val="00180973"/>
    <w:rsid w:val="001A772A"/>
    <w:rsid w:val="001B64E5"/>
    <w:rsid w:val="001C73C5"/>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72723"/>
    <w:rsid w:val="00391986"/>
    <w:rsid w:val="003A3C3D"/>
    <w:rsid w:val="003C44C2"/>
    <w:rsid w:val="003D7372"/>
    <w:rsid w:val="003E412B"/>
    <w:rsid w:val="003F51EA"/>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37CBD"/>
    <w:rsid w:val="00566029"/>
    <w:rsid w:val="00575B46"/>
    <w:rsid w:val="005923CB"/>
    <w:rsid w:val="005942A0"/>
    <w:rsid w:val="005B391B"/>
    <w:rsid w:val="005D3D78"/>
    <w:rsid w:val="005E2EF0"/>
    <w:rsid w:val="00607D1F"/>
    <w:rsid w:val="00612D18"/>
    <w:rsid w:val="006207A6"/>
    <w:rsid w:val="006233FE"/>
    <w:rsid w:val="00635C51"/>
    <w:rsid w:val="00636604"/>
    <w:rsid w:val="00662A5F"/>
    <w:rsid w:val="00671D4D"/>
    <w:rsid w:val="00693FFD"/>
    <w:rsid w:val="006B5E8F"/>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52719"/>
    <w:rsid w:val="00860115"/>
    <w:rsid w:val="00867E82"/>
    <w:rsid w:val="00871D52"/>
    <w:rsid w:val="00874F03"/>
    <w:rsid w:val="0088783C"/>
    <w:rsid w:val="0092704D"/>
    <w:rsid w:val="00934256"/>
    <w:rsid w:val="009370BC"/>
    <w:rsid w:val="0098739B"/>
    <w:rsid w:val="009939E5"/>
    <w:rsid w:val="009F54B9"/>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92613"/>
    <w:rsid w:val="00BB6558"/>
    <w:rsid w:val="00BD0724"/>
    <w:rsid w:val="00BE5521"/>
    <w:rsid w:val="00BF0AB2"/>
    <w:rsid w:val="00C16314"/>
    <w:rsid w:val="00C53263"/>
    <w:rsid w:val="00C5379C"/>
    <w:rsid w:val="00C61C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E5867"/>
    <w:rsid w:val="00DF7663"/>
    <w:rsid w:val="00E10BA6"/>
    <w:rsid w:val="00E23F1D"/>
    <w:rsid w:val="00E26732"/>
    <w:rsid w:val="00E36361"/>
    <w:rsid w:val="00E5482F"/>
    <w:rsid w:val="00E548A3"/>
    <w:rsid w:val="00E55AE9"/>
    <w:rsid w:val="00EA51FB"/>
    <w:rsid w:val="00EB044D"/>
    <w:rsid w:val="00EC7E6E"/>
    <w:rsid w:val="00EE3412"/>
    <w:rsid w:val="00EF6D8E"/>
    <w:rsid w:val="00F000A0"/>
    <w:rsid w:val="00F02482"/>
    <w:rsid w:val="00F0309B"/>
    <w:rsid w:val="00F40D53"/>
    <w:rsid w:val="00F4525C"/>
    <w:rsid w:val="00F94CC9"/>
    <w:rsid w:val="00F97203"/>
    <w:rsid w:val="00F97F45"/>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5F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table" w:customStyle="1" w:styleId="TableGrid1">
    <w:name w:val="Table Grid1"/>
    <w:basedOn w:val="TableNormal"/>
    <w:next w:val="TableGrid"/>
    <w:uiPriority w:val="59"/>
    <w:rsid w:val="00537CBD"/>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table" w:customStyle="1" w:styleId="TableGrid1">
    <w:name w:val="Table Grid1"/>
    <w:basedOn w:val="TableNormal"/>
    <w:next w:val="TableGrid"/>
    <w:uiPriority w:val="59"/>
    <w:rsid w:val="00537CBD"/>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89178">
      <w:bodyDiv w:val="1"/>
      <w:marLeft w:val="0"/>
      <w:marRight w:val="0"/>
      <w:marTop w:val="0"/>
      <w:marBottom w:val="0"/>
      <w:divBdr>
        <w:top w:val="none" w:sz="0" w:space="0" w:color="auto"/>
        <w:left w:val="none" w:sz="0" w:space="0" w:color="auto"/>
        <w:bottom w:val="none" w:sz="0" w:space="0" w:color="auto"/>
        <w:right w:val="none" w:sz="0" w:space="0" w:color="auto"/>
      </w:divBdr>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9F34C92"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AE2AC5"/>
    <w:rsid w:val="00B86BAD"/>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F34C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BD2C-A3B4-40C6-9125-A3F195F16303}"/>
</file>

<file path=customXml/itemProps2.xml><?xml version="1.0" encoding="utf-8"?>
<ds:datastoreItem xmlns:ds="http://schemas.openxmlformats.org/officeDocument/2006/customXml" ds:itemID="{D8D6AF2D-6794-4C8C-94DC-7A6446BCB319}"/>
</file>

<file path=customXml/itemProps3.xml><?xml version="1.0" encoding="utf-8"?>
<ds:datastoreItem xmlns:ds="http://schemas.openxmlformats.org/officeDocument/2006/customXml" ds:itemID="{CE7AC277-08D5-41F2-808A-4F2605889FD1}"/>
</file>

<file path=customXml/itemProps4.xml><?xml version="1.0" encoding="utf-8"?>
<ds:datastoreItem xmlns:ds="http://schemas.openxmlformats.org/officeDocument/2006/customXml" ds:itemID="{0902DB03-E841-46C3-8B82-134F3D3F8150}"/>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Numeracy Learning Progression – Understanding chance – Level 1 to Level 8 span</vt:lpstr>
    </vt:vector>
  </TitlesOfParts>
  <Company>Victorian Curriculum and Assessment Authority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Understanding chance – Level 1 to Level 8 span</dc:title>
  <dc:creator>vcaa.f10.curriculum@edumail.vic.gov.au</dc:creator>
  <cp:keywords>Mathematics; Numeracy; Learning Progression</cp:keywords>
  <cp:lastModifiedBy>Driver, Tim P</cp:lastModifiedBy>
  <cp:revision>2</cp:revision>
  <cp:lastPrinted>2018-03-15T00:43:00Z</cp:lastPrinted>
  <dcterms:created xsi:type="dcterms:W3CDTF">2018-05-09T00:20:00Z</dcterms:created>
  <dcterms:modified xsi:type="dcterms:W3CDTF">2018-05-09T00:20:00Z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