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noProof/>
          <w:color w:val="FFFFFF" w:themeColor="background1"/>
          <w:sz w:val="60"/>
          <w:szCs w:val="48"/>
          <w:lang w:val="en-AU" w:eastAsia="en-AU"/>
        </w:rPr>
        <w:id w:val="6106251"/>
        <w:lock w:val="contentLocked"/>
        <w:placeholder>
          <w:docPart w:val="01C5E86AB70341C7A67BCD60B5A09F0C"/>
        </w:placeholder>
        <w:group/>
      </w:sdtPr>
      <w:sdtContent>
        <w:p w14:paraId="109AB468" w14:textId="6C94436D" w:rsidR="00061A9D" w:rsidRPr="00061A9D" w:rsidRDefault="00E54877" w:rsidP="00061A9D">
          <w:pPr>
            <w:keepNext/>
            <w:keepLines/>
            <w:suppressAutoHyphens/>
            <w:spacing w:before="1000" w:after="0" w:line="680" w:lineRule="exact"/>
            <w:ind w:right="2693"/>
            <w:rPr>
              <w:rFonts w:ascii="Arial" w:hAnsi="Arial" w:cs="Arial"/>
              <w:b/>
              <w:noProof/>
              <w:color w:val="FFFFFF" w:themeColor="background1"/>
              <w:sz w:val="60"/>
              <w:szCs w:val="48"/>
              <w:lang w:val="en-AU" w:eastAsia="en-AU"/>
            </w:rPr>
          </w:pPr>
          <w:sdt>
            <w:sdtPr>
              <w:rPr>
                <w:rFonts w:ascii="Arial" w:hAnsi="Arial" w:cs="Arial"/>
                <w:b/>
                <w:noProof/>
                <w:color w:val="FFFFFF" w:themeColor="background1"/>
                <w:sz w:val="60"/>
                <w:szCs w:val="48"/>
                <w:lang w:val="en-AU" w:eastAsia="en-AU"/>
              </w:rPr>
              <w:alias w:val="Title"/>
              <w:tag w:val=""/>
              <w:id w:val="778759875"/>
              <w:placeholder>
                <w:docPart w:val="D0CC4ECB1AAD4A00841391FBE8CF88FB"/>
              </w:placeholder>
              <w:dataBinding w:prefixMappings="xmlns:ns0='http://purl.org/dc/elements/1.1/' xmlns:ns1='http://schemas.openxmlformats.org/package/2006/metadata/core-properties' " w:xpath="/ns1:coreProperties[1]/ns0:title[1]" w:storeItemID="{6C3C8BC8-F283-45AE-878A-BAB7291924A1}"/>
              <w:text/>
            </w:sdtPr>
            <w:sdtContent>
              <w:r w:rsidR="00061A9D">
                <w:rPr>
                  <w:rFonts w:ascii="Arial" w:hAnsi="Arial" w:cs="Arial"/>
                  <w:b/>
                  <w:noProof/>
                  <w:color w:val="FFFFFF" w:themeColor="background1"/>
                  <w:sz w:val="60"/>
                  <w:szCs w:val="48"/>
                  <w:lang w:val="en-AU" w:eastAsia="en-AU"/>
                </w:rPr>
                <w:t>A whole-school approach to implementation of the capabilities – a self-assessment tool</w:t>
              </w:r>
            </w:sdtContent>
          </w:sdt>
        </w:p>
      </w:sdtContent>
    </w:sdt>
    <w:p w14:paraId="1A07B68D" w14:textId="06D2820C" w:rsidR="00061A9D" w:rsidRPr="00061A9D" w:rsidRDefault="00061A9D" w:rsidP="00061A9D">
      <w:pPr>
        <w:spacing w:before="280" w:after="0" w:line="560" w:lineRule="exact"/>
        <w:ind w:right="3543"/>
        <w:rPr>
          <w:rFonts w:ascii="Arial" w:hAnsi="Arial" w:cs="Arial"/>
          <w:noProof/>
          <w:color w:val="FFFFFF" w:themeColor="background1"/>
          <w:sz w:val="48"/>
          <w:szCs w:val="48"/>
          <w:lang w:val="en-AU" w:eastAsia="en-AU"/>
        </w:rPr>
      </w:pPr>
      <w:r w:rsidRPr="00061A9D">
        <w:rPr>
          <w:rFonts w:ascii="Arial" w:hAnsi="Arial" w:cs="Arial"/>
          <w:noProof/>
          <w:color w:val="FFFFFF" w:themeColor="background1"/>
          <w:sz w:val="48"/>
          <w:szCs w:val="48"/>
          <w:lang w:val="en-AU" w:eastAsia="en-AU"/>
        </w:rPr>
        <w:drawing>
          <wp:anchor distT="0" distB="0" distL="114300" distR="114300" simplePos="0" relativeHeight="251664384" behindDoc="1" locked="1" layoutInCell="0" allowOverlap="0" wp14:anchorId="5FC0B04A" wp14:editId="36DA985E">
            <wp:simplePos x="0" y="0"/>
            <wp:positionH relativeFrom="page">
              <wp:posOffset>13335</wp:posOffset>
            </wp:positionH>
            <wp:positionV relativeFrom="page">
              <wp:posOffset>9525</wp:posOffset>
            </wp:positionV>
            <wp:extent cx="7552055" cy="1066609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5F5F44">
        <w:rPr>
          <w:rFonts w:ascii="Arial" w:hAnsi="Arial" w:cs="Arial"/>
          <w:noProof/>
          <w:color w:val="FFFFFF" w:themeColor="background1"/>
          <w:sz w:val="48"/>
          <w:szCs w:val="48"/>
          <w:lang w:val="en-AU" w:eastAsia="en-AU"/>
        </w:rPr>
        <w:t>Victorian Curriculum F–10</w:t>
      </w:r>
    </w:p>
    <w:p w14:paraId="34F2FE9D" w14:textId="77777777" w:rsidR="00061A9D" w:rsidRPr="00061A9D" w:rsidRDefault="00061A9D" w:rsidP="00061A9D">
      <w:pPr>
        <w:jc w:val="center"/>
        <w:rPr>
          <w:lang w:val="en-AU"/>
        </w:rPr>
        <w:sectPr w:rsidR="00061A9D" w:rsidRPr="00061A9D" w:rsidSect="001C4D44">
          <w:headerReference w:type="default" r:id="rId12"/>
          <w:footerReference w:type="default" r:id="rId13"/>
          <w:headerReference w:type="first" r:id="rId14"/>
          <w:footerReference w:type="first" r:id="rId15"/>
          <w:pgSz w:w="11907" w:h="16840" w:code="9"/>
          <w:pgMar w:top="0" w:right="2126" w:bottom="567" w:left="567" w:header="794" w:footer="686" w:gutter="0"/>
          <w:cols w:space="708"/>
          <w:titlePg/>
          <w:docGrid w:linePitch="360"/>
        </w:sectPr>
      </w:pPr>
    </w:p>
    <w:p w14:paraId="5FD3E232" w14:textId="77777777" w:rsidR="00061A9D" w:rsidRPr="00203FB9" w:rsidRDefault="00061A9D" w:rsidP="00061A9D">
      <w:pPr>
        <w:pStyle w:val="VCAAHeading1"/>
        <w:rPr>
          <w:rFonts w:ascii="Calibri" w:eastAsia="Calibri" w:hAnsi="Calibri"/>
          <w:lang w:val="en-AU"/>
        </w:rPr>
      </w:pPr>
      <w:r w:rsidRPr="00203FB9">
        <w:rPr>
          <w:lang w:val="en-AU"/>
        </w:rPr>
        <w:lastRenderedPageBreak/>
        <w:t>Introduction</w:t>
      </w:r>
      <w:r w:rsidRPr="00203FB9">
        <w:rPr>
          <w:rFonts w:ascii="Calibri" w:eastAsia="Calibri" w:hAnsi="Calibri"/>
          <w:lang w:val="en-AU"/>
        </w:rPr>
        <w:t xml:space="preserve"> </w:t>
      </w:r>
    </w:p>
    <w:p w14:paraId="5E998D6D" w14:textId="649DA29E" w:rsidR="00061A9D" w:rsidRPr="00203FB9" w:rsidRDefault="00061A9D" w:rsidP="00061A9D">
      <w:pPr>
        <w:pStyle w:val="VCAAbody"/>
        <w:rPr>
          <w:lang w:val="en-AU"/>
        </w:rPr>
      </w:pPr>
      <w:r w:rsidRPr="00203FB9">
        <w:rPr>
          <w:lang w:val="en-AU"/>
        </w:rPr>
        <w:t xml:space="preserve">This resource is a </w:t>
      </w:r>
      <w:r>
        <w:rPr>
          <w:lang w:val="en-AU"/>
        </w:rPr>
        <w:t>self-assessment</w:t>
      </w:r>
      <w:r w:rsidRPr="00203FB9">
        <w:rPr>
          <w:lang w:val="en-AU"/>
        </w:rPr>
        <w:t xml:space="preserve"> tool supporting whole-school implementation </w:t>
      </w:r>
      <w:r>
        <w:rPr>
          <w:lang w:val="en-AU"/>
        </w:rPr>
        <w:t>o</w:t>
      </w:r>
      <w:r w:rsidRPr="00203FB9">
        <w:rPr>
          <w:lang w:val="en-AU"/>
        </w:rPr>
        <w:t xml:space="preserve">f the Victorian Curriculum F–10 capabilities in three interrelated areas: curriculum planning, explicit teaching and assessment, and transfer of learning. It complements other </w:t>
      </w:r>
      <w:r w:rsidR="00324423">
        <w:rPr>
          <w:lang w:val="en-AU"/>
        </w:rPr>
        <w:t>Victorian Curriculum and Assessment Authority (</w:t>
      </w:r>
      <w:r w:rsidRPr="00203FB9">
        <w:rPr>
          <w:lang w:val="en-AU"/>
        </w:rPr>
        <w:t>VCAA</w:t>
      </w:r>
      <w:r w:rsidR="00324423">
        <w:rPr>
          <w:lang w:val="en-AU"/>
        </w:rPr>
        <w:t>)</w:t>
      </w:r>
      <w:r w:rsidRPr="00203FB9">
        <w:rPr>
          <w:lang w:val="en-AU"/>
        </w:rPr>
        <w:t xml:space="preserve"> resources supporting a whole-school approach to </w:t>
      </w:r>
      <w:r>
        <w:rPr>
          <w:lang w:val="en-AU"/>
        </w:rPr>
        <w:t>c</w:t>
      </w:r>
      <w:r w:rsidRPr="00203FB9">
        <w:rPr>
          <w:lang w:val="en-AU"/>
        </w:rPr>
        <w:t>apabilities implementation</w:t>
      </w:r>
      <w:r>
        <w:rPr>
          <w:lang w:val="en-AU"/>
        </w:rPr>
        <w:t>; these resources</w:t>
      </w:r>
      <w:r w:rsidRPr="00203FB9">
        <w:rPr>
          <w:lang w:val="en-AU"/>
        </w:rPr>
        <w:t xml:space="preserve"> can be found on the </w:t>
      </w:r>
      <w:hyperlink r:id="rId16" w:history="1">
        <w:r w:rsidRPr="00203FB9">
          <w:rPr>
            <w:color w:val="0000FF"/>
            <w:u w:val="single"/>
            <w:lang w:val="en-AU"/>
          </w:rPr>
          <w:t>Overview of the capabilities page</w:t>
        </w:r>
      </w:hyperlink>
      <w:r w:rsidRPr="00203FB9">
        <w:rPr>
          <w:lang w:val="en-AU"/>
        </w:rPr>
        <w:t xml:space="preserve"> o</w:t>
      </w:r>
      <w:r w:rsidR="00FC3D23">
        <w:rPr>
          <w:lang w:val="en-AU"/>
        </w:rPr>
        <w:t>n</w:t>
      </w:r>
      <w:r w:rsidRPr="00203FB9">
        <w:rPr>
          <w:lang w:val="en-AU"/>
        </w:rPr>
        <w:t xml:space="preserve"> the VCAA website.</w:t>
      </w:r>
    </w:p>
    <w:p w14:paraId="43D372B4" w14:textId="77777777" w:rsidR="00061A9D" w:rsidRPr="00203FB9" w:rsidRDefault="00061A9D" w:rsidP="00061A9D">
      <w:pPr>
        <w:pStyle w:val="VCAAbody"/>
        <w:rPr>
          <w:lang w:val="en-AU"/>
        </w:rPr>
      </w:pPr>
      <w:r w:rsidRPr="00203FB9">
        <w:rPr>
          <w:lang w:val="en-AU"/>
        </w:rPr>
        <w:t xml:space="preserve">The </w:t>
      </w:r>
      <w:r>
        <w:rPr>
          <w:lang w:val="en-AU"/>
        </w:rPr>
        <w:t>development of this tool</w:t>
      </w:r>
      <w:r w:rsidRPr="00203FB9">
        <w:rPr>
          <w:lang w:val="en-AU"/>
        </w:rPr>
        <w:t xml:space="preserve"> </w:t>
      </w:r>
      <w:r>
        <w:rPr>
          <w:lang w:val="en-AU"/>
        </w:rPr>
        <w:t>has been</w:t>
      </w:r>
      <w:r w:rsidRPr="00203FB9">
        <w:rPr>
          <w:lang w:val="en-AU"/>
        </w:rPr>
        <w:t xml:space="preserve"> informed by workshops with a wide range of stakeholders and </w:t>
      </w:r>
      <w:r>
        <w:rPr>
          <w:lang w:val="en-AU"/>
        </w:rPr>
        <w:t>has taken</w:t>
      </w:r>
      <w:r w:rsidRPr="00203FB9">
        <w:rPr>
          <w:lang w:val="en-AU"/>
        </w:rPr>
        <w:t xml:space="preserve"> into account typical barriers and enablers for implementing the </w:t>
      </w:r>
      <w:r>
        <w:rPr>
          <w:lang w:val="en-AU"/>
        </w:rPr>
        <w:t>c</w:t>
      </w:r>
      <w:r w:rsidRPr="00203FB9">
        <w:rPr>
          <w:lang w:val="en-AU"/>
        </w:rPr>
        <w:t xml:space="preserve">apabilities, including those associated with building understanding of the </w:t>
      </w:r>
      <w:r>
        <w:rPr>
          <w:lang w:val="en-AU"/>
        </w:rPr>
        <w:t>c</w:t>
      </w:r>
      <w:r w:rsidRPr="00203FB9">
        <w:rPr>
          <w:lang w:val="en-AU"/>
        </w:rPr>
        <w:t xml:space="preserve">apabilities, fostering learning engagement, creating a culture across the school community that values the </w:t>
      </w:r>
      <w:r>
        <w:rPr>
          <w:lang w:val="en-AU"/>
        </w:rPr>
        <w:t>c</w:t>
      </w:r>
      <w:r w:rsidRPr="00203FB9">
        <w:rPr>
          <w:lang w:val="en-AU"/>
        </w:rPr>
        <w:t>apabilities</w:t>
      </w:r>
      <w:r>
        <w:rPr>
          <w:lang w:val="en-AU"/>
        </w:rPr>
        <w:t>,</w:t>
      </w:r>
      <w:r w:rsidRPr="00203FB9">
        <w:rPr>
          <w:lang w:val="en-AU"/>
        </w:rPr>
        <w:t xml:space="preserve"> and coordinating delivery</w:t>
      </w:r>
      <w:r>
        <w:rPr>
          <w:lang w:val="en-AU"/>
        </w:rPr>
        <w:t xml:space="preserve"> of the capabilities</w:t>
      </w:r>
      <w:r w:rsidRPr="00203FB9">
        <w:rPr>
          <w:lang w:val="en-AU"/>
        </w:rPr>
        <w:t xml:space="preserve">. </w:t>
      </w:r>
      <w:r>
        <w:rPr>
          <w:lang w:val="en-AU"/>
        </w:rPr>
        <w:t>Development of the tool was</w:t>
      </w:r>
      <w:r w:rsidRPr="00203FB9">
        <w:rPr>
          <w:lang w:val="en-AU"/>
        </w:rPr>
        <w:t xml:space="preserve"> also guided by the following principles:</w:t>
      </w:r>
    </w:p>
    <w:p w14:paraId="5F693D52" w14:textId="74B87E45" w:rsidR="00E042BA" w:rsidRDefault="00061A9D" w:rsidP="00061A9D">
      <w:pPr>
        <w:pStyle w:val="VCAAbullet"/>
        <w:rPr>
          <w:rFonts w:eastAsia="Calibri"/>
        </w:rPr>
      </w:pPr>
      <w:r>
        <w:rPr>
          <w:rFonts w:eastAsia="Calibri"/>
        </w:rPr>
        <w:t>T</w:t>
      </w:r>
      <w:r w:rsidRPr="00203FB9">
        <w:rPr>
          <w:rFonts w:eastAsia="Calibri"/>
        </w:rPr>
        <w:t>he</w:t>
      </w:r>
      <w:r w:rsidR="00E042BA">
        <w:rPr>
          <w:rFonts w:eastAsia="Calibri"/>
        </w:rPr>
        <w:t xml:space="preserve"> capabilities in the</w:t>
      </w:r>
      <w:r w:rsidRPr="00203FB9">
        <w:rPr>
          <w:rFonts w:eastAsia="Calibri"/>
        </w:rPr>
        <w:t xml:space="preserve"> Victorian</w:t>
      </w:r>
      <w:r>
        <w:rPr>
          <w:rFonts w:eastAsia="Calibri"/>
        </w:rPr>
        <w:t xml:space="preserve"> </w:t>
      </w:r>
      <w:r w:rsidRPr="00203FB9">
        <w:rPr>
          <w:rFonts w:eastAsia="Calibri"/>
        </w:rPr>
        <w:t>Curriculum</w:t>
      </w:r>
      <w:r>
        <w:rPr>
          <w:rFonts w:eastAsia="Calibri"/>
        </w:rPr>
        <w:t xml:space="preserve"> F–10</w:t>
      </w:r>
      <w:r w:rsidRPr="00203FB9">
        <w:rPr>
          <w:rFonts w:eastAsia="Calibri"/>
        </w:rPr>
        <w:t xml:space="preserve"> </w:t>
      </w:r>
      <w:r w:rsidR="00E042BA">
        <w:rPr>
          <w:rFonts w:eastAsia="Calibri"/>
        </w:rPr>
        <w:t>describe discrete</w:t>
      </w:r>
      <w:r w:rsidRPr="00203FB9">
        <w:rPr>
          <w:rFonts w:eastAsia="Calibri"/>
        </w:rPr>
        <w:t xml:space="preserve"> knowledge and skills that</w:t>
      </w:r>
      <w:r w:rsidR="00E042BA">
        <w:rPr>
          <w:rFonts w:eastAsia="Calibri"/>
        </w:rPr>
        <w:t xml:space="preserve"> can and should be taught explicitly in and through the learning areas.</w:t>
      </w:r>
    </w:p>
    <w:p w14:paraId="4A2AE7D5" w14:textId="77777777" w:rsidR="00061A9D" w:rsidRPr="00203FB9" w:rsidRDefault="00061A9D" w:rsidP="00061A9D">
      <w:pPr>
        <w:pStyle w:val="VCAAbullet"/>
        <w:rPr>
          <w:rFonts w:eastAsia="Calibri"/>
        </w:rPr>
      </w:pPr>
      <w:r>
        <w:rPr>
          <w:rFonts w:eastAsia="Calibri"/>
        </w:rPr>
        <w:t>I</w:t>
      </w:r>
      <w:r w:rsidRPr="00203FB9">
        <w:rPr>
          <w:rFonts w:eastAsia="Calibri"/>
        </w:rPr>
        <w:t xml:space="preserve">ncluding explicit teaching of the </w:t>
      </w:r>
      <w:r>
        <w:rPr>
          <w:rFonts w:eastAsia="Calibri"/>
        </w:rPr>
        <w:t>c</w:t>
      </w:r>
      <w:r w:rsidRPr="00203FB9">
        <w:rPr>
          <w:rFonts w:eastAsia="Calibri"/>
        </w:rPr>
        <w:t>apabilities will raise the standard of learning across all areas of the curriculum</w:t>
      </w:r>
      <w:r>
        <w:rPr>
          <w:rFonts w:eastAsia="Calibri"/>
        </w:rPr>
        <w:t>.</w:t>
      </w:r>
    </w:p>
    <w:p w14:paraId="6B0CB190" w14:textId="77777777" w:rsidR="00061A9D" w:rsidRPr="00203FB9" w:rsidRDefault="00061A9D" w:rsidP="00061A9D">
      <w:pPr>
        <w:pStyle w:val="VCAAbullet"/>
        <w:rPr>
          <w:rFonts w:eastAsia="Calibri"/>
        </w:rPr>
      </w:pPr>
      <w:r>
        <w:rPr>
          <w:rFonts w:eastAsia="Calibri"/>
        </w:rPr>
        <w:t>S</w:t>
      </w:r>
      <w:r w:rsidRPr="00203FB9">
        <w:rPr>
          <w:rFonts w:eastAsia="Calibri"/>
        </w:rPr>
        <w:t>chools shou</w:t>
      </w:r>
      <w:r w:rsidRPr="007D1DE4">
        <w:rPr>
          <w:rFonts w:eastAsia="Calibri"/>
        </w:rPr>
        <w:t>ld as far as possible be able to implement the capabilities within ex</w:t>
      </w:r>
      <w:r w:rsidRPr="00203FB9">
        <w:rPr>
          <w:rFonts w:eastAsia="Calibri"/>
        </w:rPr>
        <w:t>isting resources</w:t>
      </w:r>
      <w:r>
        <w:rPr>
          <w:rFonts w:eastAsia="Calibri"/>
        </w:rPr>
        <w:t>.</w:t>
      </w:r>
    </w:p>
    <w:p w14:paraId="6104E3B0" w14:textId="77777777" w:rsidR="00061A9D" w:rsidRPr="00203FB9" w:rsidRDefault="00061A9D" w:rsidP="00061A9D">
      <w:pPr>
        <w:pStyle w:val="VCAAbullet"/>
        <w:rPr>
          <w:rFonts w:eastAsia="Calibri"/>
        </w:rPr>
      </w:pPr>
      <w:r>
        <w:rPr>
          <w:rFonts w:eastAsia="Calibri"/>
        </w:rPr>
        <w:t>S</w:t>
      </w:r>
      <w:r w:rsidRPr="00203FB9">
        <w:rPr>
          <w:rFonts w:eastAsia="Calibri"/>
        </w:rPr>
        <w:t xml:space="preserve">tudents will demonstrate their application of the </w:t>
      </w:r>
      <w:r>
        <w:rPr>
          <w:rFonts w:eastAsia="Calibri"/>
        </w:rPr>
        <w:t>c</w:t>
      </w:r>
      <w:r w:rsidRPr="00203FB9">
        <w:rPr>
          <w:rFonts w:eastAsia="Calibri"/>
        </w:rPr>
        <w:t>apabilities differently depending on the learning area content</w:t>
      </w:r>
      <w:r>
        <w:rPr>
          <w:rFonts w:eastAsia="Calibri"/>
        </w:rPr>
        <w:t>.</w:t>
      </w:r>
    </w:p>
    <w:p w14:paraId="139FB2E1" w14:textId="717F1A22" w:rsidR="00061A9D" w:rsidRPr="00203FB9" w:rsidRDefault="00061A9D" w:rsidP="00061A9D">
      <w:pPr>
        <w:pStyle w:val="VCAAbullet"/>
        <w:rPr>
          <w:rFonts w:eastAsia="Calibri"/>
        </w:rPr>
      </w:pPr>
      <w:r>
        <w:rPr>
          <w:rFonts w:eastAsia="Calibri"/>
        </w:rPr>
        <w:t>B</w:t>
      </w:r>
      <w:r w:rsidRPr="00203FB9">
        <w:rPr>
          <w:rFonts w:eastAsia="Calibri"/>
        </w:rPr>
        <w:t xml:space="preserve">y teaching the Victorian Curriculum </w:t>
      </w:r>
      <w:r>
        <w:rPr>
          <w:rFonts w:eastAsia="Calibri"/>
        </w:rPr>
        <w:t>l</w:t>
      </w:r>
      <w:r w:rsidRPr="00203FB9">
        <w:rPr>
          <w:rFonts w:eastAsia="Calibri"/>
        </w:rPr>
        <w:t xml:space="preserve">earning </w:t>
      </w:r>
      <w:r>
        <w:rPr>
          <w:rFonts w:eastAsia="Calibri"/>
        </w:rPr>
        <w:t>a</w:t>
      </w:r>
      <w:r w:rsidRPr="00203FB9">
        <w:rPr>
          <w:rFonts w:eastAsia="Calibri"/>
        </w:rPr>
        <w:t xml:space="preserve">reas together with the discrete knowledge and skills </w:t>
      </w:r>
      <w:r>
        <w:rPr>
          <w:rFonts w:eastAsia="Calibri"/>
        </w:rPr>
        <w:t>of</w:t>
      </w:r>
      <w:r w:rsidRPr="00203FB9">
        <w:rPr>
          <w:rFonts w:eastAsia="Calibri"/>
        </w:rPr>
        <w:t xml:space="preserve"> the </w:t>
      </w:r>
      <w:r>
        <w:rPr>
          <w:rFonts w:eastAsia="Calibri"/>
        </w:rPr>
        <w:t>c</w:t>
      </w:r>
      <w:r w:rsidRPr="00203FB9">
        <w:rPr>
          <w:rFonts w:eastAsia="Calibri"/>
        </w:rPr>
        <w:t xml:space="preserve">apabilities, </w:t>
      </w:r>
      <w:r>
        <w:rPr>
          <w:rFonts w:eastAsia="Calibri"/>
        </w:rPr>
        <w:t>teachers</w:t>
      </w:r>
      <w:r w:rsidR="00FC3D23">
        <w:rPr>
          <w:rFonts w:eastAsia="Calibri"/>
        </w:rPr>
        <w:t xml:space="preserve"> will</w:t>
      </w:r>
      <w:r>
        <w:rPr>
          <w:rFonts w:eastAsia="Calibri"/>
        </w:rPr>
        <w:t xml:space="preserve"> help </w:t>
      </w:r>
      <w:r w:rsidRPr="00203FB9">
        <w:rPr>
          <w:rFonts w:eastAsia="Calibri"/>
        </w:rPr>
        <w:t>students become</w:t>
      </w:r>
      <w:r>
        <w:rPr>
          <w:rFonts w:eastAsia="Calibri"/>
        </w:rPr>
        <w:t xml:space="preserve"> aware of and</w:t>
      </w:r>
      <w:r w:rsidRPr="00203FB9">
        <w:rPr>
          <w:rFonts w:eastAsia="Calibri"/>
        </w:rPr>
        <w:t xml:space="preserve"> proficient in the</w:t>
      </w:r>
      <w:r>
        <w:rPr>
          <w:rFonts w:eastAsia="Calibri"/>
        </w:rPr>
        <w:t xml:space="preserve"> kind of</w:t>
      </w:r>
      <w:r w:rsidRPr="00203FB9">
        <w:rPr>
          <w:rFonts w:eastAsia="Calibri"/>
        </w:rPr>
        <w:t xml:space="preserve"> higher level thinking skills </w:t>
      </w:r>
      <w:r>
        <w:rPr>
          <w:rFonts w:eastAsia="Calibri"/>
        </w:rPr>
        <w:t xml:space="preserve">that are </w:t>
      </w:r>
      <w:r w:rsidRPr="00203FB9">
        <w:rPr>
          <w:rFonts w:eastAsia="Calibri"/>
        </w:rPr>
        <w:t>expected of modern workforce</w:t>
      </w:r>
      <w:r>
        <w:rPr>
          <w:rFonts w:eastAsia="Calibri"/>
        </w:rPr>
        <w:t>s</w:t>
      </w:r>
      <w:r w:rsidRPr="00203FB9">
        <w:rPr>
          <w:rFonts w:eastAsia="Calibri"/>
        </w:rPr>
        <w:t xml:space="preserve"> and necessary for lifelong learning.</w:t>
      </w:r>
    </w:p>
    <w:p w14:paraId="709E1057" w14:textId="77777777" w:rsidR="00061A9D" w:rsidRPr="00203FB9" w:rsidRDefault="00061A9D" w:rsidP="00061A9D">
      <w:pPr>
        <w:pStyle w:val="VCAAHeading2"/>
        <w:rPr>
          <w:lang w:val="en-AU"/>
        </w:rPr>
      </w:pPr>
      <w:r w:rsidRPr="00203FB9">
        <w:rPr>
          <w:lang w:val="en-AU"/>
        </w:rPr>
        <w:t>Using this tool</w:t>
      </w:r>
    </w:p>
    <w:p w14:paraId="7AE5D90E" w14:textId="43720C38" w:rsidR="00061A9D" w:rsidRDefault="00FC3D23" w:rsidP="00061A9D">
      <w:pPr>
        <w:pStyle w:val="VCAAbody"/>
        <w:rPr>
          <w:lang w:val="en-AU"/>
        </w:rPr>
      </w:pPr>
      <w:r w:rsidRPr="00203FB9">
        <w:rPr>
          <w:lang w:val="en-AU"/>
        </w:rPr>
        <w:t>Th</w:t>
      </w:r>
      <w:r>
        <w:rPr>
          <w:lang w:val="en-AU"/>
        </w:rPr>
        <w:t>e</w:t>
      </w:r>
      <w:r w:rsidRPr="00203FB9">
        <w:rPr>
          <w:lang w:val="en-AU"/>
        </w:rPr>
        <w:t xml:space="preserve"> </w:t>
      </w:r>
      <w:r w:rsidR="00061A9D">
        <w:rPr>
          <w:lang w:val="en-AU"/>
        </w:rPr>
        <w:t>self-assessment</w:t>
      </w:r>
      <w:r w:rsidR="00061A9D" w:rsidRPr="00203FB9">
        <w:rPr>
          <w:lang w:val="en-AU"/>
        </w:rPr>
        <w:t xml:space="preserve"> tool</w:t>
      </w:r>
      <w:r>
        <w:rPr>
          <w:lang w:val="en-AU"/>
        </w:rPr>
        <w:t xml:space="preserve"> (see page 5)</w:t>
      </w:r>
      <w:r w:rsidR="00061A9D" w:rsidRPr="00203FB9">
        <w:rPr>
          <w:lang w:val="en-AU"/>
        </w:rPr>
        <w:t xml:space="preserve"> is designed to support identification of the baseline status of a school in three key interrelated areas of capabilities implementation: curriculum planning, explicit teaching and assessment, and transfer of learning. </w:t>
      </w:r>
      <w:r>
        <w:rPr>
          <w:lang w:val="en-AU"/>
        </w:rPr>
        <w:t>The tool</w:t>
      </w:r>
      <w:r w:rsidR="00061A9D" w:rsidRPr="00203FB9">
        <w:rPr>
          <w:lang w:val="en-AU"/>
        </w:rPr>
        <w:t xml:space="preserve"> fosters thinking about the school’s vision for each area, how </w:t>
      </w:r>
      <w:r w:rsidR="00061A9D">
        <w:rPr>
          <w:lang w:val="en-AU"/>
        </w:rPr>
        <w:t>the school</w:t>
      </w:r>
      <w:r w:rsidR="00061A9D" w:rsidRPr="00203FB9">
        <w:rPr>
          <w:lang w:val="en-AU"/>
        </w:rPr>
        <w:t xml:space="preserve"> will get there and some of the challenges the</w:t>
      </w:r>
      <w:r w:rsidR="00061A9D">
        <w:rPr>
          <w:lang w:val="en-AU"/>
        </w:rPr>
        <w:t xml:space="preserve"> school</w:t>
      </w:r>
      <w:r w:rsidR="00061A9D" w:rsidRPr="00203FB9">
        <w:rPr>
          <w:lang w:val="en-AU"/>
        </w:rPr>
        <w:t xml:space="preserve"> might face. </w:t>
      </w:r>
    </w:p>
    <w:p w14:paraId="5EC4ED3D" w14:textId="41BC3E7E" w:rsidR="00061A9D" w:rsidRDefault="00061A9D" w:rsidP="00061A9D">
      <w:pPr>
        <w:pStyle w:val="VCAAbody"/>
      </w:pPr>
      <w:r>
        <w:t xml:space="preserve">Teachers or the school leadership team can work through the self-assessment tool, nominating the descriptions that seem most like the school’s current practice and using the prompts to reflect on this practice. They self-assess the school’s practice in the three key areas as beginning, evolving, proficient or excellent. </w:t>
      </w:r>
    </w:p>
    <w:p w14:paraId="35CC0277" w14:textId="0DE44C6F" w:rsidR="001C4D44" w:rsidRDefault="001C4D44" w:rsidP="00061A9D">
      <w:pPr>
        <w:pStyle w:val="VCAAbody"/>
      </w:pPr>
      <w:r w:rsidRPr="00203FB9">
        <w:rPr>
          <w:lang w:val="en-AU"/>
        </w:rPr>
        <w:t>Th</w:t>
      </w:r>
      <w:r>
        <w:rPr>
          <w:lang w:val="en-AU"/>
        </w:rPr>
        <w:t>e</w:t>
      </w:r>
      <w:r w:rsidRPr="00203FB9">
        <w:rPr>
          <w:lang w:val="en-AU"/>
        </w:rPr>
        <w:t xml:space="preserve"> tool can be adapted to suit different approaches to capabilities implementation, for example</w:t>
      </w:r>
      <w:r>
        <w:rPr>
          <w:lang w:val="en-AU"/>
        </w:rPr>
        <w:t>,</w:t>
      </w:r>
      <w:r w:rsidRPr="00203FB9">
        <w:rPr>
          <w:lang w:val="en-AU"/>
        </w:rPr>
        <w:t xml:space="preserve"> implementing one capability at a time at all year levels or implementing all capabilities one year level at a time. </w:t>
      </w:r>
    </w:p>
    <w:p w14:paraId="43CE2071" w14:textId="528E3D21" w:rsidR="00061A9D" w:rsidRPr="00203FB9" w:rsidRDefault="00061A9D" w:rsidP="00061A9D">
      <w:pPr>
        <w:pStyle w:val="VCAAbody"/>
        <w:rPr>
          <w:lang w:val="en-AU"/>
        </w:rPr>
      </w:pPr>
      <w:r w:rsidRPr="00C77220">
        <w:t>It is not intended</w:t>
      </w:r>
      <w:r w:rsidRPr="00992E02">
        <w:t xml:space="preserve"> that the tool offer a definitive way forward. </w:t>
      </w:r>
      <w:r w:rsidRPr="00C77220">
        <w:rPr>
          <w:lang w:val="en-AU"/>
        </w:rPr>
        <w:t>A</w:t>
      </w:r>
      <w:r w:rsidRPr="00992E02">
        <w:rPr>
          <w:lang w:val="en-AU"/>
        </w:rPr>
        <w:t xml:space="preserve"> school’s specific </w:t>
      </w:r>
      <w:r>
        <w:rPr>
          <w:lang w:val="en-AU"/>
        </w:rPr>
        <w:t>next steps after this self-assessment</w:t>
      </w:r>
      <w:r w:rsidRPr="001643A6">
        <w:rPr>
          <w:lang w:val="en-AU"/>
        </w:rPr>
        <w:t xml:space="preserve"> will be influenced by factors such as the school’s broader vision and its strategic plan, the structure and size of the scho</w:t>
      </w:r>
      <w:r w:rsidRPr="00403DB4">
        <w:rPr>
          <w:lang w:val="en-AU"/>
        </w:rPr>
        <w:t>ol and ways of working together.</w:t>
      </w:r>
      <w:r w:rsidRPr="001643A6">
        <w:rPr>
          <w:lang w:val="en-AU"/>
        </w:rPr>
        <w:t xml:space="preserve"> The tool can be revisited once</w:t>
      </w:r>
      <w:r w:rsidRPr="00403DB4">
        <w:rPr>
          <w:lang w:val="en-AU"/>
        </w:rPr>
        <w:t xml:space="preserve"> initial strategies have been implemented and</w:t>
      </w:r>
      <w:r w:rsidRPr="007121AB">
        <w:rPr>
          <w:lang w:val="en-AU"/>
        </w:rPr>
        <w:t xml:space="preserve"> when</w:t>
      </w:r>
      <w:r w:rsidRPr="001643A6">
        <w:rPr>
          <w:lang w:val="en-AU"/>
        </w:rPr>
        <w:t xml:space="preserve"> feedback is available to inform a more accurate </w:t>
      </w:r>
      <w:r w:rsidR="001C4D44">
        <w:rPr>
          <w:lang w:val="en-AU"/>
        </w:rPr>
        <w:t>picture</w:t>
      </w:r>
      <w:r w:rsidRPr="001643A6">
        <w:rPr>
          <w:lang w:val="en-AU"/>
        </w:rPr>
        <w:t>.</w:t>
      </w:r>
    </w:p>
    <w:p w14:paraId="2947BA19" w14:textId="275212D1" w:rsidR="00061A9D" w:rsidRPr="00203FB9" w:rsidRDefault="00061A9D" w:rsidP="00324423">
      <w:pPr>
        <w:pStyle w:val="VCAAHeading1"/>
        <w:rPr>
          <w:lang w:val="en-AU"/>
        </w:rPr>
      </w:pPr>
      <w:r w:rsidRPr="00203FB9">
        <w:rPr>
          <w:lang w:val="en-AU"/>
        </w:rPr>
        <w:t xml:space="preserve">What </w:t>
      </w:r>
      <w:r w:rsidR="001C4D44">
        <w:rPr>
          <w:lang w:val="en-AU"/>
        </w:rPr>
        <w:t>are some key aspects of capabilities</w:t>
      </w:r>
      <w:r w:rsidR="001C4D44" w:rsidRPr="00203FB9">
        <w:rPr>
          <w:lang w:val="en-AU"/>
        </w:rPr>
        <w:t xml:space="preserve"> </w:t>
      </w:r>
      <w:r w:rsidRPr="00203FB9">
        <w:rPr>
          <w:lang w:val="en-AU"/>
        </w:rPr>
        <w:t>implementation</w:t>
      </w:r>
      <w:r w:rsidR="001C4D44">
        <w:rPr>
          <w:lang w:val="en-AU"/>
        </w:rPr>
        <w:t xml:space="preserve"> in schools</w:t>
      </w:r>
      <w:r w:rsidRPr="00203FB9">
        <w:rPr>
          <w:lang w:val="en-AU"/>
        </w:rPr>
        <w:t>?</w:t>
      </w:r>
    </w:p>
    <w:p w14:paraId="3FBB2826" w14:textId="12A8AEA6" w:rsidR="00061A9D" w:rsidRPr="00203FB9" w:rsidRDefault="00061A9D" w:rsidP="00061A9D">
      <w:pPr>
        <w:pStyle w:val="VCAAbody"/>
        <w:rPr>
          <w:lang w:val="en-AU"/>
        </w:rPr>
      </w:pPr>
      <w:r w:rsidRPr="00203FB9">
        <w:rPr>
          <w:lang w:val="en-AU"/>
        </w:rPr>
        <w:t>The</w:t>
      </w:r>
      <w:r>
        <w:rPr>
          <w:lang w:val="en-AU"/>
        </w:rPr>
        <w:t xml:space="preserve"> three key</w:t>
      </w:r>
      <w:r w:rsidRPr="00203FB9">
        <w:rPr>
          <w:lang w:val="en-AU"/>
        </w:rPr>
        <w:t xml:space="preserve"> aspects of </w:t>
      </w:r>
      <w:r>
        <w:rPr>
          <w:lang w:val="en-AU"/>
        </w:rPr>
        <w:t>c</w:t>
      </w:r>
      <w:r w:rsidRPr="00203FB9">
        <w:rPr>
          <w:lang w:val="en-AU"/>
        </w:rPr>
        <w:t>apabilities implementation covered in this tool are broadly described below</w:t>
      </w:r>
      <w:r>
        <w:rPr>
          <w:lang w:val="en-AU"/>
        </w:rPr>
        <w:t>.</w:t>
      </w:r>
      <w:r w:rsidRPr="00203FB9">
        <w:rPr>
          <w:lang w:val="en-AU"/>
        </w:rPr>
        <w:t xml:space="preserve"> </w:t>
      </w:r>
      <w:r>
        <w:rPr>
          <w:lang w:val="en-AU"/>
        </w:rPr>
        <w:t>They</w:t>
      </w:r>
      <w:r w:rsidRPr="00203FB9">
        <w:rPr>
          <w:lang w:val="en-AU"/>
        </w:rPr>
        <w:t xml:space="preserve"> are the basis for the descriptions in the</w:t>
      </w:r>
      <w:r w:rsidR="00FC3D23">
        <w:rPr>
          <w:lang w:val="en-AU"/>
        </w:rPr>
        <w:t xml:space="preserve"> self-assessment tool</w:t>
      </w:r>
      <w:r w:rsidRPr="00203FB9">
        <w:rPr>
          <w:lang w:val="en-AU"/>
        </w:rPr>
        <w:t xml:space="preserve"> that follows</w:t>
      </w:r>
      <w:r>
        <w:rPr>
          <w:lang w:val="en-AU"/>
        </w:rPr>
        <w:t>.</w:t>
      </w:r>
    </w:p>
    <w:p w14:paraId="0A001632" w14:textId="6C40DE29" w:rsidR="00061A9D" w:rsidRPr="001643A6" w:rsidRDefault="00061A9D" w:rsidP="00061A9D">
      <w:pPr>
        <w:pStyle w:val="VCAAHeading2"/>
        <w:rPr>
          <w:lang w:val="en-AU"/>
        </w:rPr>
      </w:pPr>
      <w:r w:rsidRPr="00203FB9">
        <w:rPr>
          <w:lang w:val="en-AU"/>
        </w:rPr>
        <w:t>Curriculum planni</w:t>
      </w:r>
      <w:r w:rsidRPr="001643A6">
        <w:rPr>
          <w:lang w:val="en-AU"/>
        </w:rPr>
        <w:t>n</w:t>
      </w:r>
      <w:r w:rsidRPr="007121AB">
        <w:rPr>
          <w:lang w:val="en-AU"/>
        </w:rPr>
        <w:t xml:space="preserve">g </w:t>
      </w:r>
      <w:r w:rsidR="00D36042">
        <w:rPr>
          <w:lang w:val="en-AU"/>
        </w:rPr>
        <w:t>that links</w:t>
      </w:r>
      <w:r w:rsidR="00D36042" w:rsidRPr="007121AB">
        <w:rPr>
          <w:lang w:val="en-AU"/>
        </w:rPr>
        <w:t xml:space="preserve"> </w:t>
      </w:r>
      <w:r w:rsidRPr="007121AB">
        <w:rPr>
          <w:lang w:val="en-AU"/>
        </w:rPr>
        <w:t>the capabilities and learning area</w:t>
      </w:r>
      <w:r w:rsidRPr="001643A6">
        <w:rPr>
          <w:lang w:val="en-AU"/>
        </w:rPr>
        <w:t>s</w:t>
      </w:r>
    </w:p>
    <w:p w14:paraId="2585A8A5" w14:textId="56DA2B20" w:rsidR="00934D63" w:rsidRDefault="00061A9D" w:rsidP="00061A9D">
      <w:pPr>
        <w:pStyle w:val="VCAAbody"/>
        <w:rPr>
          <w:lang w:val="en-AU"/>
        </w:rPr>
      </w:pPr>
      <w:r w:rsidRPr="001643A6">
        <w:rPr>
          <w:lang w:val="en-AU"/>
        </w:rPr>
        <w:t>Deli</w:t>
      </w:r>
      <w:r w:rsidRPr="00403DB4">
        <w:rPr>
          <w:lang w:val="en-AU"/>
        </w:rPr>
        <w:t xml:space="preserve">very of capabilities involves curriculum planning across a year level and </w:t>
      </w:r>
      <w:r w:rsidR="001C4D44">
        <w:rPr>
          <w:lang w:val="en-AU"/>
        </w:rPr>
        <w:t>from one</w:t>
      </w:r>
      <w:r w:rsidR="001C4D44" w:rsidRPr="00403DB4">
        <w:rPr>
          <w:lang w:val="en-AU"/>
        </w:rPr>
        <w:t xml:space="preserve"> </w:t>
      </w:r>
      <w:r w:rsidRPr="00403DB4">
        <w:rPr>
          <w:lang w:val="en-AU"/>
        </w:rPr>
        <w:t>year level</w:t>
      </w:r>
      <w:r w:rsidR="001C4D44">
        <w:rPr>
          <w:lang w:val="en-AU"/>
        </w:rPr>
        <w:t xml:space="preserve"> to the next</w:t>
      </w:r>
      <w:r w:rsidRPr="007121AB">
        <w:rPr>
          <w:lang w:val="en-AU"/>
        </w:rPr>
        <w:t>.</w:t>
      </w:r>
      <w:r w:rsidR="001C4D44">
        <w:rPr>
          <w:lang w:val="en-AU"/>
        </w:rPr>
        <w:t xml:space="preserve"> </w:t>
      </w:r>
      <w:r w:rsidR="001C4D44" w:rsidRPr="001C4D44">
        <w:rPr>
          <w:lang w:val="en-AU"/>
        </w:rPr>
        <w:t>Schools can identify links to learning areas that will build excellence and equity and foster holistic learning across both learning areas and capabilities.</w:t>
      </w:r>
      <w:r w:rsidRPr="001C4D44">
        <w:rPr>
          <w:lang w:val="en-AU"/>
        </w:rPr>
        <w:t xml:space="preserve"> </w:t>
      </w:r>
      <w:r w:rsidRPr="007121AB">
        <w:rPr>
          <w:lang w:val="en-AU"/>
        </w:rPr>
        <w:t>Effective curriculum planning has a coordinated approach</w:t>
      </w:r>
      <w:r>
        <w:rPr>
          <w:lang w:val="en-AU"/>
        </w:rPr>
        <w:t>,</w:t>
      </w:r>
      <w:r w:rsidRPr="007121AB">
        <w:rPr>
          <w:lang w:val="en-AU"/>
        </w:rPr>
        <w:t xml:space="preserve"> to ensure full coverage of</w:t>
      </w:r>
      <w:r>
        <w:rPr>
          <w:lang w:val="en-AU"/>
        </w:rPr>
        <w:t xml:space="preserve"> the</w:t>
      </w:r>
      <w:r w:rsidRPr="007121AB">
        <w:rPr>
          <w:lang w:val="en-AU"/>
        </w:rPr>
        <w:t xml:space="preserve"> capabilities curricul</w:t>
      </w:r>
      <w:r>
        <w:rPr>
          <w:lang w:val="en-AU"/>
        </w:rPr>
        <w:t>ums</w:t>
      </w:r>
      <w:r w:rsidRPr="007121AB">
        <w:rPr>
          <w:lang w:val="en-AU"/>
        </w:rPr>
        <w:t xml:space="preserve"> and a coherent and developmental learning experience throughout the years of schooling, including avoiding duplication of learning experiences. </w:t>
      </w:r>
    </w:p>
    <w:p w14:paraId="40602E37" w14:textId="4B08A3ED" w:rsidR="00061A9D" w:rsidRPr="00203FB9" w:rsidRDefault="00061A9D" w:rsidP="00061A9D">
      <w:pPr>
        <w:pStyle w:val="VCAAbody"/>
        <w:rPr>
          <w:lang w:val="en-AU"/>
        </w:rPr>
      </w:pPr>
      <w:r w:rsidRPr="007121AB">
        <w:rPr>
          <w:lang w:val="en-AU"/>
        </w:rPr>
        <w:t xml:space="preserve">For further support with </w:t>
      </w:r>
      <w:r>
        <w:rPr>
          <w:lang w:val="en-AU"/>
        </w:rPr>
        <w:t xml:space="preserve">the </w:t>
      </w:r>
      <w:r w:rsidRPr="007121AB">
        <w:rPr>
          <w:lang w:val="en-AU"/>
        </w:rPr>
        <w:t>curriculum planning process</w:t>
      </w:r>
      <w:r>
        <w:rPr>
          <w:lang w:val="en-AU"/>
        </w:rPr>
        <w:t>,</w:t>
      </w:r>
      <w:r w:rsidRPr="007121AB">
        <w:rPr>
          <w:lang w:val="en-AU"/>
        </w:rPr>
        <w:t xml:space="preserve"> see</w:t>
      </w:r>
      <w:r>
        <w:rPr>
          <w:lang w:val="en-AU"/>
        </w:rPr>
        <w:t xml:space="preserve"> ‘Developing a whole-school curriculum plan for implementing the capabilities, Levels 7–10’ on the </w:t>
      </w:r>
      <w:hyperlink r:id="rId17" w:history="1">
        <w:r w:rsidRPr="00203FB9">
          <w:rPr>
            <w:color w:val="0000FF"/>
            <w:u w:val="single"/>
            <w:lang w:val="en-AU"/>
          </w:rPr>
          <w:t>Overview of the capabilities page</w:t>
        </w:r>
      </w:hyperlink>
      <w:r w:rsidRPr="00203FB9">
        <w:rPr>
          <w:lang w:val="en-AU"/>
        </w:rPr>
        <w:t xml:space="preserve"> of the VCAA website. </w:t>
      </w:r>
    </w:p>
    <w:p w14:paraId="44D9DAB5" w14:textId="77777777" w:rsidR="00061A9D" w:rsidRPr="00203FB9" w:rsidRDefault="00061A9D" w:rsidP="00061A9D">
      <w:pPr>
        <w:pStyle w:val="VCAAHeading2"/>
        <w:rPr>
          <w:lang w:val="en-AU"/>
        </w:rPr>
      </w:pPr>
      <w:r w:rsidRPr="00203FB9">
        <w:rPr>
          <w:lang w:val="en-AU"/>
        </w:rPr>
        <w:t xml:space="preserve">Explicit teaching and assessment of the </w:t>
      </w:r>
      <w:r>
        <w:rPr>
          <w:lang w:val="en-AU"/>
        </w:rPr>
        <w:t>c</w:t>
      </w:r>
      <w:r w:rsidRPr="00203FB9">
        <w:rPr>
          <w:lang w:val="en-AU"/>
        </w:rPr>
        <w:t>apabilities</w:t>
      </w:r>
    </w:p>
    <w:p w14:paraId="5CD65510" w14:textId="356E0B26" w:rsidR="00934D63" w:rsidRDefault="00061A9D" w:rsidP="00061A9D">
      <w:pPr>
        <w:pStyle w:val="VCAAbody"/>
        <w:rPr>
          <w:lang w:val="en-AU"/>
        </w:rPr>
      </w:pPr>
      <w:r w:rsidRPr="00203FB9">
        <w:rPr>
          <w:lang w:val="en-AU"/>
        </w:rPr>
        <w:t xml:space="preserve">Each </w:t>
      </w:r>
      <w:r>
        <w:rPr>
          <w:lang w:val="en-AU"/>
        </w:rPr>
        <w:t>c</w:t>
      </w:r>
      <w:r w:rsidRPr="00203FB9">
        <w:rPr>
          <w:lang w:val="en-AU"/>
        </w:rPr>
        <w:t>apability curriculum identifies discrete knowledge and skills</w:t>
      </w:r>
      <w:r>
        <w:rPr>
          <w:lang w:val="en-AU"/>
        </w:rPr>
        <w:t>. These knowledge and skills</w:t>
      </w:r>
      <w:r w:rsidRPr="00203FB9">
        <w:rPr>
          <w:lang w:val="en-AU"/>
        </w:rPr>
        <w:t xml:space="preserve"> must be</w:t>
      </w:r>
      <w:r>
        <w:rPr>
          <w:lang w:val="en-AU"/>
        </w:rPr>
        <w:t xml:space="preserve"> made</w:t>
      </w:r>
      <w:r w:rsidRPr="00203FB9">
        <w:rPr>
          <w:lang w:val="en-AU"/>
        </w:rPr>
        <w:t xml:space="preserve"> transparent to teachers and students, with this shared understanding being the foundation of assessment. Learning activit</w:t>
      </w:r>
      <w:r>
        <w:rPr>
          <w:lang w:val="en-AU"/>
        </w:rPr>
        <w:t>ies</w:t>
      </w:r>
      <w:r w:rsidRPr="00203FB9">
        <w:rPr>
          <w:lang w:val="en-AU"/>
        </w:rPr>
        <w:t xml:space="preserve"> should </w:t>
      </w:r>
      <w:r>
        <w:rPr>
          <w:lang w:val="en-AU"/>
        </w:rPr>
        <w:t>be designed to include</w:t>
      </w:r>
      <w:r w:rsidRPr="00203FB9">
        <w:rPr>
          <w:lang w:val="en-AU"/>
        </w:rPr>
        <w:t xml:space="preserve"> explicit introduction of new </w:t>
      </w:r>
      <w:r>
        <w:rPr>
          <w:lang w:val="en-AU"/>
        </w:rPr>
        <w:t>c</w:t>
      </w:r>
      <w:r w:rsidRPr="00203FB9">
        <w:rPr>
          <w:lang w:val="en-AU"/>
        </w:rPr>
        <w:t xml:space="preserve">apabilities learning within familiar learning area contexts and be assessed against the relevant </w:t>
      </w:r>
      <w:r>
        <w:rPr>
          <w:lang w:val="en-AU"/>
        </w:rPr>
        <w:t>c</w:t>
      </w:r>
      <w:r w:rsidRPr="00203FB9">
        <w:rPr>
          <w:lang w:val="en-AU"/>
        </w:rPr>
        <w:t xml:space="preserve">apability achievement standard. Students </w:t>
      </w:r>
      <w:r w:rsidR="001C4D44">
        <w:rPr>
          <w:lang w:val="en-AU"/>
        </w:rPr>
        <w:t>are then equipped to</w:t>
      </w:r>
      <w:r w:rsidRPr="00203FB9">
        <w:rPr>
          <w:lang w:val="en-AU"/>
        </w:rPr>
        <w:t xml:space="preserve"> go on to apply their </w:t>
      </w:r>
      <w:r>
        <w:rPr>
          <w:lang w:val="en-AU"/>
        </w:rPr>
        <w:t>c</w:t>
      </w:r>
      <w:r w:rsidRPr="00203FB9">
        <w:rPr>
          <w:lang w:val="en-AU"/>
        </w:rPr>
        <w:t xml:space="preserve">apabilities knowledge and skills to challenging and engaging learning area contexts and reflect on their progress in developing both learning area and </w:t>
      </w:r>
      <w:r>
        <w:rPr>
          <w:lang w:val="en-AU"/>
        </w:rPr>
        <w:t>c</w:t>
      </w:r>
      <w:r w:rsidRPr="00203FB9">
        <w:rPr>
          <w:lang w:val="en-AU"/>
        </w:rPr>
        <w:t>apabilit</w:t>
      </w:r>
      <w:r>
        <w:rPr>
          <w:lang w:val="en-AU"/>
        </w:rPr>
        <w:t>ies</w:t>
      </w:r>
      <w:r w:rsidRPr="00203FB9">
        <w:rPr>
          <w:lang w:val="en-AU"/>
        </w:rPr>
        <w:t xml:space="preserve"> knowledge and skills. Teachers </w:t>
      </w:r>
      <w:r w:rsidR="001C4D44">
        <w:rPr>
          <w:lang w:val="en-AU"/>
        </w:rPr>
        <w:t>can</w:t>
      </w:r>
      <w:r w:rsidR="001C4D44" w:rsidRPr="00203FB9">
        <w:rPr>
          <w:lang w:val="en-AU"/>
        </w:rPr>
        <w:t xml:space="preserve"> </w:t>
      </w:r>
      <w:r w:rsidRPr="00203FB9">
        <w:rPr>
          <w:lang w:val="en-AU"/>
        </w:rPr>
        <w:t xml:space="preserve">work together to identify, test and refine effective pedagogies and assessment methods. </w:t>
      </w:r>
    </w:p>
    <w:p w14:paraId="74A82CB7" w14:textId="017411AA" w:rsidR="00061A9D" w:rsidRPr="00203FB9" w:rsidRDefault="00061A9D" w:rsidP="00061A9D">
      <w:pPr>
        <w:pStyle w:val="VCAAbody"/>
        <w:rPr>
          <w:lang w:val="en-AU"/>
        </w:rPr>
      </w:pPr>
      <w:r w:rsidRPr="00203FB9">
        <w:rPr>
          <w:lang w:val="en-AU"/>
        </w:rPr>
        <w:t>For further support with explicit teaching and assessment</w:t>
      </w:r>
      <w:r>
        <w:rPr>
          <w:lang w:val="en-AU"/>
        </w:rPr>
        <w:t>,</w:t>
      </w:r>
      <w:r w:rsidRPr="00203FB9">
        <w:rPr>
          <w:lang w:val="en-AU"/>
        </w:rPr>
        <w:t xml:space="preserve"> see</w:t>
      </w:r>
      <w:r>
        <w:rPr>
          <w:lang w:val="en-AU"/>
        </w:rPr>
        <w:t xml:space="preserve"> ‘Introduction to explicitly teaching and assessing the capabilities’ on the </w:t>
      </w:r>
      <w:hyperlink r:id="rId18" w:history="1">
        <w:r w:rsidRPr="00203FB9">
          <w:rPr>
            <w:color w:val="0000FF"/>
            <w:u w:val="single"/>
            <w:lang w:val="en-AU"/>
          </w:rPr>
          <w:t>Overview of the capabilities page</w:t>
        </w:r>
      </w:hyperlink>
      <w:r w:rsidRPr="00203FB9">
        <w:rPr>
          <w:lang w:val="en-AU"/>
        </w:rPr>
        <w:t xml:space="preserve">. </w:t>
      </w:r>
    </w:p>
    <w:p w14:paraId="72C855F3" w14:textId="77777777" w:rsidR="00061A9D" w:rsidRPr="00203FB9" w:rsidRDefault="00061A9D" w:rsidP="00061A9D">
      <w:pPr>
        <w:pStyle w:val="VCAAHeading2"/>
        <w:rPr>
          <w:lang w:val="en-AU"/>
        </w:rPr>
      </w:pPr>
      <w:r w:rsidRPr="00203FB9">
        <w:rPr>
          <w:lang w:val="en-AU"/>
        </w:rPr>
        <w:t xml:space="preserve">Transfer of learning between </w:t>
      </w:r>
      <w:r>
        <w:rPr>
          <w:lang w:val="en-AU"/>
        </w:rPr>
        <w:t>c</w:t>
      </w:r>
      <w:r w:rsidRPr="00203FB9">
        <w:rPr>
          <w:lang w:val="en-AU"/>
        </w:rPr>
        <w:t>apabilities and</w:t>
      </w:r>
      <w:r>
        <w:rPr>
          <w:lang w:val="en-AU"/>
        </w:rPr>
        <w:t xml:space="preserve"> l</w:t>
      </w:r>
      <w:r w:rsidRPr="00203FB9">
        <w:rPr>
          <w:lang w:val="en-AU"/>
        </w:rPr>
        <w:t xml:space="preserve">earning </w:t>
      </w:r>
      <w:r>
        <w:rPr>
          <w:lang w:val="en-AU"/>
        </w:rPr>
        <w:t>a</w:t>
      </w:r>
      <w:r w:rsidRPr="00203FB9">
        <w:rPr>
          <w:lang w:val="en-AU"/>
        </w:rPr>
        <w:t xml:space="preserve">reas </w:t>
      </w:r>
      <w:r>
        <w:rPr>
          <w:lang w:val="en-AU"/>
        </w:rPr>
        <w:t>and for life</w:t>
      </w:r>
      <w:r w:rsidRPr="00203FB9">
        <w:rPr>
          <w:lang w:val="en-AU"/>
        </w:rPr>
        <w:t>long learning</w:t>
      </w:r>
    </w:p>
    <w:p w14:paraId="0CFCECC3" w14:textId="64703B26" w:rsidR="00934D63" w:rsidRDefault="00061A9D" w:rsidP="00061A9D">
      <w:pPr>
        <w:pStyle w:val="VCAAbody"/>
        <w:rPr>
          <w:lang w:val="en-AU"/>
        </w:rPr>
      </w:pPr>
      <w:r w:rsidRPr="00203FB9">
        <w:rPr>
          <w:lang w:val="en-AU"/>
        </w:rPr>
        <w:t>Learning transfer occurs when past learning is used to assist in new learning</w:t>
      </w:r>
      <w:r w:rsidR="00C84CFF">
        <w:rPr>
          <w:lang w:val="en-AU"/>
        </w:rPr>
        <w:t>,</w:t>
      </w:r>
      <w:r>
        <w:rPr>
          <w:lang w:val="en-AU"/>
        </w:rPr>
        <w:t xml:space="preserve"> and d</w:t>
      </w:r>
      <w:r w:rsidRPr="00203FB9">
        <w:rPr>
          <w:lang w:val="en-AU"/>
        </w:rPr>
        <w:t xml:space="preserve">oing this autonomously is integral to what it is to be </w:t>
      </w:r>
      <w:r w:rsidR="001C4D44">
        <w:rPr>
          <w:lang w:val="en-AU"/>
        </w:rPr>
        <w:t>developing a capability</w:t>
      </w:r>
      <w:r w:rsidRPr="00203FB9">
        <w:rPr>
          <w:lang w:val="en-AU"/>
        </w:rPr>
        <w:t xml:space="preserve">. Transfer of </w:t>
      </w:r>
      <w:r>
        <w:rPr>
          <w:lang w:val="en-AU"/>
        </w:rPr>
        <w:t>c</w:t>
      </w:r>
      <w:r w:rsidRPr="00203FB9">
        <w:rPr>
          <w:lang w:val="en-AU"/>
        </w:rPr>
        <w:t>apabilities learning can be facilitated through scaffolding student progress from familiar to unfamiliar contexts both within and across learning programs with rich links</w:t>
      </w:r>
      <w:r>
        <w:rPr>
          <w:lang w:val="en-AU"/>
        </w:rPr>
        <w:t xml:space="preserve"> to the capabilities</w:t>
      </w:r>
      <w:r w:rsidRPr="00203FB9">
        <w:rPr>
          <w:lang w:val="en-AU"/>
        </w:rPr>
        <w:t xml:space="preserve">. With regard to </w:t>
      </w:r>
      <w:r>
        <w:rPr>
          <w:lang w:val="en-AU"/>
        </w:rPr>
        <w:t>c</w:t>
      </w:r>
      <w:r w:rsidRPr="00203FB9">
        <w:rPr>
          <w:lang w:val="en-AU"/>
        </w:rPr>
        <w:t xml:space="preserve">apabilities implementation, transfer of learning involves developing the ability to apply </w:t>
      </w:r>
      <w:r>
        <w:rPr>
          <w:lang w:val="en-AU"/>
        </w:rPr>
        <w:t>c</w:t>
      </w:r>
      <w:r w:rsidRPr="00203FB9">
        <w:rPr>
          <w:lang w:val="en-AU"/>
        </w:rPr>
        <w:t xml:space="preserve">apabilities knowledge and skills to learning area contexts and also to apply learning area contexts to further develop </w:t>
      </w:r>
      <w:r>
        <w:rPr>
          <w:lang w:val="en-AU"/>
        </w:rPr>
        <w:t>individual c</w:t>
      </w:r>
      <w:r w:rsidRPr="00203FB9">
        <w:rPr>
          <w:lang w:val="en-AU"/>
        </w:rPr>
        <w:t>apabilit</w:t>
      </w:r>
      <w:r>
        <w:rPr>
          <w:lang w:val="en-AU"/>
        </w:rPr>
        <w:t>ies</w:t>
      </w:r>
      <w:r w:rsidRPr="00203FB9">
        <w:rPr>
          <w:lang w:val="en-AU"/>
        </w:rPr>
        <w:t>.</w:t>
      </w:r>
      <w:r>
        <w:rPr>
          <w:lang w:val="en-AU"/>
        </w:rPr>
        <w:t xml:space="preserve"> </w:t>
      </w:r>
      <w:r w:rsidRPr="00203FB9">
        <w:rPr>
          <w:lang w:val="en-AU"/>
        </w:rPr>
        <w:t xml:space="preserve">Teachers </w:t>
      </w:r>
      <w:r w:rsidR="001C4D44">
        <w:rPr>
          <w:lang w:val="en-AU"/>
        </w:rPr>
        <w:t>can</w:t>
      </w:r>
      <w:r w:rsidR="001C4D44" w:rsidRPr="00203FB9">
        <w:rPr>
          <w:lang w:val="en-AU"/>
        </w:rPr>
        <w:t xml:space="preserve"> </w:t>
      </w:r>
      <w:r w:rsidRPr="00203FB9">
        <w:rPr>
          <w:lang w:val="en-AU"/>
        </w:rPr>
        <w:t xml:space="preserve">collaborate to develop and refine pedagogy that teaches for transfer and supports students to become more motivated and autonomous in the transfer of their learning, assisting </w:t>
      </w:r>
      <w:r>
        <w:rPr>
          <w:lang w:val="en-AU"/>
        </w:rPr>
        <w:t>students</w:t>
      </w:r>
      <w:r w:rsidRPr="00203FB9">
        <w:rPr>
          <w:lang w:val="en-AU"/>
        </w:rPr>
        <w:t xml:space="preserve"> to recognise that it is not automatic. </w:t>
      </w:r>
    </w:p>
    <w:p w14:paraId="0362BD69" w14:textId="12EBD6E0" w:rsidR="00E54877" w:rsidRDefault="00061A9D" w:rsidP="00061A9D">
      <w:pPr>
        <w:pStyle w:val="VCAAbody"/>
        <w:rPr>
          <w:lang w:val="en-AU"/>
        </w:rPr>
      </w:pPr>
      <w:bookmarkStart w:id="0" w:name="_GoBack"/>
      <w:r w:rsidRPr="00203FB9">
        <w:rPr>
          <w:lang w:val="en-AU"/>
        </w:rPr>
        <w:t xml:space="preserve">For further information on transfer </w:t>
      </w:r>
      <w:r w:rsidR="00C84CFF">
        <w:rPr>
          <w:lang w:val="en-AU"/>
        </w:rPr>
        <w:t>of</w:t>
      </w:r>
      <w:r w:rsidR="00C84CFF" w:rsidRPr="00203FB9">
        <w:rPr>
          <w:lang w:val="en-AU"/>
        </w:rPr>
        <w:t xml:space="preserve"> </w:t>
      </w:r>
      <w:r w:rsidRPr="00203FB9">
        <w:rPr>
          <w:lang w:val="en-AU"/>
        </w:rPr>
        <w:t>learning</w:t>
      </w:r>
      <w:r>
        <w:rPr>
          <w:lang w:val="en-AU"/>
        </w:rPr>
        <w:t>,</w:t>
      </w:r>
      <w:r w:rsidRPr="00203FB9">
        <w:rPr>
          <w:lang w:val="en-AU"/>
        </w:rPr>
        <w:t xml:space="preserve"> see</w:t>
      </w:r>
      <w:r>
        <w:rPr>
          <w:lang w:val="en-AU"/>
        </w:rPr>
        <w:t xml:space="preserve"> ‘Teaching for learning transfer’ on the </w:t>
      </w:r>
      <w:hyperlink r:id="rId19" w:history="1">
        <w:r w:rsidRPr="00203FB9">
          <w:rPr>
            <w:color w:val="0000FF"/>
            <w:u w:val="single"/>
            <w:lang w:val="en-AU"/>
          </w:rPr>
          <w:t>Overview of the capabilities page</w:t>
        </w:r>
      </w:hyperlink>
      <w:r w:rsidRPr="00203FB9">
        <w:rPr>
          <w:lang w:val="en-AU"/>
        </w:rPr>
        <w:t>.</w:t>
      </w:r>
    </w:p>
    <w:p w14:paraId="28E4A4E6" w14:textId="7BEB2BE7" w:rsidR="007528C3" w:rsidRDefault="00C84CFF" w:rsidP="001C4D44">
      <w:pPr>
        <w:pStyle w:val="VCAAHeading1"/>
      </w:pPr>
      <w:r w:rsidRPr="004F45A8">
        <w:t>What does implementation of the capabilities look like in your school?</w:t>
      </w:r>
    </w:p>
    <w:p w14:paraId="03AB4F6F" w14:textId="090DE46D" w:rsidR="007528C3" w:rsidRDefault="00061A9D" w:rsidP="00347A2A">
      <w:pPr>
        <w:pStyle w:val="VCAAbody"/>
        <w:rPr>
          <w:lang w:val="en-AU"/>
        </w:rPr>
      </w:pPr>
      <w:r w:rsidRPr="00203FB9">
        <w:rPr>
          <w:lang w:val="en-AU"/>
        </w:rPr>
        <w:t xml:space="preserve">The </w:t>
      </w:r>
      <w:r>
        <w:rPr>
          <w:lang w:val="en-AU"/>
        </w:rPr>
        <w:t>self-assessment tool</w:t>
      </w:r>
      <w:r w:rsidRPr="00203FB9">
        <w:rPr>
          <w:lang w:val="en-AU"/>
        </w:rPr>
        <w:t xml:space="preserve"> </w:t>
      </w:r>
      <w:r w:rsidR="007528C3">
        <w:rPr>
          <w:lang w:val="en-AU"/>
        </w:rPr>
        <w:t>on the following page</w:t>
      </w:r>
      <w:r w:rsidR="007528C3" w:rsidRPr="00203FB9">
        <w:rPr>
          <w:lang w:val="en-AU"/>
        </w:rPr>
        <w:t xml:space="preserve"> </w:t>
      </w:r>
      <w:r w:rsidRPr="00203FB9">
        <w:rPr>
          <w:lang w:val="en-AU"/>
        </w:rPr>
        <w:t>identifies how effective practice in the</w:t>
      </w:r>
      <w:r w:rsidR="007528C3">
        <w:rPr>
          <w:lang w:val="en-AU"/>
        </w:rPr>
        <w:t xml:space="preserve"> nominated</w:t>
      </w:r>
      <w:r w:rsidRPr="00203FB9">
        <w:rPr>
          <w:lang w:val="en-AU"/>
        </w:rPr>
        <w:t xml:space="preserve"> three a</w:t>
      </w:r>
      <w:r>
        <w:rPr>
          <w:lang w:val="en-AU"/>
        </w:rPr>
        <w:t>spects of capabilities implementation</w:t>
      </w:r>
      <w:r w:rsidRPr="00203FB9">
        <w:rPr>
          <w:lang w:val="en-AU"/>
        </w:rPr>
        <w:t xml:space="preserve"> might develop over time as strategies are put in place to strengthen </w:t>
      </w:r>
      <w:r>
        <w:rPr>
          <w:lang w:val="en-AU"/>
        </w:rPr>
        <w:t xml:space="preserve">practice in those aspects. </w:t>
      </w:r>
    </w:p>
    <w:p w14:paraId="1D6AC209" w14:textId="7500F1AD" w:rsidR="00061A9D" w:rsidRDefault="00061A9D" w:rsidP="00324423">
      <w:pPr>
        <w:pStyle w:val="VCAAbody"/>
        <w:rPr>
          <w:lang w:val="en-AU"/>
        </w:rPr>
      </w:pPr>
      <w:r>
        <w:rPr>
          <w:lang w:val="en-AU"/>
        </w:rPr>
        <w:t xml:space="preserve">The </w:t>
      </w:r>
      <w:r w:rsidR="007528C3">
        <w:rPr>
          <w:lang w:val="en-AU"/>
        </w:rPr>
        <w:t xml:space="preserve">question </w:t>
      </w:r>
      <w:r w:rsidRPr="00203FB9">
        <w:rPr>
          <w:lang w:val="en-AU"/>
        </w:rPr>
        <w:t xml:space="preserve">prompts can be used to reflect on </w:t>
      </w:r>
      <w:r>
        <w:rPr>
          <w:lang w:val="en-AU"/>
        </w:rPr>
        <w:t>your</w:t>
      </w:r>
      <w:r w:rsidRPr="00203FB9">
        <w:rPr>
          <w:lang w:val="en-AU"/>
        </w:rPr>
        <w:t xml:space="preserve"> school’s context</w:t>
      </w:r>
      <w:r>
        <w:rPr>
          <w:lang w:val="en-AU"/>
        </w:rPr>
        <w:t xml:space="preserve"> and to begin to set goals</w:t>
      </w:r>
      <w:r w:rsidR="007528C3">
        <w:rPr>
          <w:lang w:val="en-AU"/>
        </w:rPr>
        <w:t xml:space="preserve"> and next steps</w:t>
      </w:r>
      <w:r w:rsidRPr="00203FB9">
        <w:rPr>
          <w:lang w:val="en-AU"/>
        </w:rPr>
        <w:t xml:space="preserve">. </w:t>
      </w:r>
    </w:p>
    <w:bookmarkEnd w:id="0"/>
    <w:p w14:paraId="54FE9F22" w14:textId="7E50BC35" w:rsidR="00061A9D" w:rsidRDefault="00061A9D" w:rsidP="00061A9D">
      <w:pPr>
        <w:pStyle w:val="VCAAbody"/>
        <w:rPr>
          <w:lang w:val="en-AU"/>
        </w:rPr>
      </w:pPr>
    </w:p>
    <w:p w14:paraId="7A512AD5" w14:textId="77777777" w:rsidR="00061A9D" w:rsidRPr="00061A9D" w:rsidRDefault="00061A9D" w:rsidP="00061A9D">
      <w:pPr>
        <w:pStyle w:val="VCAAbody"/>
        <w:rPr>
          <w:lang w:val="en-AU"/>
        </w:rPr>
        <w:sectPr w:rsidR="00061A9D" w:rsidRPr="00061A9D" w:rsidSect="00356F98">
          <w:headerReference w:type="default" r:id="rId20"/>
          <w:headerReference w:type="first" r:id="rId21"/>
          <w:footerReference w:type="first" r:id="rId22"/>
          <w:pgSz w:w="11907" w:h="16840" w:code="9"/>
          <w:pgMar w:top="1430" w:right="1484" w:bottom="1660" w:left="1004" w:header="392" w:footer="283" w:gutter="0"/>
          <w:cols w:space="708"/>
          <w:docGrid w:linePitch="360"/>
        </w:sectPr>
      </w:pPr>
    </w:p>
    <w:p w14:paraId="5C95CC97" w14:textId="6E9F8447" w:rsidR="00614408" w:rsidRDefault="003C185E" w:rsidP="001C4D44">
      <w:pPr>
        <w:pStyle w:val="VCAAHeading2"/>
        <w:rPr>
          <w:lang w:val="en-AU" w:eastAsia="en-AU"/>
        </w:rPr>
      </w:pPr>
      <w:r>
        <w:rPr>
          <w:lang w:val="en-AU" w:eastAsia="en-AU"/>
        </w:rPr>
        <w:t>Self-assessment tool</w:t>
      </w:r>
    </w:p>
    <w:tbl>
      <w:tblPr>
        <w:tblStyle w:val="TableGrid1"/>
        <w:tblW w:w="22675" w:type="dxa"/>
        <w:jc w:val="center"/>
        <w:tblBorders>
          <w:top w:val="single" w:sz="18" w:space="0" w:color="F2F2F2"/>
          <w:left w:val="single" w:sz="18" w:space="0" w:color="F2F2F2"/>
          <w:bottom w:val="single" w:sz="12" w:space="0" w:color="auto"/>
          <w:insideH w:val="single" w:sz="12" w:space="0" w:color="auto"/>
        </w:tblBorders>
        <w:tblLook w:val="04A0" w:firstRow="1" w:lastRow="0" w:firstColumn="1" w:lastColumn="0" w:noHBand="0" w:noVBand="1"/>
        <w:tblCaption w:val="Self-assessment tool"/>
        <w:tblDescription w:val="A self-assessment rubric for: Curriculum planning, Explicit teaching and assessment, and Transfer of learning."/>
      </w:tblPr>
      <w:tblGrid>
        <w:gridCol w:w="1985"/>
        <w:gridCol w:w="2920"/>
        <w:gridCol w:w="2943"/>
        <w:gridCol w:w="2943"/>
        <w:gridCol w:w="2937"/>
        <w:gridCol w:w="4473"/>
        <w:gridCol w:w="4474"/>
      </w:tblGrid>
      <w:tr w:rsidR="001C4D44" w:rsidRPr="001F53C4" w14:paraId="2F10F1F1" w14:textId="7E0879D1" w:rsidTr="001C4D44">
        <w:trPr>
          <w:trHeight w:val="240"/>
          <w:tblHeader/>
          <w:jc w:val="center"/>
        </w:trPr>
        <w:tc>
          <w:tcPr>
            <w:tcW w:w="1985" w:type="dxa"/>
            <w:tcBorders>
              <w:top w:val="nil"/>
              <w:left w:val="nil"/>
              <w:bottom w:val="single" w:sz="8" w:space="0" w:color="auto"/>
            </w:tcBorders>
            <w:shd w:val="clear" w:color="auto" w:fill="FFFFFF" w:themeFill="background1"/>
          </w:tcPr>
          <w:p w14:paraId="4D72698D" w14:textId="77777777" w:rsidR="00FE4CBE" w:rsidRPr="006F5DE5" w:rsidRDefault="00FE4CBE" w:rsidP="00FC3D23">
            <w:pPr>
              <w:pStyle w:val="VCAAtableheadingnarrow"/>
              <w:rPr>
                <w:b/>
              </w:rPr>
            </w:pPr>
          </w:p>
        </w:tc>
        <w:tc>
          <w:tcPr>
            <w:tcW w:w="2920" w:type="dxa"/>
            <w:tcBorders>
              <w:top w:val="single" w:sz="4" w:space="0" w:color="auto"/>
            </w:tcBorders>
            <w:shd w:val="clear" w:color="auto" w:fill="0072AA"/>
            <w:vAlign w:val="center"/>
          </w:tcPr>
          <w:p w14:paraId="39482BFA" w14:textId="77777777" w:rsidR="00FE4CBE" w:rsidRPr="006F5DE5" w:rsidRDefault="00FE4CBE" w:rsidP="00FC3D23">
            <w:pPr>
              <w:pStyle w:val="VCAAtableheadingnarrow"/>
              <w:jc w:val="center"/>
              <w:rPr>
                <w:b/>
              </w:rPr>
            </w:pPr>
            <w:r w:rsidRPr="006F5DE5">
              <w:rPr>
                <w:b/>
              </w:rPr>
              <w:t>Beginning</w:t>
            </w:r>
          </w:p>
        </w:tc>
        <w:tc>
          <w:tcPr>
            <w:tcW w:w="2943" w:type="dxa"/>
            <w:tcBorders>
              <w:top w:val="single" w:sz="4" w:space="0" w:color="auto"/>
            </w:tcBorders>
            <w:shd w:val="clear" w:color="auto" w:fill="0072AA"/>
            <w:vAlign w:val="center"/>
          </w:tcPr>
          <w:p w14:paraId="20CBE2EC" w14:textId="77777777" w:rsidR="00FE4CBE" w:rsidRPr="006F5DE5" w:rsidRDefault="00FE4CBE" w:rsidP="00FC3D23">
            <w:pPr>
              <w:pStyle w:val="VCAAtableheadingnarrow"/>
              <w:jc w:val="center"/>
              <w:rPr>
                <w:b/>
              </w:rPr>
            </w:pPr>
            <w:r w:rsidRPr="006F5DE5">
              <w:rPr>
                <w:b/>
              </w:rPr>
              <w:t>Evolving</w:t>
            </w:r>
          </w:p>
        </w:tc>
        <w:tc>
          <w:tcPr>
            <w:tcW w:w="2943" w:type="dxa"/>
            <w:tcBorders>
              <w:top w:val="single" w:sz="4" w:space="0" w:color="auto"/>
            </w:tcBorders>
            <w:shd w:val="clear" w:color="auto" w:fill="0072AA"/>
            <w:vAlign w:val="center"/>
          </w:tcPr>
          <w:p w14:paraId="48CD4E0D" w14:textId="77777777" w:rsidR="00FE4CBE" w:rsidRPr="006F5DE5" w:rsidRDefault="00FE4CBE" w:rsidP="00FC3D23">
            <w:pPr>
              <w:pStyle w:val="VCAAtableheadingnarrow"/>
              <w:jc w:val="center"/>
              <w:rPr>
                <w:b/>
              </w:rPr>
            </w:pPr>
            <w:r w:rsidRPr="006F5DE5">
              <w:rPr>
                <w:b/>
              </w:rPr>
              <w:t>Proficient</w:t>
            </w:r>
          </w:p>
        </w:tc>
        <w:tc>
          <w:tcPr>
            <w:tcW w:w="2937" w:type="dxa"/>
            <w:tcBorders>
              <w:top w:val="single" w:sz="4" w:space="0" w:color="auto"/>
            </w:tcBorders>
            <w:shd w:val="clear" w:color="auto" w:fill="0072AA"/>
            <w:vAlign w:val="center"/>
          </w:tcPr>
          <w:p w14:paraId="07382C28" w14:textId="77777777" w:rsidR="00FE4CBE" w:rsidRPr="006F5DE5" w:rsidRDefault="00FE4CBE" w:rsidP="00FC3D23">
            <w:pPr>
              <w:pStyle w:val="VCAAtableheadingnarrow"/>
              <w:jc w:val="center"/>
              <w:rPr>
                <w:b/>
              </w:rPr>
            </w:pPr>
            <w:r w:rsidRPr="006F5DE5">
              <w:rPr>
                <w:b/>
              </w:rPr>
              <w:t>Excellent</w:t>
            </w:r>
          </w:p>
        </w:tc>
        <w:tc>
          <w:tcPr>
            <w:tcW w:w="4473" w:type="dxa"/>
            <w:tcBorders>
              <w:top w:val="single" w:sz="4" w:space="0" w:color="auto"/>
            </w:tcBorders>
            <w:shd w:val="clear" w:color="auto" w:fill="0072AA"/>
            <w:vAlign w:val="center"/>
          </w:tcPr>
          <w:p w14:paraId="3D40E0E4" w14:textId="77777777" w:rsidR="003C185E" w:rsidRDefault="00FE4CBE" w:rsidP="00324423">
            <w:pPr>
              <w:pStyle w:val="VCAAtableheadingnarrow"/>
              <w:jc w:val="center"/>
              <w:rPr>
                <w:b/>
              </w:rPr>
            </w:pPr>
            <w:r w:rsidRPr="006F5DE5">
              <w:rPr>
                <w:b/>
              </w:rPr>
              <w:t xml:space="preserve">Which description is most like </w:t>
            </w:r>
            <w:r>
              <w:rPr>
                <w:b/>
              </w:rPr>
              <w:t>y</w:t>
            </w:r>
            <w:r w:rsidRPr="006F5DE5">
              <w:rPr>
                <w:b/>
              </w:rPr>
              <w:t xml:space="preserve">our school? </w:t>
            </w:r>
          </w:p>
          <w:p w14:paraId="1102AF6F" w14:textId="095530E5" w:rsidR="00FE4CBE" w:rsidRPr="006F5DE5" w:rsidRDefault="003C185E" w:rsidP="00324423">
            <w:pPr>
              <w:pStyle w:val="VCAAtableheadingnarrow"/>
              <w:jc w:val="center"/>
              <w:rPr>
                <w:b/>
              </w:rPr>
            </w:pPr>
            <w:r>
              <w:rPr>
                <w:b/>
              </w:rPr>
              <w:t xml:space="preserve">Record </w:t>
            </w:r>
            <w:r w:rsidR="00FE4CBE">
              <w:rPr>
                <w:b/>
              </w:rPr>
              <w:t xml:space="preserve">any additional observations about </w:t>
            </w:r>
            <w:r>
              <w:rPr>
                <w:b/>
              </w:rPr>
              <w:br/>
            </w:r>
            <w:r w:rsidR="00FE4CBE">
              <w:rPr>
                <w:b/>
              </w:rPr>
              <w:t>pra</w:t>
            </w:r>
            <w:r>
              <w:rPr>
                <w:b/>
              </w:rPr>
              <w:t>c</w:t>
            </w:r>
            <w:r w:rsidR="00FE4CBE">
              <w:rPr>
                <w:b/>
              </w:rPr>
              <w:t>tice</w:t>
            </w:r>
            <w:r>
              <w:rPr>
                <w:b/>
              </w:rPr>
              <w:t>s</w:t>
            </w:r>
            <w:r w:rsidR="00FE4CBE">
              <w:rPr>
                <w:b/>
              </w:rPr>
              <w:t xml:space="preserve"> at your school.</w:t>
            </w:r>
          </w:p>
        </w:tc>
        <w:tc>
          <w:tcPr>
            <w:tcW w:w="4474" w:type="dxa"/>
            <w:tcBorders>
              <w:top w:val="single" w:sz="4" w:space="0" w:color="auto"/>
            </w:tcBorders>
            <w:shd w:val="clear" w:color="auto" w:fill="0072AA"/>
          </w:tcPr>
          <w:p w14:paraId="1D5E0C04" w14:textId="77777777" w:rsidR="00FE4CBE" w:rsidRDefault="00FE4CBE" w:rsidP="00FE4CBE">
            <w:pPr>
              <w:pStyle w:val="VCAAtableheadingnarrow"/>
              <w:jc w:val="center"/>
              <w:rPr>
                <w:b/>
              </w:rPr>
            </w:pPr>
            <w:r w:rsidRPr="00324423">
              <w:rPr>
                <w:b/>
              </w:rPr>
              <w:t>What goals in this area do you think should be set?</w:t>
            </w:r>
          </w:p>
          <w:p w14:paraId="26364C3A" w14:textId="14E99DB1" w:rsidR="001C4D44" w:rsidRPr="00324423" w:rsidRDefault="001C4D44" w:rsidP="00FE4CBE">
            <w:pPr>
              <w:pStyle w:val="VCAAtableheadingnarrow"/>
              <w:jc w:val="center"/>
              <w:rPr>
                <w:b/>
              </w:rPr>
            </w:pPr>
            <w:r>
              <w:rPr>
                <w:b/>
              </w:rPr>
              <w:t xml:space="preserve">What are some steps towards achieving </w:t>
            </w:r>
            <w:r>
              <w:rPr>
                <w:b/>
              </w:rPr>
              <w:br/>
              <w:t>these goals?</w:t>
            </w:r>
          </w:p>
        </w:tc>
      </w:tr>
      <w:tr w:rsidR="001C4D44" w:rsidRPr="001F53C4" w14:paraId="09EDEA98" w14:textId="0C1705F2" w:rsidTr="001C4D44">
        <w:trPr>
          <w:trHeight w:val="3101"/>
          <w:jc w:val="center"/>
        </w:trPr>
        <w:tc>
          <w:tcPr>
            <w:tcW w:w="1985" w:type="dxa"/>
            <w:tcBorders>
              <w:top w:val="single" w:sz="8" w:space="0" w:color="auto"/>
              <w:left w:val="single" w:sz="8" w:space="0" w:color="auto"/>
              <w:bottom w:val="single" w:sz="8" w:space="0" w:color="auto"/>
            </w:tcBorders>
            <w:shd w:val="clear" w:color="auto" w:fill="FFFFFF"/>
          </w:tcPr>
          <w:p w14:paraId="381E825E" w14:textId="77777777" w:rsidR="00FE4CBE" w:rsidRPr="006F5DE5" w:rsidRDefault="00FE4CBE" w:rsidP="00FC3D23">
            <w:pPr>
              <w:pStyle w:val="VCAAtabletextnarrow"/>
              <w:rPr>
                <w:b/>
              </w:rPr>
            </w:pPr>
            <w:r w:rsidRPr="006F5DE5">
              <w:rPr>
                <w:b/>
              </w:rPr>
              <w:t>Curriculum planning</w:t>
            </w:r>
          </w:p>
        </w:tc>
        <w:tc>
          <w:tcPr>
            <w:tcW w:w="2920" w:type="dxa"/>
            <w:shd w:val="clear" w:color="auto" w:fill="FFFFFF"/>
          </w:tcPr>
          <w:p w14:paraId="057C257F" w14:textId="77777777" w:rsidR="00FE4CBE" w:rsidRPr="00C157C2" w:rsidRDefault="00FE4CBE" w:rsidP="00FC3D23">
            <w:pPr>
              <w:pStyle w:val="VCAAtabletextnarrow"/>
              <w:rPr>
                <w:highlight w:val="lightGray"/>
              </w:rPr>
            </w:pPr>
            <w:r w:rsidRPr="00C157C2">
              <w:t>Recognition of the capabilities as building academic excellence and equity varies within the school among leadership, teachers and students. Isolated staff or teams may be planning for capabilities delivery.</w:t>
            </w:r>
          </w:p>
        </w:tc>
        <w:tc>
          <w:tcPr>
            <w:tcW w:w="2943" w:type="dxa"/>
            <w:shd w:val="clear" w:color="auto" w:fill="FFFFFF"/>
          </w:tcPr>
          <w:p w14:paraId="06B72858" w14:textId="77777777" w:rsidR="00FE4CBE" w:rsidRPr="00C157C2" w:rsidRDefault="00FE4CBE" w:rsidP="00FC3D23">
            <w:pPr>
              <w:pStyle w:val="VCAAtabletextnarrow"/>
            </w:pPr>
            <w:r w:rsidRPr="00C157C2">
              <w:t>Teams or faculties recognise their responsibility for teaching and assessment of the capabilities but there is a silo approach to curriculum planning.</w:t>
            </w:r>
          </w:p>
          <w:p w14:paraId="3B937C14" w14:textId="77777777" w:rsidR="00FE4CBE" w:rsidRPr="00C157C2" w:rsidRDefault="00FE4CBE" w:rsidP="00FC3D23">
            <w:pPr>
              <w:pStyle w:val="VCAAtabletextnarrow"/>
              <w:rPr>
                <w:highlight w:val="lightGray"/>
              </w:rPr>
            </w:pPr>
            <w:r w:rsidRPr="00C157C2">
              <w:t>There may be strong links to learning areas identified but this is not well documented.</w:t>
            </w:r>
          </w:p>
        </w:tc>
        <w:tc>
          <w:tcPr>
            <w:tcW w:w="2943" w:type="dxa"/>
            <w:shd w:val="clear" w:color="auto" w:fill="FFFFFF"/>
          </w:tcPr>
          <w:p w14:paraId="240BE961" w14:textId="77777777" w:rsidR="00FE4CBE" w:rsidRPr="00C157C2" w:rsidRDefault="00FE4CBE" w:rsidP="00FC3D23">
            <w:pPr>
              <w:pStyle w:val="VCAAtabletextnarrow"/>
              <w:rPr>
                <w:highlight w:val="lightGray"/>
              </w:rPr>
            </w:pPr>
            <w:r w:rsidRPr="00C157C2">
              <w:t>Teams or faculties work together to develop and document programs that provide equity of access to the capabilities within and between each year level and foster academic excellence and holistic learning.</w:t>
            </w:r>
          </w:p>
        </w:tc>
        <w:tc>
          <w:tcPr>
            <w:tcW w:w="2937" w:type="dxa"/>
            <w:shd w:val="clear" w:color="auto" w:fill="FFFFFF"/>
          </w:tcPr>
          <w:p w14:paraId="7804E71B" w14:textId="77777777" w:rsidR="00FE4CBE" w:rsidRPr="00C157C2" w:rsidRDefault="00FE4CBE" w:rsidP="00FC3D23">
            <w:pPr>
              <w:pStyle w:val="VCAAtabletextnarrow"/>
            </w:pPr>
            <w:r w:rsidRPr="00C157C2">
              <w:t xml:space="preserve">High level curriculum plans align with individual programs vertically and horizontally across year levels, showing a coordinated approach to provision of a range of rich programs for the introduction and application of the capabilities. </w:t>
            </w:r>
          </w:p>
          <w:p w14:paraId="6F22F1D7" w14:textId="77777777" w:rsidR="00FE4CBE" w:rsidRPr="00C157C2" w:rsidRDefault="00FE4CBE" w:rsidP="00FC3D23">
            <w:pPr>
              <w:pStyle w:val="VCAAtabletextnarrow"/>
              <w:rPr>
                <w:highlight w:val="lightGray"/>
              </w:rPr>
            </w:pPr>
            <w:r w:rsidRPr="00C157C2">
              <w:t xml:space="preserve">Data is gathered to assist in strengthening curriculum mapping.  </w:t>
            </w:r>
          </w:p>
        </w:tc>
        <w:tc>
          <w:tcPr>
            <w:tcW w:w="4473" w:type="dxa"/>
            <w:shd w:val="clear" w:color="auto" w:fill="FFFFFF"/>
          </w:tcPr>
          <w:p w14:paraId="2AA4A8D6" w14:textId="77777777" w:rsidR="00FE4CBE" w:rsidRPr="00C157C2" w:rsidRDefault="00FE4CBE" w:rsidP="00FC3D23">
            <w:pPr>
              <w:pStyle w:val="VCAAtabletextnarrow"/>
            </w:pPr>
          </w:p>
        </w:tc>
        <w:tc>
          <w:tcPr>
            <w:tcW w:w="4474" w:type="dxa"/>
            <w:shd w:val="clear" w:color="auto" w:fill="FFFFFF"/>
          </w:tcPr>
          <w:p w14:paraId="6A4BC338" w14:textId="77777777" w:rsidR="00FE4CBE" w:rsidRPr="00C157C2" w:rsidRDefault="00FE4CBE" w:rsidP="00FC3D23">
            <w:pPr>
              <w:pStyle w:val="VCAAtabletextnarrow"/>
            </w:pPr>
          </w:p>
        </w:tc>
      </w:tr>
      <w:tr w:rsidR="001C4D44" w:rsidRPr="001F53C4" w14:paraId="08893570" w14:textId="778D1EEC" w:rsidTr="001C4D44">
        <w:trPr>
          <w:trHeight w:val="5073"/>
          <w:jc w:val="center"/>
        </w:trPr>
        <w:tc>
          <w:tcPr>
            <w:tcW w:w="1985" w:type="dxa"/>
            <w:tcBorders>
              <w:top w:val="single" w:sz="8" w:space="0" w:color="auto"/>
              <w:left w:val="single" w:sz="8" w:space="0" w:color="auto"/>
              <w:bottom w:val="single" w:sz="8" w:space="0" w:color="auto"/>
            </w:tcBorders>
            <w:shd w:val="clear" w:color="auto" w:fill="FFFFFF"/>
          </w:tcPr>
          <w:p w14:paraId="074D7C53" w14:textId="77777777" w:rsidR="00FE4CBE" w:rsidRPr="006F5DE5" w:rsidRDefault="00FE4CBE" w:rsidP="00FC3D23">
            <w:pPr>
              <w:pStyle w:val="VCAAtabletextnarrow"/>
              <w:rPr>
                <w:b/>
              </w:rPr>
            </w:pPr>
            <w:r w:rsidRPr="006F5DE5">
              <w:rPr>
                <w:b/>
              </w:rPr>
              <w:t>Explicit teaching and assessment</w:t>
            </w:r>
          </w:p>
        </w:tc>
        <w:tc>
          <w:tcPr>
            <w:tcW w:w="2920" w:type="dxa"/>
            <w:shd w:val="clear" w:color="auto" w:fill="FFFFFF"/>
          </w:tcPr>
          <w:p w14:paraId="42A72AFC" w14:textId="77777777" w:rsidR="00FE4CBE" w:rsidRPr="00C157C2" w:rsidRDefault="00FE4CBE" w:rsidP="00FC3D23">
            <w:pPr>
              <w:pStyle w:val="VCAAtabletextnarrow"/>
            </w:pPr>
            <w:r w:rsidRPr="00C157C2">
              <w:t>Capabilities are embedded in some programs but they may lack explicit unpacking of content, leading to difficulties in assessment. Program design relies on individual students encountering incidental opportunities to develop the capabilities, leading to inequitable access across a cohort.</w:t>
            </w:r>
          </w:p>
          <w:p w14:paraId="2228CD2E" w14:textId="77777777" w:rsidR="00FE4CBE" w:rsidRPr="00C157C2" w:rsidRDefault="00FE4CBE" w:rsidP="00FC3D23">
            <w:pPr>
              <w:pStyle w:val="VCAAtabletextnarrow"/>
              <w:rPr>
                <w:highlight w:val="lightGray"/>
              </w:rPr>
            </w:pPr>
            <w:r w:rsidRPr="00C157C2">
              <w:t xml:space="preserve">Effective pedagogies and assessment methods are being trialled by individuals, potentially without the knowledge of colleagues. </w:t>
            </w:r>
          </w:p>
        </w:tc>
        <w:tc>
          <w:tcPr>
            <w:tcW w:w="2943" w:type="dxa"/>
            <w:shd w:val="clear" w:color="auto" w:fill="FFFFFF"/>
          </w:tcPr>
          <w:p w14:paraId="12542A11" w14:textId="77777777" w:rsidR="00FE4CBE" w:rsidRPr="00C157C2" w:rsidRDefault="00FE4CBE" w:rsidP="00FC3D23">
            <w:pPr>
              <w:pStyle w:val="VCAAtabletextnarrow"/>
            </w:pPr>
            <w:r w:rsidRPr="00C157C2">
              <w:t xml:space="preserve">There is a shared understanding throughout the school of what explicit teaching and assessment of the capabilities involves. </w:t>
            </w:r>
          </w:p>
          <w:p w14:paraId="41DE852C" w14:textId="77777777" w:rsidR="00FE4CBE" w:rsidRPr="00C157C2" w:rsidRDefault="00FE4CBE" w:rsidP="00FC3D23">
            <w:pPr>
              <w:pStyle w:val="VCAAtabletextnarrow"/>
            </w:pPr>
            <w:r w:rsidRPr="00C157C2">
              <w:t xml:space="preserve">Teachers work collaboratively to build expertise in unpacking capabilities content.  </w:t>
            </w:r>
          </w:p>
          <w:p w14:paraId="10A7CF44" w14:textId="77777777" w:rsidR="00FE4CBE" w:rsidRPr="00C157C2" w:rsidRDefault="00FE4CBE" w:rsidP="00FC3D23">
            <w:pPr>
              <w:pStyle w:val="VCAAtabletextnarrow"/>
              <w:rPr>
                <w:highlight w:val="lightGray"/>
              </w:rPr>
            </w:pPr>
            <w:r w:rsidRPr="00C157C2">
              <w:t>Pedagogy and assessment method successes are shared, reviewed and built into new programs.</w:t>
            </w:r>
          </w:p>
        </w:tc>
        <w:tc>
          <w:tcPr>
            <w:tcW w:w="2943" w:type="dxa"/>
            <w:shd w:val="clear" w:color="auto" w:fill="FFFFFF"/>
          </w:tcPr>
          <w:p w14:paraId="10C714DC" w14:textId="77777777" w:rsidR="00FE4CBE" w:rsidRPr="00C157C2" w:rsidRDefault="00FE4CBE" w:rsidP="00FC3D23">
            <w:pPr>
              <w:pStyle w:val="VCAAtabletextnarrow"/>
            </w:pPr>
            <w:r w:rsidRPr="00C157C2">
              <w:t xml:space="preserve">Teachers have deep expertise in unpacking the content underpinning relevant capabilities. </w:t>
            </w:r>
          </w:p>
          <w:p w14:paraId="4077F564" w14:textId="77777777" w:rsidR="00FE4CBE" w:rsidRPr="00C157C2" w:rsidRDefault="00FE4CBE" w:rsidP="00FC3D23">
            <w:pPr>
              <w:pStyle w:val="VCAAtabletextnarrow"/>
            </w:pPr>
            <w:r w:rsidRPr="00C157C2">
              <w:t xml:space="preserve">Individual program design reflects principles of equity and academic excellence, providing all students with challenging opportunities to further develop the capabilities and to apply capabilities to deepen their understanding of learning area contexts. </w:t>
            </w:r>
          </w:p>
          <w:p w14:paraId="550DE361" w14:textId="77777777" w:rsidR="00FE4CBE" w:rsidRPr="00C157C2" w:rsidRDefault="00FE4CBE" w:rsidP="00FC3D23">
            <w:pPr>
              <w:pStyle w:val="VCAAtabletextnarrow"/>
              <w:rPr>
                <w:highlight w:val="lightGray"/>
              </w:rPr>
            </w:pPr>
            <w:r w:rsidRPr="00C157C2">
              <w:t>A variety of effective pedagogies and assessment methods are experienced by students within and across programs.</w:t>
            </w:r>
          </w:p>
        </w:tc>
        <w:tc>
          <w:tcPr>
            <w:tcW w:w="2937" w:type="dxa"/>
            <w:shd w:val="clear" w:color="auto" w:fill="FFFFFF"/>
          </w:tcPr>
          <w:p w14:paraId="10D8E937" w14:textId="77777777" w:rsidR="00FE4CBE" w:rsidRPr="00C157C2" w:rsidRDefault="00FE4CBE" w:rsidP="00FC3D23">
            <w:pPr>
              <w:pStyle w:val="VCAAtabletextnarrow"/>
            </w:pPr>
            <w:r w:rsidRPr="00C157C2">
              <w:t xml:space="preserve">Teachers creatively generate and adapt resources, pedagogies and assessment methods to challenge students. </w:t>
            </w:r>
          </w:p>
          <w:p w14:paraId="6C77A8D0" w14:textId="77777777" w:rsidR="00FE4CBE" w:rsidRPr="00C157C2" w:rsidRDefault="00FE4CBE" w:rsidP="00FC3D23">
            <w:pPr>
              <w:pStyle w:val="VCAAtabletextnarrow"/>
            </w:pPr>
            <w:r w:rsidRPr="00C157C2">
              <w:t>They collaborate on programs that develop a capability in a rich way across more than one learning area context.</w:t>
            </w:r>
          </w:p>
          <w:p w14:paraId="4594187E" w14:textId="77777777" w:rsidR="00FE4CBE" w:rsidRPr="00C157C2" w:rsidRDefault="00FE4CBE" w:rsidP="00FC3D23">
            <w:pPr>
              <w:pStyle w:val="VCAAtabletextnarrow"/>
              <w:rPr>
                <w:highlight w:val="lightGray"/>
              </w:rPr>
            </w:pPr>
            <w:r w:rsidRPr="00C157C2">
              <w:t>Teachers track assessment, from the introduction of new capabilities learning to the application of learning, and regularly review practice.</w:t>
            </w:r>
          </w:p>
        </w:tc>
        <w:tc>
          <w:tcPr>
            <w:tcW w:w="4473" w:type="dxa"/>
            <w:shd w:val="clear" w:color="auto" w:fill="FFFFFF"/>
          </w:tcPr>
          <w:p w14:paraId="5D7C6706" w14:textId="77777777" w:rsidR="00FE4CBE" w:rsidRPr="00C157C2" w:rsidRDefault="00FE4CBE" w:rsidP="00FC3D23">
            <w:pPr>
              <w:pStyle w:val="VCAAtabletextnarrow"/>
            </w:pPr>
          </w:p>
        </w:tc>
        <w:tc>
          <w:tcPr>
            <w:tcW w:w="4474" w:type="dxa"/>
            <w:shd w:val="clear" w:color="auto" w:fill="FFFFFF"/>
          </w:tcPr>
          <w:p w14:paraId="7BE82CEE" w14:textId="77777777" w:rsidR="00FE4CBE" w:rsidRPr="00C157C2" w:rsidRDefault="00FE4CBE" w:rsidP="00FC3D23">
            <w:pPr>
              <w:pStyle w:val="VCAAtabletextnarrow"/>
            </w:pPr>
          </w:p>
        </w:tc>
      </w:tr>
      <w:tr w:rsidR="001C4D44" w:rsidRPr="001F53C4" w14:paraId="04B3405C" w14:textId="1510A791" w:rsidTr="001C4D44">
        <w:trPr>
          <w:trHeight w:val="4363"/>
          <w:jc w:val="center"/>
        </w:trPr>
        <w:tc>
          <w:tcPr>
            <w:tcW w:w="1985" w:type="dxa"/>
            <w:tcBorders>
              <w:top w:val="single" w:sz="8" w:space="0" w:color="auto"/>
              <w:left w:val="single" w:sz="8" w:space="0" w:color="auto"/>
              <w:bottom w:val="single" w:sz="4" w:space="0" w:color="auto"/>
            </w:tcBorders>
            <w:shd w:val="clear" w:color="auto" w:fill="FFFFFF"/>
          </w:tcPr>
          <w:p w14:paraId="12D3BE84" w14:textId="77777777" w:rsidR="00FE4CBE" w:rsidRPr="006F5DE5" w:rsidRDefault="00FE4CBE" w:rsidP="00FC3D23">
            <w:pPr>
              <w:pStyle w:val="VCAAtabletextnarrow"/>
              <w:rPr>
                <w:b/>
              </w:rPr>
            </w:pPr>
            <w:r w:rsidRPr="006F5DE5">
              <w:rPr>
                <w:b/>
              </w:rPr>
              <w:t>Transfer of learning</w:t>
            </w:r>
          </w:p>
        </w:tc>
        <w:tc>
          <w:tcPr>
            <w:tcW w:w="2920" w:type="dxa"/>
            <w:shd w:val="clear" w:color="auto" w:fill="FFFFFF"/>
          </w:tcPr>
          <w:p w14:paraId="6040839A" w14:textId="77777777" w:rsidR="00FE4CBE" w:rsidRPr="00C157C2" w:rsidRDefault="00FE4CBE" w:rsidP="00FC3D23">
            <w:pPr>
              <w:pStyle w:val="VCAAtabletextnarrow"/>
            </w:pPr>
            <w:r w:rsidRPr="00C157C2">
              <w:t xml:space="preserve">Teaching for transfer occurs within some learning areas but not for the capabilities and for lifelong learning. </w:t>
            </w:r>
          </w:p>
          <w:p w14:paraId="260586E2" w14:textId="77777777" w:rsidR="00FE4CBE" w:rsidRPr="00C157C2" w:rsidRDefault="00FE4CBE" w:rsidP="00FC3D23">
            <w:pPr>
              <w:pStyle w:val="VCAAtabletextnarrow"/>
              <w:rPr>
                <w:highlight w:val="lightGray"/>
              </w:rPr>
            </w:pPr>
            <w:r w:rsidRPr="00C157C2">
              <w:t>The importance of teaching for transfer and strategies for enabling transfer are understood unevenly within the school and may be expected to happen automatically for students.</w:t>
            </w:r>
          </w:p>
        </w:tc>
        <w:tc>
          <w:tcPr>
            <w:tcW w:w="2943" w:type="dxa"/>
            <w:shd w:val="clear" w:color="auto" w:fill="FFFFFF"/>
          </w:tcPr>
          <w:p w14:paraId="3D146112" w14:textId="77777777" w:rsidR="00FE4CBE" w:rsidRPr="00C157C2" w:rsidRDefault="00FE4CBE" w:rsidP="00FC3D23">
            <w:pPr>
              <w:pStyle w:val="VCAAtabletextnarrow"/>
            </w:pPr>
            <w:r w:rsidRPr="00C157C2">
              <w:t xml:space="preserve">Staff work together to identify opportunities for effective transfer of learning between the capabilities and learning areas and for lifelong learning. </w:t>
            </w:r>
          </w:p>
          <w:p w14:paraId="51DCC8A1" w14:textId="77777777" w:rsidR="00FE4CBE" w:rsidRPr="00C157C2" w:rsidRDefault="00FE4CBE" w:rsidP="00FC3D23">
            <w:pPr>
              <w:pStyle w:val="VCAAtabletextnarrow"/>
              <w:rPr>
                <w:highlight w:val="lightGray"/>
              </w:rPr>
            </w:pPr>
            <w:r w:rsidRPr="00C157C2">
              <w:t>Strategies are developed in response to anticipated challenges for teachers and students in managing transfer effectively.</w:t>
            </w:r>
          </w:p>
        </w:tc>
        <w:tc>
          <w:tcPr>
            <w:tcW w:w="2943" w:type="dxa"/>
            <w:shd w:val="clear" w:color="auto" w:fill="FFFFFF"/>
          </w:tcPr>
          <w:p w14:paraId="1E09A135" w14:textId="77777777" w:rsidR="00FE4CBE" w:rsidRPr="00C157C2" w:rsidRDefault="00FE4CBE" w:rsidP="00FC3D23">
            <w:pPr>
              <w:pStyle w:val="VCAAtabletextnarrow"/>
            </w:pPr>
            <w:r w:rsidRPr="00C157C2">
              <w:t xml:space="preserve">Programs are purposefully designed for transfer of learning between the capabilities and learning areas according to student need and sound underlying principles. </w:t>
            </w:r>
          </w:p>
          <w:p w14:paraId="727A2420" w14:textId="77777777" w:rsidR="00FE4CBE" w:rsidRPr="00C157C2" w:rsidRDefault="00FE4CBE" w:rsidP="00FC3D23">
            <w:pPr>
              <w:pStyle w:val="VCAAtabletextnarrow"/>
            </w:pPr>
            <w:r w:rsidRPr="00C157C2">
              <w:t xml:space="preserve">The school culture values transferability between capabilities and learning areas and lifelong learning. </w:t>
            </w:r>
          </w:p>
          <w:p w14:paraId="52C8D077" w14:textId="77777777" w:rsidR="00FE4CBE" w:rsidRPr="00C157C2" w:rsidRDefault="00FE4CBE" w:rsidP="00FC3D23">
            <w:pPr>
              <w:pStyle w:val="VCAAtabletextnarrow"/>
              <w:rPr>
                <w:highlight w:val="lightGray"/>
              </w:rPr>
            </w:pPr>
            <w:r w:rsidRPr="00C157C2">
              <w:t>With prompting from teachers, students strive for transfer of their learning within and across programs.</w:t>
            </w:r>
          </w:p>
        </w:tc>
        <w:tc>
          <w:tcPr>
            <w:tcW w:w="2937" w:type="dxa"/>
            <w:shd w:val="clear" w:color="auto" w:fill="FFFFFF"/>
          </w:tcPr>
          <w:p w14:paraId="7CF25459" w14:textId="77777777" w:rsidR="00FE4CBE" w:rsidRPr="00C157C2" w:rsidRDefault="00FE4CBE" w:rsidP="00FC3D23">
            <w:pPr>
              <w:pStyle w:val="VCAAtabletextnarrow"/>
            </w:pPr>
            <w:r w:rsidRPr="00C157C2">
              <w:t>The whole school uses a range of strategies to scaffold transfer of learning, including for lifelong learning.</w:t>
            </w:r>
          </w:p>
          <w:p w14:paraId="779AC27B" w14:textId="77777777" w:rsidR="00FE4CBE" w:rsidRPr="00C157C2" w:rsidRDefault="00FE4CBE" w:rsidP="00FC3D23">
            <w:pPr>
              <w:pStyle w:val="VCAAtabletextnarrow"/>
              <w:rPr>
                <w:highlight w:val="lightGray"/>
              </w:rPr>
            </w:pPr>
            <w:r w:rsidRPr="00C157C2">
              <w:t>Students and parents value the capabilities, can articulate in a holistic way how they are developing them, and autonomously strive for transfer, with ongoing support given according to need.</w:t>
            </w:r>
          </w:p>
        </w:tc>
        <w:tc>
          <w:tcPr>
            <w:tcW w:w="4473" w:type="dxa"/>
            <w:shd w:val="clear" w:color="auto" w:fill="FFFFFF"/>
          </w:tcPr>
          <w:p w14:paraId="0723D51C" w14:textId="77777777" w:rsidR="00FE4CBE" w:rsidRPr="00C157C2" w:rsidRDefault="00FE4CBE" w:rsidP="00FC3D23">
            <w:pPr>
              <w:pStyle w:val="VCAAtabletextnarrow"/>
            </w:pPr>
          </w:p>
        </w:tc>
        <w:tc>
          <w:tcPr>
            <w:tcW w:w="4474" w:type="dxa"/>
            <w:shd w:val="clear" w:color="auto" w:fill="FFFFFF"/>
          </w:tcPr>
          <w:p w14:paraId="3AF917F4" w14:textId="77777777" w:rsidR="00FE4CBE" w:rsidRPr="00C157C2" w:rsidRDefault="00FE4CBE" w:rsidP="00FC3D23">
            <w:pPr>
              <w:pStyle w:val="VCAAtabletextnarrow"/>
            </w:pPr>
          </w:p>
        </w:tc>
      </w:tr>
    </w:tbl>
    <w:p w14:paraId="3271F43B" w14:textId="77777777" w:rsidR="00263A66" w:rsidRPr="00210AB7" w:rsidRDefault="00263A66" w:rsidP="006F5DE5">
      <w:pPr>
        <w:pStyle w:val="VCAAtabletextnarrow"/>
      </w:pPr>
    </w:p>
    <w:sectPr w:rsidR="00263A66" w:rsidRPr="00210AB7" w:rsidSect="007121AB">
      <w:footerReference w:type="default" r:id="rId23"/>
      <w:pgSz w:w="23814" w:h="16840" w:orient="landscape" w:code="9"/>
      <w:pgMar w:top="567" w:right="567" w:bottom="567" w:left="567" w:header="391" w:footer="36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CED9" w16cex:dateUtc="2021-02-05T03:04:00Z"/>
  <w16cex:commentExtensible w16cex:durableId="23C7CF2B" w16cex:dateUtc="2021-02-05T03:05:00Z"/>
  <w16cex:commentExtensible w16cex:durableId="23C7CFAA" w16cex:dateUtc="2021-02-05T03:07:00Z"/>
  <w16cex:commentExtensible w16cex:durableId="23C7D054" w16cex:dateUtc="2021-02-05T03:10:00Z"/>
  <w16cex:commentExtensible w16cex:durableId="23C7D08F" w16cex:dateUtc="2021-02-05T03:11:00Z"/>
  <w16cex:commentExtensible w16cex:durableId="23C7D0BF" w16cex:dateUtc="2021-02-05T03:12:00Z"/>
  <w16cex:commentExtensible w16cex:durableId="23C7D0E6" w16cex:dateUtc="2021-02-05T03:12:00Z"/>
  <w16cex:commentExtensible w16cex:durableId="23C7D109" w16cex:dateUtc="2021-02-05T03:13:00Z"/>
  <w16cex:commentExtensible w16cex:durableId="23C7D131" w16cex:dateUtc="2021-02-05T03:14:00Z"/>
  <w16cex:commentExtensible w16cex:durableId="23C7D1B3" w16cex:dateUtc="2021-02-05T0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89FBEC" w16cid:durableId="23C7CDAA"/>
  <w16cid:commentId w16cid:paraId="7B43D202" w16cid:durableId="23C7CED9"/>
  <w16cid:commentId w16cid:paraId="27D53F58" w16cid:durableId="23C7CF2B"/>
  <w16cid:commentId w16cid:paraId="6CE0786F" w16cid:durableId="23C7CDAB"/>
  <w16cid:commentId w16cid:paraId="2D3A75A4" w16cid:durableId="23C7CFAA"/>
  <w16cid:commentId w16cid:paraId="7C4FA7B2" w16cid:durableId="23C7CDAC"/>
  <w16cid:commentId w16cid:paraId="16E15373" w16cid:durableId="23C7CDAD"/>
  <w16cid:commentId w16cid:paraId="33E4857C" w16cid:durableId="23C7CDAE"/>
  <w16cid:commentId w16cid:paraId="69FB7363" w16cid:durableId="23C7D054"/>
  <w16cid:commentId w16cid:paraId="36C057D4" w16cid:durableId="23C7CDAF"/>
  <w16cid:commentId w16cid:paraId="3C297270" w16cid:durableId="23C7D08F"/>
  <w16cid:commentId w16cid:paraId="7993F67D" w16cid:durableId="23C7CDB0"/>
  <w16cid:commentId w16cid:paraId="0B796507" w16cid:durableId="23C7D0BF"/>
  <w16cid:commentId w16cid:paraId="4B1790E2" w16cid:durableId="23C7D0E6"/>
  <w16cid:commentId w16cid:paraId="24A097DC" w16cid:durableId="23C7CDB1"/>
  <w16cid:commentId w16cid:paraId="0A8CC9D1" w16cid:durableId="23C7D109"/>
  <w16cid:commentId w16cid:paraId="1C254C39" w16cid:durableId="23C7CDB2"/>
  <w16cid:commentId w16cid:paraId="55E1AE86" w16cid:durableId="23C7CDB3"/>
  <w16cid:commentId w16cid:paraId="1AB8941C" w16cid:durableId="23C7D131"/>
  <w16cid:commentId w16cid:paraId="2319FB19" w16cid:durableId="23C7CDB4"/>
  <w16cid:commentId w16cid:paraId="5DEE4CDA" w16cid:durableId="23C7CDB5"/>
  <w16cid:commentId w16cid:paraId="0F3F30EA" w16cid:durableId="23C7CDB6"/>
  <w16cid:commentId w16cid:paraId="73D3FCCA" w16cid:durableId="23C7D1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E54877" w:rsidRDefault="00E54877" w:rsidP="00304EA1">
      <w:pPr>
        <w:spacing w:after="0" w:line="240" w:lineRule="auto"/>
      </w:pPr>
      <w:r>
        <w:separator/>
      </w:r>
    </w:p>
  </w:endnote>
  <w:endnote w:type="continuationSeparator" w:id="0">
    <w:p w14:paraId="672FC29B" w14:textId="77777777" w:rsidR="00E54877" w:rsidRDefault="00E5487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8788" w:type="dxa"/>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E54877" w:rsidRPr="00D0381D" w14:paraId="69F1967B" w14:textId="77777777" w:rsidTr="00FC3D23">
      <w:tc>
        <w:tcPr>
          <w:tcW w:w="2951" w:type="dxa"/>
          <w:tcMar>
            <w:left w:w="0" w:type="dxa"/>
            <w:right w:w="0" w:type="dxa"/>
          </w:tcMar>
        </w:tcPr>
        <w:p w14:paraId="226E2902" w14:textId="77777777" w:rsidR="00E54877" w:rsidRPr="00D0381D" w:rsidRDefault="00E54877" w:rsidP="00FC3D23">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2894" w:type="dxa"/>
          <w:tcMar>
            <w:left w:w="0" w:type="dxa"/>
            <w:right w:w="0" w:type="dxa"/>
          </w:tcMar>
        </w:tcPr>
        <w:p w14:paraId="7727E6C6" w14:textId="77777777" w:rsidR="00E54877" w:rsidRPr="00D0381D" w:rsidRDefault="00E54877" w:rsidP="00FC3D23">
          <w:pPr>
            <w:pStyle w:val="VCAAbody"/>
            <w:tabs>
              <w:tab w:val="right" w:pos="9639"/>
            </w:tabs>
            <w:spacing w:after="0"/>
            <w:rPr>
              <w:color w:val="999999" w:themeColor="accent2"/>
              <w:sz w:val="18"/>
              <w:szCs w:val="18"/>
            </w:rPr>
          </w:pPr>
        </w:p>
      </w:tc>
      <w:tc>
        <w:tcPr>
          <w:tcW w:w="2943" w:type="dxa"/>
          <w:tcMar>
            <w:left w:w="0" w:type="dxa"/>
            <w:right w:w="0" w:type="dxa"/>
          </w:tcMar>
        </w:tcPr>
        <w:p w14:paraId="50CD2AD9" w14:textId="12DC098F" w:rsidR="00E54877" w:rsidRPr="00D0381D" w:rsidRDefault="00E54877" w:rsidP="00FC3D23">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295B15">
            <w:rPr>
              <w:noProof/>
              <w:color w:val="999999" w:themeColor="accent2"/>
              <w:sz w:val="18"/>
              <w:szCs w:val="18"/>
            </w:rPr>
            <w:t>4</w:t>
          </w:r>
          <w:r w:rsidRPr="00D0381D">
            <w:rPr>
              <w:color w:val="999999" w:themeColor="accent2"/>
              <w:sz w:val="18"/>
              <w:szCs w:val="18"/>
            </w:rPr>
            <w:fldChar w:fldCharType="end"/>
          </w:r>
        </w:p>
      </w:tc>
    </w:tr>
  </w:tbl>
  <w:p w14:paraId="7426C9BE" w14:textId="77777777" w:rsidR="00E54877" w:rsidRPr="00534253" w:rsidRDefault="00E54877" w:rsidP="00FC3D23">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72576" behindDoc="1" locked="1" layoutInCell="1" allowOverlap="1" wp14:anchorId="70DB02BA" wp14:editId="1D04804D">
          <wp:simplePos x="0" y="0"/>
          <wp:positionH relativeFrom="column">
            <wp:posOffset>-727710</wp:posOffset>
          </wp:positionH>
          <wp:positionV relativeFrom="page">
            <wp:posOffset>10061575</wp:posOffset>
          </wp:positionV>
          <wp:extent cx="8797290" cy="624205"/>
          <wp:effectExtent l="0" t="0" r="381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0F166ECB" w14:textId="77777777" w:rsidR="00E54877" w:rsidRPr="00A402BC" w:rsidRDefault="00E54877" w:rsidP="00FC3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9B43E" w14:textId="77777777" w:rsidR="00E54877" w:rsidRDefault="00E54877"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3124"/>
      <w:gridCol w:w="3146"/>
    </w:tblGrid>
    <w:tr w:rsidR="00E54877" w14:paraId="67DBFA26" w14:textId="77777777" w:rsidTr="00707E68">
      <w:tc>
        <w:tcPr>
          <w:tcW w:w="3285" w:type="dxa"/>
          <w:vAlign w:val="center"/>
        </w:tcPr>
        <w:p w14:paraId="5042C4CF" w14:textId="77777777" w:rsidR="00E54877" w:rsidRPr="00203FB9" w:rsidRDefault="00E54877" w:rsidP="007619E0">
          <w:pPr>
            <w:pStyle w:val="VCAAcaptionsandfootnotes"/>
            <w:tabs>
              <w:tab w:val="right" w:pos="9639"/>
            </w:tabs>
            <w:spacing w:line="240" w:lineRule="auto"/>
            <w:rPr>
              <w:color w:val="C0504D"/>
            </w:rPr>
          </w:pPr>
          <w:hyperlink r:id="rId1" w:history="1">
            <w:r>
              <w:rPr>
                <w:rStyle w:val="Hyperlink"/>
              </w:rPr>
              <w:t>VCAA</w:t>
            </w:r>
          </w:hyperlink>
        </w:p>
      </w:tc>
      <w:tc>
        <w:tcPr>
          <w:tcW w:w="3285" w:type="dxa"/>
          <w:vAlign w:val="center"/>
        </w:tcPr>
        <w:p w14:paraId="2C8516DC" w14:textId="77777777" w:rsidR="00E54877" w:rsidRPr="00203FB9" w:rsidRDefault="00E54877" w:rsidP="00707E68">
          <w:pPr>
            <w:pStyle w:val="VCAAcaptionsandfootnotes"/>
            <w:tabs>
              <w:tab w:val="right" w:pos="9639"/>
            </w:tabs>
            <w:spacing w:line="240" w:lineRule="auto"/>
            <w:jc w:val="center"/>
            <w:rPr>
              <w:color w:val="C0504D"/>
            </w:rPr>
          </w:pPr>
        </w:p>
      </w:tc>
      <w:tc>
        <w:tcPr>
          <w:tcW w:w="3285" w:type="dxa"/>
          <w:vAlign w:val="center"/>
        </w:tcPr>
        <w:p w14:paraId="08CAD1B6" w14:textId="77777777" w:rsidR="00E54877" w:rsidRPr="00203FB9" w:rsidRDefault="00E54877" w:rsidP="00707E68">
          <w:pPr>
            <w:pStyle w:val="VCAAcaptionsandfootnotes"/>
            <w:tabs>
              <w:tab w:val="right" w:pos="9639"/>
            </w:tabs>
            <w:spacing w:line="240" w:lineRule="auto"/>
            <w:jc w:val="right"/>
            <w:rPr>
              <w:color w:val="C0504D"/>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E54877" w:rsidRDefault="00E54877" w:rsidP="00650423">
    <w:pPr>
      <w:pStyle w:val="VCAAcaptionsandfootnotes"/>
      <w:tabs>
        <w:tab w:val="right" w:pos="9639"/>
      </w:tabs>
      <w:spacing w:line="240" w:lineRule="auto"/>
    </w:pPr>
  </w:p>
  <w:p w14:paraId="2873E7F9" w14:textId="77777777" w:rsidR="00E54877" w:rsidRDefault="00E5487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3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876"/>
      <w:gridCol w:w="16536"/>
    </w:tblGrid>
    <w:tr w:rsidR="00E54877" w:rsidRPr="00D0381D" w14:paraId="3ED0131E" w14:textId="77777777" w:rsidTr="007121AB">
      <w:tc>
        <w:tcPr>
          <w:tcW w:w="2694" w:type="dxa"/>
          <w:tcMar>
            <w:left w:w="0" w:type="dxa"/>
            <w:right w:w="0" w:type="dxa"/>
          </w:tcMar>
        </w:tcPr>
        <w:p w14:paraId="2D6CA302" w14:textId="77777777" w:rsidR="00E54877" w:rsidRPr="00203FB9" w:rsidRDefault="00E54877" w:rsidP="00D0381D">
          <w:pPr>
            <w:pStyle w:val="VCAAbody"/>
            <w:tabs>
              <w:tab w:val="right" w:pos="9639"/>
            </w:tabs>
            <w:spacing w:after="0"/>
            <w:rPr>
              <w:color w:val="C0504D"/>
              <w:sz w:val="18"/>
              <w:szCs w:val="18"/>
            </w:rPr>
          </w:pPr>
          <w:r w:rsidRPr="00203FB9">
            <w:rPr>
              <w:color w:val="FFFFFF"/>
              <w:sz w:val="18"/>
              <w:szCs w:val="18"/>
            </w:rPr>
            <w:t xml:space="preserve">© </w:t>
          </w:r>
          <w:hyperlink r:id="rId1" w:history="1">
            <w:r w:rsidRPr="00203FB9">
              <w:rPr>
                <w:rStyle w:val="Hyperlink"/>
                <w:color w:val="FFFFFF"/>
                <w:sz w:val="18"/>
                <w:szCs w:val="18"/>
              </w:rPr>
              <w:t>VCAA</w:t>
            </w:r>
          </w:hyperlink>
        </w:p>
      </w:tc>
      <w:tc>
        <w:tcPr>
          <w:tcW w:w="3876" w:type="dxa"/>
          <w:tcMar>
            <w:left w:w="0" w:type="dxa"/>
            <w:right w:w="0" w:type="dxa"/>
          </w:tcMar>
        </w:tcPr>
        <w:p w14:paraId="3BB648BC" w14:textId="77777777" w:rsidR="00E54877" w:rsidRPr="00203FB9" w:rsidRDefault="00E54877" w:rsidP="00D0381D">
          <w:pPr>
            <w:pStyle w:val="VCAAbody"/>
            <w:tabs>
              <w:tab w:val="right" w:pos="9639"/>
            </w:tabs>
            <w:spacing w:after="0"/>
            <w:rPr>
              <w:color w:val="C0504D"/>
              <w:sz w:val="18"/>
              <w:szCs w:val="18"/>
            </w:rPr>
          </w:pPr>
        </w:p>
      </w:tc>
      <w:tc>
        <w:tcPr>
          <w:tcW w:w="16536" w:type="dxa"/>
          <w:tcMar>
            <w:left w:w="0" w:type="dxa"/>
            <w:right w:w="0" w:type="dxa"/>
          </w:tcMar>
        </w:tcPr>
        <w:p w14:paraId="5B11394D" w14:textId="05286331" w:rsidR="00E54877" w:rsidRPr="00EC50C7" w:rsidRDefault="00E54877" w:rsidP="00587F99">
          <w:pPr>
            <w:pStyle w:val="VCAAbody"/>
            <w:tabs>
              <w:tab w:val="right" w:pos="9639"/>
            </w:tabs>
            <w:spacing w:after="0"/>
            <w:ind w:right="1206"/>
            <w:jc w:val="right"/>
            <w:rPr>
              <w:color w:val="auto"/>
              <w:sz w:val="18"/>
              <w:szCs w:val="18"/>
            </w:rPr>
          </w:pPr>
          <w:r w:rsidRPr="00EC50C7">
            <w:rPr>
              <w:color w:val="auto"/>
              <w:sz w:val="18"/>
              <w:szCs w:val="18"/>
            </w:rPr>
            <w:t xml:space="preserve">Page </w:t>
          </w:r>
          <w:r w:rsidRPr="00EC50C7">
            <w:rPr>
              <w:color w:val="auto"/>
              <w:sz w:val="18"/>
              <w:szCs w:val="18"/>
            </w:rPr>
            <w:fldChar w:fldCharType="begin"/>
          </w:r>
          <w:r w:rsidRPr="00EC50C7">
            <w:rPr>
              <w:color w:val="auto"/>
              <w:sz w:val="18"/>
              <w:szCs w:val="18"/>
            </w:rPr>
            <w:instrText xml:space="preserve"> PAGE   \* MERGEFORMAT </w:instrText>
          </w:r>
          <w:r w:rsidRPr="00EC50C7">
            <w:rPr>
              <w:color w:val="auto"/>
              <w:sz w:val="18"/>
              <w:szCs w:val="18"/>
            </w:rPr>
            <w:fldChar w:fldCharType="separate"/>
          </w:r>
          <w:r w:rsidR="00295B15">
            <w:rPr>
              <w:noProof/>
              <w:color w:val="auto"/>
              <w:sz w:val="18"/>
              <w:szCs w:val="18"/>
            </w:rPr>
            <w:t>5</w:t>
          </w:r>
          <w:r w:rsidRPr="00EC50C7">
            <w:rPr>
              <w:color w:val="auto"/>
              <w:sz w:val="18"/>
              <w:szCs w:val="18"/>
            </w:rPr>
            <w:fldChar w:fldCharType="end"/>
          </w:r>
        </w:p>
      </w:tc>
    </w:tr>
  </w:tbl>
  <w:p w14:paraId="4F7A3F10" w14:textId="06A58395" w:rsidR="00E54877" w:rsidRPr="00534253" w:rsidRDefault="00E54877"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3360" behindDoc="1" locked="1" layoutInCell="1" allowOverlap="1" wp14:anchorId="2C745078" wp14:editId="097D81C2">
          <wp:simplePos x="0" y="0"/>
          <wp:positionH relativeFrom="column">
            <wp:posOffset>-1304290</wp:posOffset>
          </wp:positionH>
          <wp:positionV relativeFrom="page">
            <wp:posOffset>10071100</wp:posOffset>
          </wp:positionV>
          <wp:extent cx="8797290" cy="62611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E54877" w:rsidRDefault="00E54877" w:rsidP="00304EA1">
      <w:pPr>
        <w:spacing w:after="0" w:line="240" w:lineRule="auto"/>
      </w:pPr>
      <w:r>
        <w:separator/>
      </w:r>
    </w:p>
  </w:footnote>
  <w:footnote w:type="continuationSeparator" w:id="0">
    <w:p w14:paraId="50882BCF" w14:textId="77777777" w:rsidR="00E54877" w:rsidRDefault="00E5487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033020967"/>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Content>
      <w:p w14:paraId="742A87F3" w14:textId="0F7DE178" w:rsidR="00E54877" w:rsidRPr="00322123" w:rsidRDefault="00E54877" w:rsidP="00A11696">
        <w:pPr>
          <w:pStyle w:val="VCAAbody"/>
        </w:pPr>
        <w:r>
          <w:t>A whole-school approach to implementation of the capabilities – a self-assessment tool</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24CE" w14:textId="77777777" w:rsidR="00E54877" w:rsidRDefault="00E54877"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6C2C31C4" w:rsidR="00E54877" w:rsidRPr="00322123" w:rsidRDefault="00E54877" w:rsidP="00881105">
    <w:pPr>
      <w:pStyle w:val="VCAAbody"/>
      <w:tabs>
        <w:tab w:val="left" w:pos="3820"/>
      </w:tabs>
    </w:pPr>
    <w:sdt>
      <w:sdtPr>
        <w:alias w:val="Title"/>
        <w:tag w:val=""/>
        <w:id w:val="1684396694"/>
        <w:dataBinding w:prefixMappings="xmlns:ns0='http://purl.org/dc/elements/1.1/' xmlns:ns1='http://schemas.openxmlformats.org/package/2006/metadata/core-properties' " w:xpath="/ns1:coreProperties[1]/ns0:title[1]" w:storeItemID="{6C3C8BC8-F283-45AE-878A-BAB7291924A1}"/>
        <w:text/>
      </w:sdtPr>
      <w:sdtContent>
        <w:r>
          <w:t>A whole-school approach to implementation of the capabilities – a self-assessment tool</w:t>
        </w:r>
      </w:sdtContent>
    </w:sdt>
    <w:r w:rsidRPr="00E44381">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57B287C7" w:rsidR="00E54877" w:rsidRPr="00210AB7" w:rsidRDefault="00E54877" w:rsidP="00C73F9D">
    <w:pPr>
      <w:pStyle w:val="VCAADocumenttitle"/>
    </w:pPr>
    <w:r>
      <w:fldChar w:fldCharType="begin"/>
    </w:r>
    <w:r>
      <w:instrText xml:space="preserve"> REF doc_title \h </w:instrText>
    </w:r>
    <w:r>
      <w:fldChar w:fldCharType="separate"/>
    </w:r>
    <w:sdt>
      <w:sdtPr>
        <w:rPr>
          <w:lang w:eastAsia="en-US"/>
        </w:rPr>
        <w:alias w:val="Title"/>
        <w:tag w:val=""/>
        <w:id w:val="797653573"/>
        <w:dataBinding w:prefixMappings="xmlns:ns0='http://purl.org/dc/elements/1.1/' xmlns:ns1='http://schemas.openxmlformats.org/package/2006/metadata/core-properties' " w:xpath="/ns1:coreProperties[1]/ns0:title[1]" w:storeItemID="{6C3C8BC8-F283-45AE-878A-BAB7291924A1}"/>
        <w:text/>
      </w:sdtPr>
      <w:sdtContent>
        <w:r>
          <w:rPr>
            <w:lang w:eastAsia="en-US"/>
          </w:rPr>
          <w:t>A whole-school approach to implementation of the capabilities – a self-assessment tool</w:t>
        </w:r>
      </w:sdtContent>
    </w:sdt>
  </w:p>
  <w:p w14:paraId="6DE0A82C" w14:textId="77777777" w:rsidR="00E54877" w:rsidRPr="00C73F9D" w:rsidRDefault="00E54877"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50A3"/>
    <w:multiLevelType w:val="hybridMultilevel"/>
    <w:tmpl w:val="5790C5A0"/>
    <w:lvl w:ilvl="0" w:tplc="0E5AF068">
      <w:start w:val="1"/>
      <w:numFmt w:val="lowerRoman"/>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B75353"/>
    <w:multiLevelType w:val="hybridMultilevel"/>
    <w:tmpl w:val="4D869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6"/>
  </w:num>
  <w:num w:numId="4">
    <w:abstractNumId w:val="3"/>
  </w:num>
  <w:num w:numId="5">
    <w:abstractNumId w:val="9"/>
  </w:num>
  <w:num w:numId="6">
    <w:abstractNumId w:val="4"/>
  </w:num>
  <w:num w:numId="7">
    <w:abstractNumId w:val="1"/>
  </w:num>
  <w:num w:numId="8">
    <w:abstractNumId w:val="5"/>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4CF6"/>
    <w:rsid w:val="0003448F"/>
    <w:rsid w:val="0003575C"/>
    <w:rsid w:val="0005780E"/>
    <w:rsid w:val="00061A9D"/>
    <w:rsid w:val="000627E9"/>
    <w:rsid w:val="00065A75"/>
    <w:rsid w:val="00071C35"/>
    <w:rsid w:val="000800BF"/>
    <w:rsid w:val="000862FB"/>
    <w:rsid w:val="000874DB"/>
    <w:rsid w:val="000A71F7"/>
    <w:rsid w:val="000B67E3"/>
    <w:rsid w:val="000F09E4"/>
    <w:rsid w:val="000F16FD"/>
    <w:rsid w:val="000F1D5C"/>
    <w:rsid w:val="000F3A47"/>
    <w:rsid w:val="000F70C1"/>
    <w:rsid w:val="0012390E"/>
    <w:rsid w:val="00124ADA"/>
    <w:rsid w:val="001363D1"/>
    <w:rsid w:val="00142442"/>
    <w:rsid w:val="00143909"/>
    <w:rsid w:val="00163EE0"/>
    <w:rsid w:val="00163FEA"/>
    <w:rsid w:val="001643A6"/>
    <w:rsid w:val="00167DF0"/>
    <w:rsid w:val="001726B3"/>
    <w:rsid w:val="001807AA"/>
    <w:rsid w:val="00182B7F"/>
    <w:rsid w:val="00187C57"/>
    <w:rsid w:val="001907BA"/>
    <w:rsid w:val="001A675F"/>
    <w:rsid w:val="001C453E"/>
    <w:rsid w:val="001C4D44"/>
    <w:rsid w:val="001E625C"/>
    <w:rsid w:val="001F3839"/>
    <w:rsid w:val="001F53C4"/>
    <w:rsid w:val="00203FB9"/>
    <w:rsid w:val="00205431"/>
    <w:rsid w:val="00210AB7"/>
    <w:rsid w:val="002208AD"/>
    <w:rsid w:val="002214BA"/>
    <w:rsid w:val="00223630"/>
    <w:rsid w:val="00223DF2"/>
    <w:rsid w:val="002279BA"/>
    <w:rsid w:val="00231558"/>
    <w:rsid w:val="002329F3"/>
    <w:rsid w:val="002402F1"/>
    <w:rsid w:val="0024128D"/>
    <w:rsid w:val="002420A5"/>
    <w:rsid w:val="00243F0D"/>
    <w:rsid w:val="00244B0A"/>
    <w:rsid w:val="0024682A"/>
    <w:rsid w:val="00253884"/>
    <w:rsid w:val="00263A66"/>
    <w:rsid w:val="002647BB"/>
    <w:rsid w:val="002754C1"/>
    <w:rsid w:val="00277B22"/>
    <w:rsid w:val="00277F02"/>
    <w:rsid w:val="00283969"/>
    <w:rsid w:val="002841C8"/>
    <w:rsid w:val="0028516B"/>
    <w:rsid w:val="00291C6C"/>
    <w:rsid w:val="00292DCA"/>
    <w:rsid w:val="00295B15"/>
    <w:rsid w:val="002B0B48"/>
    <w:rsid w:val="002B1E9E"/>
    <w:rsid w:val="002C6F90"/>
    <w:rsid w:val="002C78B6"/>
    <w:rsid w:val="002D1693"/>
    <w:rsid w:val="002E3552"/>
    <w:rsid w:val="002F27EC"/>
    <w:rsid w:val="00302FB8"/>
    <w:rsid w:val="00304EA1"/>
    <w:rsid w:val="00314D81"/>
    <w:rsid w:val="0031607E"/>
    <w:rsid w:val="00322123"/>
    <w:rsid w:val="00322FC6"/>
    <w:rsid w:val="00324423"/>
    <w:rsid w:val="00347A2A"/>
    <w:rsid w:val="00347CC4"/>
    <w:rsid w:val="00350E9A"/>
    <w:rsid w:val="00356F98"/>
    <w:rsid w:val="00365D51"/>
    <w:rsid w:val="00376890"/>
    <w:rsid w:val="00391986"/>
    <w:rsid w:val="003C185E"/>
    <w:rsid w:val="003C614C"/>
    <w:rsid w:val="003D421C"/>
    <w:rsid w:val="003D57A7"/>
    <w:rsid w:val="00403DB4"/>
    <w:rsid w:val="004072E8"/>
    <w:rsid w:val="00412F60"/>
    <w:rsid w:val="00414011"/>
    <w:rsid w:val="0041688E"/>
    <w:rsid w:val="00417AA3"/>
    <w:rsid w:val="00435440"/>
    <w:rsid w:val="00440B32"/>
    <w:rsid w:val="00444619"/>
    <w:rsid w:val="0046078D"/>
    <w:rsid w:val="004744D7"/>
    <w:rsid w:val="00486292"/>
    <w:rsid w:val="00486C2C"/>
    <w:rsid w:val="0048758C"/>
    <w:rsid w:val="00490290"/>
    <w:rsid w:val="00490726"/>
    <w:rsid w:val="00497054"/>
    <w:rsid w:val="004A017D"/>
    <w:rsid w:val="004A22BC"/>
    <w:rsid w:val="004A2ED8"/>
    <w:rsid w:val="004B0FF4"/>
    <w:rsid w:val="004B4B20"/>
    <w:rsid w:val="004B571B"/>
    <w:rsid w:val="004B7DFF"/>
    <w:rsid w:val="004C205B"/>
    <w:rsid w:val="004C70EF"/>
    <w:rsid w:val="004E1132"/>
    <w:rsid w:val="004E4391"/>
    <w:rsid w:val="004E50EA"/>
    <w:rsid w:val="004F01A5"/>
    <w:rsid w:val="004F45A8"/>
    <w:rsid w:val="004F5BDA"/>
    <w:rsid w:val="00503CBE"/>
    <w:rsid w:val="0051631E"/>
    <w:rsid w:val="00517DAC"/>
    <w:rsid w:val="00531440"/>
    <w:rsid w:val="00534253"/>
    <w:rsid w:val="00542659"/>
    <w:rsid w:val="00555952"/>
    <w:rsid w:val="0055611A"/>
    <w:rsid w:val="00566029"/>
    <w:rsid w:val="00575736"/>
    <w:rsid w:val="005771B0"/>
    <w:rsid w:val="00584AEE"/>
    <w:rsid w:val="00586B33"/>
    <w:rsid w:val="00587F99"/>
    <w:rsid w:val="005923CB"/>
    <w:rsid w:val="005B391B"/>
    <w:rsid w:val="005C3158"/>
    <w:rsid w:val="005C76D0"/>
    <w:rsid w:val="005D3D78"/>
    <w:rsid w:val="005D4C51"/>
    <w:rsid w:val="005E17AB"/>
    <w:rsid w:val="005E2E3C"/>
    <w:rsid w:val="005E2EF0"/>
    <w:rsid w:val="005F504C"/>
    <w:rsid w:val="005F5F44"/>
    <w:rsid w:val="00613DCB"/>
    <w:rsid w:val="00614408"/>
    <w:rsid w:val="00614DE4"/>
    <w:rsid w:val="00616D12"/>
    <w:rsid w:val="00616F15"/>
    <w:rsid w:val="00621305"/>
    <w:rsid w:val="0062553D"/>
    <w:rsid w:val="00632FF9"/>
    <w:rsid w:val="00634764"/>
    <w:rsid w:val="00637FBC"/>
    <w:rsid w:val="00650423"/>
    <w:rsid w:val="00654760"/>
    <w:rsid w:val="00665E92"/>
    <w:rsid w:val="00672AFB"/>
    <w:rsid w:val="00687881"/>
    <w:rsid w:val="00693953"/>
    <w:rsid w:val="00693FFD"/>
    <w:rsid w:val="006A2E04"/>
    <w:rsid w:val="006C4D3D"/>
    <w:rsid w:val="006D2159"/>
    <w:rsid w:val="006D764C"/>
    <w:rsid w:val="006E24E6"/>
    <w:rsid w:val="006F5551"/>
    <w:rsid w:val="006F5DE5"/>
    <w:rsid w:val="006F787C"/>
    <w:rsid w:val="006F7AA0"/>
    <w:rsid w:val="00702636"/>
    <w:rsid w:val="00707E68"/>
    <w:rsid w:val="007121AB"/>
    <w:rsid w:val="00714643"/>
    <w:rsid w:val="0071657E"/>
    <w:rsid w:val="00724507"/>
    <w:rsid w:val="007270FB"/>
    <w:rsid w:val="00740BF0"/>
    <w:rsid w:val="00747608"/>
    <w:rsid w:val="007515F6"/>
    <w:rsid w:val="007528C3"/>
    <w:rsid w:val="00753690"/>
    <w:rsid w:val="007619E0"/>
    <w:rsid w:val="00773E6C"/>
    <w:rsid w:val="007D09CF"/>
    <w:rsid w:val="007D1DE4"/>
    <w:rsid w:val="007D1EA1"/>
    <w:rsid w:val="007D4FB6"/>
    <w:rsid w:val="007E1ED2"/>
    <w:rsid w:val="007E5E88"/>
    <w:rsid w:val="007E6700"/>
    <w:rsid w:val="008018AA"/>
    <w:rsid w:val="00813C37"/>
    <w:rsid w:val="008154B5"/>
    <w:rsid w:val="00823962"/>
    <w:rsid w:val="008309CE"/>
    <w:rsid w:val="008327E9"/>
    <w:rsid w:val="008375FE"/>
    <w:rsid w:val="00850219"/>
    <w:rsid w:val="00851757"/>
    <w:rsid w:val="00852719"/>
    <w:rsid w:val="00852E1E"/>
    <w:rsid w:val="00853A48"/>
    <w:rsid w:val="00860115"/>
    <w:rsid w:val="00861C93"/>
    <w:rsid w:val="008635E6"/>
    <w:rsid w:val="008715F5"/>
    <w:rsid w:val="008810CF"/>
    <w:rsid w:val="00881105"/>
    <w:rsid w:val="008857C4"/>
    <w:rsid w:val="0088783C"/>
    <w:rsid w:val="008926E1"/>
    <w:rsid w:val="008955EB"/>
    <w:rsid w:val="0089628D"/>
    <w:rsid w:val="00896ABD"/>
    <w:rsid w:val="008B352E"/>
    <w:rsid w:val="008C34FB"/>
    <w:rsid w:val="008C5273"/>
    <w:rsid w:val="008D37CA"/>
    <w:rsid w:val="008E031A"/>
    <w:rsid w:val="008F14F7"/>
    <w:rsid w:val="00906913"/>
    <w:rsid w:val="0091624E"/>
    <w:rsid w:val="00916D5D"/>
    <w:rsid w:val="0092268E"/>
    <w:rsid w:val="00934D63"/>
    <w:rsid w:val="009370BC"/>
    <w:rsid w:val="009405B0"/>
    <w:rsid w:val="0095005E"/>
    <w:rsid w:val="0096074C"/>
    <w:rsid w:val="009618FD"/>
    <w:rsid w:val="00965DB4"/>
    <w:rsid w:val="009867C4"/>
    <w:rsid w:val="0098739B"/>
    <w:rsid w:val="009907FF"/>
    <w:rsid w:val="00991B93"/>
    <w:rsid w:val="009920D6"/>
    <w:rsid w:val="00992E02"/>
    <w:rsid w:val="0099573C"/>
    <w:rsid w:val="009A2333"/>
    <w:rsid w:val="009B2C27"/>
    <w:rsid w:val="009C1C16"/>
    <w:rsid w:val="009C57E3"/>
    <w:rsid w:val="009F4F42"/>
    <w:rsid w:val="00A06B65"/>
    <w:rsid w:val="00A11696"/>
    <w:rsid w:val="00A11B99"/>
    <w:rsid w:val="00A138A8"/>
    <w:rsid w:val="00A17661"/>
    <w:rsid w:val="00A2126F"/>
    <w:rsid w:val="00A24B2D"/>
    <w:rsid w:val="00A36276"/>
    <w:rsid w:val="00A40966"/>
    <w:rsid w:val="00A4258D"/>
    <w:rsid w:val="00A45BDC"/>
    <w:rsid w:val="00A5644C"/>
    <w:rsid w:val="00A63987"/>
    <w:rsid w:val="00A710E3"/>
    <w:rsid w:val="00A77D52"/>
    <w:rsid w:val="00A77F1C"/>
    <w:rsid w:val="00A8048E"/>
    <w:rsid w:val="00A921E0"/>
    <w:rsid w:val="00A9769F"/>
    <w:rsid w:val="00AA11FB"/>
    <w:rsid w:val="00AB2543"/>
    <w:rsid w:val="00AB3B67"/>
    <w:rsid w:val="00AB4E23"/>
    <w:rsid w:val="00AD29DB"/>
    <w:rsid w:val="00AE6B28"/>
    <w:rsid w:val="00AE7137"/>
    <w:rsid w:val="00AF1B9E"/>
    <w:rsid w:val="00AF4B2C"/>
    <w:rsid w:val="00B0738F"/>
    <w:rsid w:val="00B10C7A"/>
    <w:rsid w:val="00B26601"/>
    <w:rsid w:val="00B275F7"/>
    <w:rsid w:val="00B352A6"/>
    <w:rsid w:val="00B41951"/>
    <w:rsid w:val="00B45199"/>
    <w:rsid w:val="00B45F66"/>
    <w:rsid w:val="00B465C2"/>
    <w:rsid w:val="00B53229"/>
    <w:rsid w:val="00B60AB6"/>
    <w:rsid w:val="00B60B55"/>
    <w:rsid w:val="00B61AFA"/>
    <w:rsid w:val="00B62480"/>
    <w:rsid w:val="00B65CD8"/>
    <w:rsid w:val="00B67BC5"/>
    <w:rsid w:val="00B81B70"/>
    <w:rsid w:val="00BB238F"/>
    <w:rsid w:val="00BD0245"/>
    <w:rsid w:val="00BD0724"/>
    <w:rsid w:val="00BD4472"/>
    <w:rsid w:val="00BE3DEE"/>
    <w:rsid w:val="00BE54FA"/>
    <w:rsid w:val="00BE5521"/>
    <w:rsid w:val="00BF317A"/>
    <w:rsid w:val="00BF6F4C"/>
    <w:rsid w:val="00C000D6"/>
    <w:rsid w:val="00C01637"/>
    <w:rsid w:val="00C07962"/>
    <w:rsid w:val="00C07D60"/>
    <w:rsid w:val="00C140C4"/>
    <w:rsid w:val="00C157C2"/>
    <w:rsid w:val="00C26679"/>
    <w:rsid w:val="00C34684"/>
    <w:rsid w:val="00C50C6E"/>
    <w:rsid w:val="00C53263"/>
    <w:rsid w:val="00C559A6"/>
    <w:rsid w:val="00C64AD6"/>
    <w:rsid w:val="00C65741"/>
    <w:rsid w:val="00C73F9D"/>
    <w:rsid w:val="00C75BC5"/>
    <w:rsid w:val="00C75F1D"/>
    <w:rsid w:val="00C77220"/>
    <w:rsid w:val="00C805B2"/>
    <w:rsid w:val="00C84CFF"/>
    <w:rsid w:val="00C872AF"/>
    <w:rsid w:val="00C92A53"/>
    <w:rsid w:val="00CA02DD"/>
    <w:rsid w:val="00CA62B0"/>
    <w:rsid w:val="00CC2384"/>
    <w:rsid w:val="00CC53F9"/>
    <w:rsid w:val="00CC7529"/>
    <w:rsid w:val="00CD2EE7"/>
    <w:rsid w:val="00CD454F"/>
    <w:rsid w:val="00CE4547"/>
    <w:rsid w:val="00D021BF"/>
    <w:rsid w:val="00D02B48"/>
    <w:rsid w:val="00D0381D"/>
    <w:rsid w:val="00D1511A"/>
    <w:rsid w:val="00D338E4"/>
    <w:rsid w:val="00D35538"/>
    <w:rsid w:val="00D36042"/>
    <w:rsid w:val="00D37363"/>
    <w:rsid w:val="00D51947"/>
    <w:rsid w:val="00D532F0"/>
    <w:rsid w:val="00D561B3"/>
    <w:rsid w:val="00D652E8"/>
    <w:rsid w:val="00D77413"/>
    <w:rsid w:val="00D77EDB"/>
    <w:rsid w:val="00D82759"/>
    <w:rsid w:val="00D86DE4"/>
    <w:rsid w:val="00D91CAB"/>
    <w:rsid w:val="00D941C2"/>
    <w:rsid w:val="00DA503D"/>
    <w:rsid w:val="00DA6DBB"/>
    <w:rsid w:val="00DB0E44"/>
    <w:rsid w:val="00DB1C96"/>
    <w:rsid w:val="00DB375B"/>
    <w:rsid w:val="00DC632A"/>
    <w:rsid w:val="00DD1AF6"/>
    <w:rsid w:val="00DE2DC6"/>
    <w:rsid w:val="00DF1AF8"/>
    <w:rsid w:val="00DF4B17"/>
    <w:rsid w:val="00DF71BD"/>
    <w:rsid w:val="00E042BA"/>
    <w:rsid w:val="00E139C5"/>
    <w:rsid w:val="00E162D2"/>
    <w:rsid w:val="00E23F1D"/>
    <w:rsid w:val="00E34F5D"/>
    <w:rsid w:val="00E36361"/>
    <w:rsid w:val="00E4133C"/>
    <w:rsid w:val="00E42941"/>
    <w:rsid w:val="00E438E3"/>
    <w:rsid w:val="00E44381"/>
    <w:rsid w:val="00E54877"/>
    <w:rsid w:val="00E55AE9"/>
    <w:rsid w:val="00E73665"/>
    <w:rsid w:val="00E740D5"/>
    <w:rsid w:val="00E7516A"/>
    <w:rsid w:val="00E76D71"/>
    <w:rsid w:val="00E90A60"/>
    <w:rsid w:val="00E94D73"/>
    <w:rsid w:val="00EB1CC2"/>
    <w:rsid w:val="00EB38D0"/>
    <w:rsid w:val="00EB3E4C"/>
    <w:rsid w:val="00EC50C7"/>
    <w:rsid w:val="00ED47BC"/>
    <w:rsid w:val="00EE1A80"/>
    <w:rsid w:val="00EE6A9E"/>
    <w:rsid w:val="00EF3893"/>
    <w:rsid w:val="00F1520E"/>
    <w:rsid w:val="00F177B3"/>
    <w:rsid w:val="00F337AC"/>
    <w:rsid w:val="00F40D53"/>
    <w:rsid w:val="00F4525C"/>
    <w:rsid w:val="00F464D8"/>
    <w:rsid w:val="00F47B7F"/>
    <w:rsid w:val="00F61B8A"/>
    <w:rsid w:val="00F65B85"/>
    <w:rsid w:val="00F67701"/>
    <w:rsid w:val="00F70E0B"/>
    <w:rsid w:val="00F815E7"/>
    <w:rsid w:val="00F81AA4"/>
    <w:rsid w:val="00F823B0"/>
    <w:rsid w:val="00F83DB5"/>
    <w:rsid w:val="00F93694"/>
    <w:rsid w:val="00F9544F"/>
    <w:rsid w:val="00F95799"/>
    <w:rsid w:val="00FA080C"/>
    <w:rsid w:val="00FB56CD"/>
    <w:rsid w:val="00FC2FF6"/>
    <w:rsid w:val="00FC3D23"/>
    <w:rsid w:val="00FD1C20"/>
    <w:rsid w:val="00FE4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EEEB151"/>
  <w15:docId w15:val="{356B73B3-E1D7-4492-8703-46B0E014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8C5273"/>
    <w:pPr>
      <w:spacing w:before="400" w:after="120" w:line="480" w:lineRule="exact"/>
      <w:contextualSpacing/>
      <w:outlineLvl w:val="2"/>
    </w:pPr>
    <w:rPr>
      <w:rFonts w:ascii="Arial" w:hAnsi="Arial" w:cs="Arial"/>
      <w:color w:val="0F7EB4"/>
      <w:sz w:val="32"/>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table" w:customStyle="1" w:styleId="TableGrid1">
    <w:name w:val="Table Grid1"/>
    <w:basedOn w:val="TableNormal"/>
    <w:next w:val="TableGrid"/>
    <w:uiPriority w:val="59"/>
    <w:rsid w:val="00203FB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6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caa.vic.edu.au/curriculum/foundation-10/resources/Pages/OverviewoftheCapabilitie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curriculum/foundation-10/resources/Pages/OverviewoftheCapabilities.asp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vcaa.vic.edu.au/curriculum/foundation-10/resources/Pages/OverviewoftheCapabilities.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vcaa.vic.edu.au/curriculum/foundation-10/resources/Pages/OverviewoftheCapabiliti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01C5E86AB70341C7A67BCD60B5A09F0C"/>
        <w:category>
          <w:name w:val="General"/>
          <w:gallery w:val="placeholder"/>
        </w:category>
        <w:types>
          <w:type w:val="bbPlcHdr"/>
        </w:types>
        <w:behaviors>
          <w:behavior w:val="content"/>
        </w:behaviors>
        <w:guid w:val="{9FFAEF50-D7F7-427F-8E5B-ABC14F1AF316}"/>
      </w:docPartPr>
      <w:docPartBody>
        <w:p w:rsidR="000D2B92" w:rsidRDefault="00B5495D" w:rsidP="00B5495D">
          <w:pPr>
            <w:pStyle w:val="01C5E86AB70341C7A67BCD60B5A09F0C"/>
          </w:pPr>
          <w:r w:rsidRPr="007A01CF">
            <w:rPr>
              <w:rStyle w:val="PlaceholderText"/>
            </w:rPr>
            <w:t>Click or tap here to enter text.</w:t>
          </w:r>
        </w:p>
      </w:docPartBody>
    </w:docPart>
    <w:docPart>
      <w:docPartPr>
        <w:name w:val="D0CC4ECB1AAD4A00841391FBE8CF88FB"/>
        <w:category>
          <w:name w:val="General"/>
          <w:gallery w:val="placeholder"/>
        </w:category>
        <w:types>
          <w:type w:val="bbPlcHdr"/>
        </w:types>
        <w:behaviors>
          <w:behavior w:val="content"/>
        </w:behaviors>
        <w:guid w:val="{DFCA66C6-CFEE-4977-89E4-83C71ED3C35E}"/>
      </w:docPartPr>
      <w:docPartBody>
        <w:p w:rsidR="000D2B92" w:rsidRDefault="00B5495D" w:rsidP="00B5495D">
          <w:pPr>
            <w:pStyle w:val="D0CC4ECB1AAD4A00841391FBE8CF88FB"/>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33D3E"/>
    <w:rsid w:val="000877AD"/>
    <w:rsid w:val="000D2B92"/>
    <w:rsid w:val="00197848"/>
    <w:rsid w:val="004567A0"/>
    <w:rsid w:val="005E556D"/>
    <w:rsid w:val="0081288A"/>
    <w:rsid w:val="00AB7743"/>
    <w:rsid w:val="00B5495D"/>
    <w:rsid w:val="00BF5AD9"/>
    <w:rsid w:val="00E264EE"/>
    <w:rsid w:val="00F91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95D"/>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D8D3BBF157E54E5EB7F617A28903A1F7">
    <w:name w:val="D8D3BBF157E54E5EB7F617A28903A1F7"/>
    <w:rsid w:val="00AB7743"/>
    <w:pPr>
      <w:spacing w:after="160" w:line="259" w:lineRule="auto"/>
    </w:pPr>
    <w:rPr>
      <w:sz w:val="22"/>
      <w:szCs w:val="22"/>
      <w:lang w:eastAsia="en-AU"/>
    </w:rPr>
  </w:style>
  <w:style w:type="paragraph" w:customStyle="1" w:styleId="428B7D833DB843A9A7B6B793E3F7F5B9">
    <w:name w:val="428B7D833DB843A9A7B6B793E3F7F5B9"/>
    <w:rsid w:val="00B5495D"/>
    <w:pPr>
      <w:spacing w:after="160" w:line="259" w:lineRule="auto"/>
    </w:pPr>
    <w:rPr>
      <w:sz w:val="22"/>
      <w:szCs w:val="22"/>
      <w:lang w:eastAsia="en-AU"/>
    </w:rPr>
  </w:style>
  <w:style w:type="paragraph" w:customStyle="1" w:styleId="32A7959B6E914C899EFAC447FB1A7687">
    <w:name w:val="32A7959B6E914C899EFAC447FB1A7687"/>
    <w:rsid w:val="00B5495D"/>
    <w:pPr>
      <w:spacing w:after="160" w:line="259" w:lineRule="auto"/>
    </w:pPr>
    <w:rPr>
      <w:sz w:val="22"/>
      <w:szCs w:val="22"/>
      <w:lang w:eastAsia="en-AU"/>
    </w:rPr>
  </w:style>
  <w:style w:type="paragraph" w:customStyle="1" w:styleId="35208AACFC0F4C1495751B95F241F211">
    <w:name w:val="35208AACFC0F4C1495751B95F241F211"/>
    <w:rsid w:val="00B5495D"/>
    <w:pPr>
      <w:spacing w:after="160" w:line="259" w:lineRule="auto"/>
    </w:pPr>
    <w:rPr>
      <w:sz w:val="22"/>
      <w:szCs w:val="22"/>
      <w:lang w:eastAsia="en-AU"/>
    </w:rPr>
  </w:style>
  <w:style w:type="paragraph" w:customStyle="1" w:styleId="8ECA78633AAF49DFA34AD20689CF3F53">
    <w:name w:val="8ECA78633AAF49DFA34AD20689CF3F53"/>
    <w:rsid w:val="00B5495D"/>
    <w:pPr>
      <w:spacing w:after="160" w:line="259" w:lineRule="auto"/>
    </w:pPr>
    <w:rPr>
      <w:sz w:val="22"/>
      <w:szCs w:val="22"/>
      <w:lang w:eastAsia="en-AU"/>
    </w:rPr>
  </w:style>
  <w:style w:type="paragraph" w:customStyle="1" w:styleId="F2CA3A2FF3664A6A9ADA2C124F7588B1">
    <w:name w:val="F2CA3A2FF3664A6A9ADA2C124F7588B1"/>
    <w:rsid w:val="00B5495D"/>
    <w:pPr>
      <w:spacing w:after="160" w:line="259" w:lineRule="auto"/>
    </w:pPr>
    <w:rPr>
      <w:sz w:val="22"/>
      <w:szCs w:val="22"/>
      <w:lang w:eastAsia="en-AU"/>
    </w:rPr>
  </w:style>
  <w:style w:type="paragraph" w:customStyle="1" w:styleId="01C5E86AB70341C7A67BCD60B5A09F0C">
    <w:name w:val="01C5E86AB70341C7A67BCD60B5A09F0C"/>
    <w:rsid w:val="00B5495D"/>
    <w:pPr>
      <w:spacing w:after="160" w:line="259" w:lineRule="auto"/>
    </w:pPr>
    <w:rPr>
      <w:sz w:val="22"/>
      <w:szCs w:val="22"/>
      <w:lang w:eastAsia="en-AU"/>
    </w:rPr>
  </w:style>
  <w:style w:type="paragraph" w:customStyle="1" w:styleId="D0CC4ECB1AAD4A00841391FBE8CF88FB">
    <w:name w:val="D0CC4ECB1AAD4A00841391FBE8CF88FB"/>
    <w:rsid w:val="00B5495D"/>
    <w:pPr>
      <w:spacing w:after="160" w:line="259" w:lineRule="auto"/>
    </w:pPr>
    <w:rPr>
      <w:sz w:val="22"/>
      <w:szCs w:val="22"/>
      <w:lang w:eastAsia="en-AU"/>
    </w:rPr>
  </w:style>
  <w:style w:type="paragraph" w:customStyle="1" w:styleId="BE55E6F2DAE74DC4B1AC5C499651F0C1">
    <w:name w:val="BE55E6F2DAE74DC4B1AC5C499651F0C1"/>
    <w:rsid w:val="00B5495D"/>
    <w:pPr>
      <w:spacing w:after="160" w:line="259" w:lineRule="auto"/>
    </w:pPr>
    <w:rPr>
      <w:sz w:val="22"/>
      <w:szCs w:val="22"/>
      <w:lang w:eastAsia="en-AU"/>
    </w:rPr>
  </w:style>
  <w:style w:type="paragraph" w:customStyle="1" w:styleId="4B35E7292C604C10983756D555C5139A">
    <w:name w:val="4B35E7292C604C10983756D555C5139A"/>
    <w:rsid w:val="00B5495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F5B95-FF25-436A-8E44-F87D0B192FB1}"/>
</file>

<file path=customXml/itemProps2.xml><?xml version="1.0" encoding="utf-8"?>
<ds:datastoreItem xmlns:ds="http://schemas.openxmlformats.org/officeDocument/2006/customXml" ds:itemID="{812769B4-CBF1-4D22-98EF-21FBAC968977}">
  <ds:schemaRefs>
    <ds:schemaRef ds:uri="http://schemas.microsoft.com/sharepoint/v3/contenttype/forms"/>
  </ds:schemaRefs>
</ds:datastoreItem>
</file>

<file path=customXml/itemProps3.xml><?xml version="1.0" encoding="utf-8"?>
<ds:datastoreItem xmlns:ds="http://schemas.openxmlformats.org/officeDocument/2006/customXml" ds:itemID="{A8581910-CC03-4050-B04C-8E252F54F1A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823A6FB-CA2C-44AD-8ED7-99E4382D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 whole-school approach to implementation of the capabilities – a self-assessment tool</vt:lpstr>
    </vt:vector>
  </TitlesOfParts>
  <Company>VCAA</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whole-school approach to implementation of the capabilities – a self-assessment tool</dc:title>
  <dc:creator>vcaa@education.vic.gov.au</dc:creator>
  <cp:keywords>Victorian Curriculum; capabilities</cp:keywords>
  <cp:lastModifiedBy>Garner, Georgina K</cp:lastModifiedBy>
  <cp:revision>6</cp:revision>
  <dcterms:created xsi:type="dcterms:W3CDTF">2021-02-10T22:44:00Z</dcterms:created>
  <dcterms:modified xsi:type="dcterms:W3CDTF">2021-02-10T22:57:00Z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