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97" w:rsidRPr="00AE665C" w:rsidRDefault="009A2797" w:rsidP="009A2797">
      <w:pPr>
        <w:pStyle w:val="Heading2"/>
        <w:jc w:val="center"/>
        <w:rPr>
          <w:rFonts w:ascii="Tahoma" w:hAnsi="Tahoma" w:cs="Tahoma"/>
          <w:i w:val="0"/>
          <w:color w:val="4F81BD"/>
          <w:sz w:val="40"/>
          <w:szCs w:val="40"/>
        </w:rPr>
      </w:pPr>
      <w:bookmarkStart w:id="0" w:name="_GoBack"/>
      <w:bookmarkEnd w:id="0"/>
      <w:r>
        <w:rPr>
          <w:rFonts w:ascii="Tahoma" w:hAnsi="Tahoma" w:cs="Tahoma"/>
          <w:i w:val="0"/>
          <w:color w:val="4F81BD"/>
          <w:sz w:val="40"/>
          <w:szCs w:val="40"/>
        </w:rPr>
        <w:t xml:space="preserve">Health and Physical Education and Personal and Social Capability, including Respectful Relationships – </w:t>
      </w:r>
      <w:r>
        <w:rPr>
          <w:rFonts w:ascii="Tahoma" w:hAnsi="Tahoma" w:cs="Tahoma"/>
          <w:i w:val="0"/>
          <w:color w:val="4F81BD"/>
          <w:sz w:val="40"/>
          <w:szCs w:val="40"/>
        </w:rPr>
        <w:br/>
      </w:r>
      <w:r w:rsidR="00837FE0">
        <w:rPr>
          <w:rFonts w:ascii="Tahoma" w:hAnsi="Tahoma" w:cs="Tahoma"/>
          <w:i w:val="0"/>
          <w:color w:val="4F81BD"/>
          <w:sz w:val="40"/>
          <w:szCs w:val="40"/>
        </w:rPr>
        <w:t>Two-way Planning</w:t>
      </w:r>
    </w:p>
    <w:p w:rsidR="00D1695A" w:rsidRPr="00C13AF5" w:rsidRDefault="00D1695A" w:rsidP="003939F0">
      <w:pPr>
        <w:ind w:right="2953"/>
        <w:rPr>
          <w:rFonts w:ascii="Tahoma" w:hAnsi="Tahoma" w:cs="Tahoma"/>
          <w:b/>
          <w:sz w:val="24"/>
          <w:szCs w:val="24"/>
        </w:rPr>
      </w:pPr>
    </w:p>
    <w:p w:rsidR="00C13AF5" w:rsidRDefault="00C13AF5" w:rsidP="00C13AF5">
      <w:pPr>
        <w:rPr>
          <w:rFonts w:ascii="Tahoma" w:hAnsi="Tahoma" w:cs="Tahoma"/>
          <w:sz w:val="24"/>
          <w:szCs w:val="24"/>
        </w:rPr>
      </w:pPr>
    </w:p>
    <w:p w:rsidR="00C25226" w:rsidRPr="00C13AF5" w:rsidRDefault="00C25226" w:rsidP="00C13AF5">
      <w:pPr>
        <w:rPr>
          <w:rFonts w:ascii="Tahoma" w:hAnsi="Tahoma" w:cs="Tahoma"/>
          <w:sz w:val="24"/>
          <w:szCs w:val="24"/>
        </w:rPr>
      </w:pPr>
    </w:p>
    <w:p w:rsidR="00837FE0" w:rsidRDefault="00837FE0" w:rsidP="00837FE0">
      <w:pPr>
        <w:rPr>
          <w:rFonts w:ascii="Tahoma" w:hAnsi="Tahoma" w:cs="Tahoma"/>
          <w:sz w:val="24"/>
          <w:szCs w:val="24"/>
        </w:rPr>
      </w:pPr>
      <w:r w:rsidRPr="00837FE0">
        <w:rPr>
          <w:rFonts w:ascii="Tahoma" w:hAnsi="Tahoma" w:cs="Tahoma"/>
          <w:sz w:val="24"/>
          <w:szCs w:val="24"/>
        </w:rPr>
        <w:t xml:space="preserve">Hi. </w:t>
      </w:r>
      <w:proofErr w:type="gramStart"/>
      <w:r w:rsidRPr="00837FE0">
        <w:rPr>
          <w:rFonts w:ascii="Tahoma" w:hAnsi="Tahoma" w:cs="Tahoma"/>
          <w:sz w:val="24"/>
          <w:szCs w:val="24"/>
        </w:rPr>
        <w:t>I'm</w:t>
      </w:r>
      <w:proofErr w:type="gramEnd"/>
      <w:r w:rsidRPr="00837FE0">
        <w:rPr>
          <w:rFonts w:ascii="Tahoma" w:hAnsi="Tahoma" w:cs="Tahoma"/>
          <w:sz w:val="24"/>
          <w:szCs w:val="24"/>
        </w:rPr>
        <w:t xml:space="preserve"> Sapna Sachdeva, a Victorian Curriculum and Assessment Authority specialist teacher in Health Education and Personal &amp; Social Capability, including Respectful Relationships. </w:t>
      </w:r>
    </w:p>
    <w:p w:rsidR="00837FE0" w:rsidRDefault="00837FE0" w:rsidP="00837FE0">
      <w:pPr>
        <w:rPr>
          <w:rFonts w:ascii="Tahoma" w:hAnsi="Tahoma" w:cs="Tahoma"/>
          <w:sz w:val="24"/>
          <w:szCs w:val="24"/>
        </w:rPr>
      </w:pPr>
      <w:r w:rsidRPr="00837FE0">
        <w:rPr>
          <w:rFonts w:ascii="Tahoma" w:hAnsi="Tahoma" w:cs="Tahoma"/>
          <w:sz w:val="24"/>
          <w:szCs w:val="24"/>
        </w:rPr>
        <w:t xml:space="preserve">Today, I will be sharing some ideas with </w:t>
      </w:r>
      <w:proofErr w:type="gramStart"/>
      <w:r w:rsidRPr="00837FE0">
        <w:rPr>
          <w:rFonts w:ascii="Tahoma" w:hAnsi="Tahoma" w:cs="Tahoma"/>
          <w:sz w:val="24"/>
          <w:szCs w:val="24"/>
        </w:rPr>
        <w:t>you around two-way planning and how to include this in your planning of teaching and learning</w:t>
      </w:r>
      <w:proofErr w:type="gramEnd"/>
      <w:r w:rsidRPr="00837FE0">
        <w:rPr>
          <w:rFonts w:ascii="Tahoma" w:hAnsi="Tahoma" w:cs="Tahoma"/>
          <w:sz w:val="24"/>
          <w:szCs w:val="24"/>
        </w:rPr>
        <w:t xml:space="preserve">. </w:t>
      </w:r>
    </w:p>
    <w:p w:rsidR="00C13AF5" w:rsidRDefault="00C13AF5" w:rsidP="00C13AF5">
      <w:pPr>
        <w:ind w:right="2953"/>
        <w:rPr>
          <w:rFonts w:ascii="Tahoma" w:hAnsi="Tahoma" w:cs="Tahoma"/>
          <w:b/>
          <w:color w:val="4F81BD"/>
          <w:sz w:val="24"/>
          <w:szCs w:val="24"/>
        </w:rPr>
      </w:pPr>
      <w:r w:rsidRPr="00CA4426">
        <w:rPr>
          <w:rFonts w:ascii="Tahoma" w:hAnsi="Tahoma" w:cs="Tahoma"/>
          <w:b/>
          <w:color w:val="4F81BD"/>
          <w:sz w:val="24"/>
          <w:szCs w:val="24"/>
        </w:rPr>
        <w:t xml:space="preserve">Slide 1 – </w:t>
      </w:r>
      <w:r>
        <w:rPr>
          <w:rFonts w:ascii="Tahoma" w:hAnsi="Tahoma" w:cs="Tahoma"/>
          <w:b/>
          <w:color w:val="4F81BD"/>
          <w:sz w:val="24"/>
          <w:szCs w:val="24"/>
        </w:rPr>
        <w:t>Introduction</w:t>
      </w:r>
    </w:p>
    <w:p w:rsidR="006B7146" w:rsidRDefault="00484692" w:rsidP="003939F0">
      <w:pPr>
        <w:ind w:right="2953"/>
        <w:rPr>
          <w:rFonts w:ascii="Tahoma" w:hAnsi="Tahoma" w:cs="Tahoma"/>
          <w:b/>
          <w:color w:val="4F81BD"/>
          <w:sz w:val="24"/>
          <w:szCs w:val="24"/>
        </w:rPr>
      </w:pPr>
      <w:r w:rsidRPr="00CA4426">
        <w:rPr>
          <w:rFonts w:ascii="Tahoma" w:hAnsi="Tahoma" w:cs="Tahoma"/>
          <w:b/>
          <w:color w:val="4F81BD"/>
          <w:sz w:val="24"/>
          <w:szCs w:val="24"/>
        </w:rPr>
        <w:t xml:space="preserve">Slide </w:t>
      </w:r>
      <w:proofErr w:type="gramStart"/>
      <w:r w:rsidRPr="00CA4426">
        <w:rPr>
          <w:rFonts w:ascii="Tahoma" w:hAnsi="Tahoma" w:cs="Tahoma"/>
          <w:b/>
          <w:color w:val="4F81BD"/>
          <w:sz w:val="24"/>
          <w:szCs w:val="24"/>
        </w:rPr>
        <w:t>2</w:t>
      </w:r>
      <w:proofErr w:type="gramEnd"/>
      <w:r w:rsidR="003335B0" w:rsidRPr="00CA4426">
        <w:rPr>
          <w:rFonts w:ascii="Tahoma" w:hAnsi="Tahoma" w:cs="Tahoma"/>
          <w:b/>
          <w:color w:val="4F81BD"/>
          <w:sz w:val="24"/>
          <w:szCs w:val="24"/>
        </w:rPr>
        <w:t xml:space="preserve"> –</w:t>
      </w:r>
      <w:r w:rsidR="006B7146" w:rsidRPr="00CA4426">
        <w:rPr>
          <w:rFonts w:ascii="Tahoma" w:hAnsi="Tahoma" w:cs="Tahoma"/>
          <w:b/>
          <w:color w:val="4F81BD"/>
          <w:sz w:val="24"/>
          <w:szCs w:val="24"/>
        </w:rPr>
        <w:t xml:space="preserve"> </w:t>
      </w:r>
      <w:r w:rsidR="00837FE0">
        <w:rPr>
          <w:rFonts w:ascii="Tahoma" w:hAnsi="Tahoma" w:cs="Tahoma"/>
          <w:b/>
          <w:color w:val="4F81BD"/>
          <w:sz w:val="24"/>
          <w:szCs w:val="24"/>
        </w:rPr>
        <w:t>Multiple entry points</w:t>
      </w:r>
    </w:p>
    <w:p w:rsidR="00837FE0" w:rsidRDefault="00837FE0" w:rsidP="00837FE0">
      <w:pPr>
        <w:rPr>
          <w:rFonts w:ascii="Tahoma" w:hAnsi="Tahoma" w:cs="Tahoma"/>
          <w:sz w:val="24"/>
          <w:szCs w:val="24"/>
        </w:rPr>
      </w:pPr>
      <w:r w:rsidRPr="00837FE0">
        <w:rPr>
          <w:rFonts w:ascii="Tahoma" w:hAnsi="Tahoma" w:cs="Tahoma"/>
          <w:sz w:val="24"/>
          <w:szCs w:val="24"/>
        </w:rPr>
        <w:t xml:space="preserve">There are multiple entry points in teaching and learning and assessment. </w:t>
      </w:r>
    </w:p>
    <w:p w:rsidR="00837FE0" w:rsidRDefault="00837FE0" w:rsidP="00837FE0">
      <w:pPr>
        <w:ind w:right="2953"/>
        <w:rPr>
          <w:rFonts w:ascii="Tahoma" w:hAnsi="Tahoma" w:cs="Tahoma"/>
          <w:b/>
          <w:color w:val="4F81BD"/>
          <w:sz w:val="24"/>
          <w:szCs w:val="24"/>
        </w:rPr>
      </w:pPr>
      <w:r>
        <w:rPr>
          <w:rFonts w:ascii="Tahoma" w:hAnsi="Tahoma" w:cs="Tahoma"/>
          <w:b/>
          <w:color w:val="4F81BD"/>
          <w:sz w:val="24"/>
          <w:szCs w:val="24"/>
        </w:rPr>
        <w:t xml:space="preserve">Slide </w:t>
      </w:r>
      <w:proofErr w:type="gramStart"/>
      <w:r>
        <w:rPr>
          <w:rFonts w:ascii="Tahoma" w:hAnsi="Tahoma" w:cs="Tahoma"/>
          <w:b/>
          <w:color w:val="4F81BD"/>
          <w:sz w:val="24"/>
          <w:szCs w:val="24"/>
        </w:rPr>
        <w:t>3</w:t>
      </w:r>
      <w:proofErr w:type="gramEnd"/>
      <w:r w:rsidRPr="00CA4426">
        <w:rPr>
          <w:rFonts w:ascii="Tahoma" w:hAnsi="Tahoma" w:cs="Tahoma"/>
          <w:b/>
          <w:color w:val="4F81BD"/>
          <w:sz w:val="24"/>
          <w:szCs w:val="24"/>
        </w:rPr>
        <w:t xml:space="preserve"> –</w:t>
      </w:r>
      <w:r>
        <w:rPr>
          <w:rFonts w:ascii="Tahoma" w:hAnsi="Tahoma" w:cs="Tahoma"/>
          <w:b/>
          <w:color w:val="4F81BD"/>
          <w:sz w:val="24"/>
          <w:szCs w:val="24"/>
        </w:rPr>
        <w:t xml:space="preserve"> Start with the curriculum</w:t>
      </w:r>
    </w:p>
    <w:p w:rsidR="00837FE0" w:rsidRDefault="00837FE0" w:rsidP="00837FE0">
      <w:pPr>
        <w:rPr>
          <w:rFonts w:ascii="Tahoma" w:hAnsi="Tahoma" w:cs="Tahoma"/>
          <w:sz w:val="24"/>
          <w:szCs w:val="24"/>
        </w:rPr>
      </w:pPr>
      <w:r w:rsidRPr="00837FE0">
        <w:rPr>
          <w:rFonts w:ascii="Tahoma" w:hAnsi="Tahoma" w:cs="Tahoma"/>
          <w:sz w:val="24"/>
          <w:szCs w:val="24"/>
        </w:rPr>
        <w:t xml:space="preserve">The first is to start with the curriculum and work through from there. </w:t>
      </w:r>
    </w:p>
    <w:p w:rsidR="00837FE0" w:rsidRDefault="00837FE0" w:rsidP="00837FE0">
      <w:pPr>
        <w:ind w:right="2953"/>
        <w:rPr>
          <w:rFonts w:ascii="Tahoma" w:hAnsi="Tahoma" w:cs="Tahoma"/>
          <w:b/>
          <w:color w:val="4F81BD"/>
          <w:sz w:val="24"/>
          <w:szCs w:val="24"/>
        </w:rPr>
      </w:pPr>
      <w:r>
        <w:rPr>
          <w:rFonts w:ascii="Tahoma" w:hAnsi="Tahoma" w:cs="Tahoma"/>
          <w:b/>
          <w:color w:val="4F81BD"/>
          <w:sz w:val="24"/>
          <w:szCs w:val="24"/>
        </w:rPr>
        <w:t xml:space="preserve">Slide </w:t>
      </w:r>
      <w:proofErr w:type="gramStart"/>
      <w:r>
        <w:rPr>
          <w:rFonts w:ascii="Tahoma" w:hAnsi="Tahoma" w:cs="Tahoma"/>
          <w:b/>
          <w:color w:val="4F81BD"/>
          <w:sz w:val="24"/>
          <w:szCs w:val="24"/>
        </w:rPr>
        <w:t>4</w:t>
      </w:r>
      <w:proofErr w:type="gramEnd"/>
      <w:r w:rsidRPr="00CA4426">
        <w:rPr>
          <w:rFonts w:ascii="Tahoma" w:hAnsi="Tahoma" w:cs="Tahoma"/>
          <w:b/>
          <w:color w:val="4F81BD"/>
          <w:sz w:val="24"/>
          <w:szCs w:val="24"/>
        </w:rPr>
        <w:t xml:space="preserve"> –</w:t>
      </w:r>
      <w:r>
        <w:rPr>
          <w:rFonts w:ascii="Tahoma" w:hAnsi="Tahoma" w:cs="Tahoma"/>
          <w:b/>
          <w:color w:val="4F81BD"/>
          <w:sz w:val="24"/>
          <w:szCs w:val="24"/>
        </w:rPr>
        <w:t xml:space="preserve"> Or start with the teaching and learning activity</w:t>
      </w:r>
    </w:p>
    <w:p w:rsidR="00837FE0" w:rsidRDefault="00837FE0" w:rsidP="00837FE0">
      <w:pPr>
        <w:rPr>
          <w:rFonts w:ascii="Tahoma" w:hAnsi="Tahoma" w:cs="Tahoma"/>
          <w:sz w:val="24"/>
          <w:szCs w:val="24"/>
        </w:rPr>
      </w:pPr>
      <w:r w:rsidRPr="00837FE0">
        <w:rPr>
          <w:rFonts w:ascii="Tahoma" w:hAnsi="Tahoma" w:cs="Tahoma"/>
          <w:sz w:val="24"/>
          <w:szCs w:val="24"/>
        </w:rPr>
        <w:t xml:space="preserve">The second is to start with the teaching and learning activity and work back to the curriculum. </w:t>
      </w:r>
    </w:p>
    <w:p w:rsidR="00837FE0" w:rsidRDefault="00837FE0" w:rsidP="00837FE0">
      <w:pPr>
        <w:rPr>
          <w:rFonts w:ascii="Tahoma" w:hAnsi="Tahoma" w:cs="Tahoma"/>
          <w:sz w:val="24"/>
          <w:szCs w:val="24"/>
        </w:rPr>
      </w:pPr>
      <w:r w:rsidRPr="00837FE0">
        <w:rPr>
          <w:rFonts w:ascii="Tahoma" w:hAnsi="Tahoma" w:cs="Tahoma"/>
          <w:sz w:val="24"/>
          <w:szCs w:val="24"/>
        </w:rPr>
        <w:t xml:space="preserve">This is the case when you have a resource like Resilience, Rights and Respectful Relationships. In this case, you have to ensure the activity does actually align to the content descriptions and achievement standards. </w:t>
      </w:r>
    </w:p>
    <w:p w:rsidR="00837FE0" w:rsidRDefault="00837FE0" w:rsidP="00837FE0">
      <w:pPr>
        <w:ind w:right="2953"/>
        <w:rPr>
          <w:rFonts w:ascii="Tahoma" w:hAnsi="Tahoma" w:cs="Tahoma"/>
          <w:b/>
          <w:color w:val="4F81BD"/>
          <w:sz w:val="24"/>
          <w:szCs w:val="24"/>
        </w:rPr>
      </w:pPr>
      <w:r>
        <w:rPr>
          <w:rFonts w:ascii="Tahoma" w:hAnsi="Tahoma" w:cs="Tahoma"/>
          <w:b/>
          <w:color w:val="4F81BD"/>
          <w:sz w:val="24"/>
          <w:szCs w:val="24"/>
        </w:rPr>
        <w:t xml:space="preserve">Slide </w:t>
      </w:r>
      <w:proofErr w:type="gramStart"/>
      <w:r>
        <w:rPr>
          <w:rFonts w:ascii="Tahoma" w:hAnsi="Tahoma" w:cs="Tahoma"/>
          <w:b/>
          <w:color w:val="4F81BD"/>
          <w:sz w:val="24"/>
          <w:szCs w:val="24"/>
        </w:rPr>
        <w:t>5</w:t>
      </w:r>
      <w:proofErr w:type="gramEnd"/>
      <w:r w:rsidRPr="00CA4426">
        <w:rPr>
          <w:rFonts w:ascii="Tahoma" w:hAnsi="Tahoma" w:cs="Tahoma"/>
          <w:b/>
          <w:color w:val="4F81BD"/>
          <w:sz w:val="24"/>
          <w:szCs w:val="24"/>
        </w:rPr>
        <w:t xml:space="preserve"> –</w:t>
      </w:r>
      <w:r>
        <w:rPr>
          <w:rFonts w:ascii="Tahoma" w:hAnsi="Tahoma" w:cs="Tahoma"/>
          <w:b/>
          <w:color w:val="4F81BD"/>
          <w:sz w:val="24"/>
          <w:szCs w:val="24"/>
        </w:rPr>
        <w:t xml:space="preserve"> T</w:t>
      </w:r>
      <w:r w:rsidR="000513BF">
        <w:rPr>
          <w:rFonts w:ascii="Tahoma" w:hAnsi="Tahoma" w:cs="Tahoma"/>
          <w:b/>
          <w:color w:val="4F81BD"/>
          <w:sz w:val="24"/>
          <w:szCs w:val="24"/>
        </w:rPr>
        <w:t>racing connections t</w:t>
      </w:r>
      <w:r>
        <w:rPr>
          <w:rFonts w:ascii="Tahoma" w:hAnsi="Tahoma" w:cs="Tahoma"/>
          <w:b/>
          <w:color w:val="4F81BD"/>
          <w:sz w:val="24"/>
          <w:szCs w:val="24"/>
        </w:rPr>
        <w:t>emplate</w:t>
      </w:r>
    </w:p>
    <w:p w:rsidR="00837FE0" w:rsidRDefault="00837FE0" w:rsidP="00837FE0">
      <w:pPr>
        <w:rPr>
          <w:rFonts w:ascii="Tahoma" w:hAnsi="Tahoma" w:cs="Tahoma"/>
          <w:sz w:val="24"/>
          <w:szCs w:val="24"/>
        </w:rPr>
      </w:pPr>
      <w:r w:rsidRPr="00837FE0">
        <w:rPr>
          <w:rFonts w:ascii="Tahoma" w:hAnsi="Tahoma" w:cs="Tahoma"/>
          <w:sz w:val="24"/>
          <w:szCs w:val="24"/>
        </w:rPr>
        <w:t xml:space="preserve">Here is a template example to support your two-way planning. It allows you to identify the level, curriculum area, content descriptions, </w:t>
      </w:r>
      <w:proofErr w:type="gramStart"/>
      <w:r w:rsidRPr="00837FE0">
        <w:rPr>
          <w:rFonts w:ascii="Tahoma" w:hAnsi="Tahoma" w:cs="Tahoma"/>
          <w:sz w:val="24"/>
          <w:szCs w:val="24"/>
        </w:rPr>
        <w:t>achievement</w:t>
      </w:r>
      <w:proofErr w:type="gramEnd"/>
      <w:r w:rsidRPr="00837FE0">
        <w:rPr>
          <w:rFonts w:ascii="Tahoma" w:hAnsi="Tahoma" w:cs="Tahoma"/>
          <w:sz w:val="24"/>
          <w:szCs w:val="24"/>
        </w:rPr>
        <w:t xml:space="preserve"> standards, focus area if working within the Health &amp; PE curriculum, teaching and learning activities, and assessment strategy. Remember, it is just one way of planning. </w:t>
      </w:r>
      <w:proofErr w:type="gramStart"/>
      <w:r w:rsidRPr="00837FE0">
        <w:rPr>
          <w:rFonts w:ascii="Tahoma" w:hAnsi="Tahoma" w:cs="Tahoma"/>
          <w:sz w:val="24"/>
          <w:szCs w:val="24"/>
        </w:rPr>
        <w:t>It's</w:t>
      </w:r>
      <w:proofErr w:type="gramEnd"/>
      <w:r w:rsidRPr="00837FE0">
        <w:rPr>
          <w:rFonts w:ascii="Tahoma" w:hAnsi="Tahoma" w:cs="Tahoma"/>
          <w:sz w:val="24"/>
          <w:szCs w:val="24"/>
        </w:rPr>
        <w:t xml:space="preserve"> the elements that are important, not the format. </w:t>
      </w:r>
    </w:p>
    <w:p w:rsidR="00837FE0" w:rsidRDefault="00837FE0" w:rsidP="00837FE0">
      <w:pPr>
        <w:rPr>
          <w:rFonts w:ascii="Tahoma" w:hAnsi="Tahoma" w:cs="Tahoma"/>
          <w:sz w:val="24"/>
          <w:szCs w:val="24"/>
        </w:rPr>
      </w:pPr>
    </w:p>
    <w:p w:rsidR="00837FE0" w:rsidRDefault="00837FE0" w:rsidP="00837FE0">
      <w:pPr>
        <w:rPr>
          <w:rFonts w:ascii="Tahoma" w:hAnsi="Tahoma" w:cs="Tahoma"/>
          <w:sz w:val="24"/>
          <w:szCs w:val="24"/>
        </w:rPr>
      </w:pPr>
    </w:p>
    <w:p w:rsidR="00837FE0" w:rsidRDefault="00837FE0" w:rsidP="00837FE0">
      <w:pPr>
        <w:rPr>
          <w:rFonts w:ascii="Tahoma" w:hAnsi="Tahoma" w:cs="Tahoma"/>
          <w:sz w:val="24"/>
          <w:szCs w:val="24"/>
        </w:rPr>
      </w:pPr>
    </w:p>
    <w:p w:rsidR="00837FE0" w:rsidRDefault="00837FE0" w:rsidP="00837FE0">
      <w:pPr>
        <w:ind w:right="2953"/>
        <w:rPr>
          <w:rFonts w:ascii="Tahoma" w:hAnsi="Tahoma" w:cs="Tahoma"/>
          <w:b/>
          <w:color w:val="4F81BD"/>
          <w:sz w:val="24"/>
          <w:szCs w:val="24"/>
        </w:rPr>
      </w:pPr>
      <w:r>
        <w:rPr>
          <w:rFonts w:ascii="Tahoma" w:hAnsi="Tahoma" w:cs="Tahoma"/>
          <w:b/>
          <w:color w:val="4F81BD"/>
          <w:sz w:val="24"/>
          <w:szCs w:val="24"/>
        </w:rPr>
        <w:t>Slide 6</w:t>
      </w:r>
      <w:r w:rsidRPr="00CA4426">
        <w:rPr>
          <w:rFonts w:ascii="Tahoma" w:hAnsi="Tahoma" w:cs="Tahoma"/>
          <w:b/>
          <w:color w:val="4F81BD"/>
          <w:sz w:val="24"/>
          <w:szCs w:val="24"/>
        </w:rPr>
        <w:t xml:space="preserve"> –</w:t>
      </w:r>
      <w:r>
        <w:rPr>
          <w:rFonts w:ascii="Tahoma" w:hAnsi="Tahoma" w:cs="Tahoma"/>
          <w:b/>
          <w:color w:val="4F81BD"/>
          <w:sz w:val="24"/>
          <w:szCs w:val="24"/>
        </w:rPr>
        <w:t xml:space="preserve"> Activity</w:t>
      </w:r>
    </w:p>
    <w:p w:rsidR="00837FE0" w:rsidRDefault="00837FE0" w:rsidP="00837FE0">
      <w:pPr>
        <w:rPr>
          <w:rFonts w:ascii="Tahoma" w:hAnsi="Tahoma" w:cs="Tahoma"/>
          <w:sz w:val="24"/>
          <w:szCs w:val="24"/>
        </w:rPr>
      </w:pPr>
      <w:r w:rsidRPr="00837FE0">
        <w:rPr>
          <w:rFonts w:ascii="Tahoma" w:hAnsi="Tahoma" w:cs="Tahoma"/>
          <w:sz w:val="24"/>
          <w:szCs w:val="24"/>
        </w:rPr>
        <w:t xml:space="preserve">To help you work through to ensure the RRRR activities align with content descriptions and achievement standards, we will work through an activity and an example of how to align them to the curriculum. </w:t>
      </w:r>
    </w:p>
    <w:p w:rsidR="00837FE0" w:rsidRDefault="00837FE0" w:rsidP="00837FE0">
      <w:pPr>
        <w:rPr>
          <w:rFonts w:ascii="Tahoma" w:hAnsi="Tahoma" w:cs="Tahoma"/>
          <w:sz w:val="24"/>
          <w:szCs w:val="24"/>
        </w:rPr>
      </w:pPr>
      <w:r w:rsidRPr="00837FE0">
        <w:rPr>
          <w:rFonts w:ascii="Tahoma" w:hAnsi="Tahoma" w:cs="Tahoma"/>
          <w:sz w:val="24"/>
          <w:szCs w:val="24"/>
        </w:rPr>
        <w:t xml:space="preserve">We will be working through the 'What Is Gender-Based Violence?' activity </w:t>
      </w:r>
      <w:r>
        <w:rPr>
          <w:rFonts w:ascii="Tahoma" w:hAnsi="Tahoma" w:cs="Tahoma"/>
          <w:sz w:val="24"/>
          <w:szCs w:val="24"/>
        </w:rPr>
        <w:t>from the Lev</w:t>
      </w:r>
      <w:r w:rsidRPr="001137DD">
        <w:rPr>
          <w:rFonts w:ascii="Tahoma" w:hAnsi="Tahoma" w:cs="Tahoma"/>
          <w:sz w:val="24"/>
          <w:szCs w:val="24"/>
        </w:rPr>
        <w:t xml:space="preserve">el 3–4 RRRR topic 8, Positive Gender Relations. This activity </w:t>
      </w:r>
      <w:proofErr w:type="gramStart"/>
      <w:r w:rsidRPr="001137DD">
        <w:rPr>
          <w:rFonts w:ascii="Tahoma" w:hAnsi="Tahoma" w:cs="Tahoma"/>
          <w:sz w:val="24"/>
          <w:szCs w:val="24"/>
        </w:rPr>
        <w:t>can be accessed</w:t>
      </w:r>
      <w:proofErr w:type="gramEnd"/>
      <w:r w:rsidRPr="001137DD">
        <w:rPr>
          <w:rFonts w:ascii="Tahoma" w:hAnsi="Tahoma" w:cs="Tahoma"/>
          <w:sz w:val="24"/>
          <w:szCs w:val="24"/>
        </w:rPr>
        <w:t xml:space="preserve"> off FUSE. You can download the transcript to access the hyperlink.</w:t>
      </w:r>
      <w:r w:rsidRPr="00837FE0">
        <w:rPr>
          <w:rFonts w:ascii="Tahoma" w:hAnsi="Tahoma" w:cs="Tahoma"/>
          <w:sz w:val="24"/>
          <w:szCs w:val="24"/>
        </w:rPr>
        <w:t xml:space="preserve"> </w:t>
      </w:r>
    </w:p>
    <w:p w:rsidR="001137DD" w:rsidRDefault="001137DD" w:rsidP="00837FE0">
      <w:pPr>
        <w:rPr>
          <w:rFonts w:ascii="Tahoma" w:hAnsi="Tahoma" w:cs="Tahoma"/>
          <w:sz w:val="24"/>
          <w:szCs w:val="24"/>
        </w:rPr>
      </w:pPr>
      <w:r>
        <w:rPr>
          <w:rFonts w:ascii="Tahoma" w:hAnsi="Tahoma" w:cs="Tahoma"/>
          <w:sz w:val="24"/>
          <w:szCs w:val="24"/>
        </w:rPr>
        <w:t xml:space="preserve">[i.e. </w:t>
      </w:r>
      <w:hyperlink r:id="rId11" w:history="1">
        <w:r w:rsidRPr="001137DD">
          <w:rPr>
            <w:rStyle w:val="Hyperlink"/>
            <w:rFonts w:ascii="Tahoma" w:hAnsi="Tahoma" w:cs="Tahoma"/>
            <w:sz w:val="24"/>
            <w:szCs w:val="24"/>
          </w:rPr>
          <w:t>http://fuse.education.vic.gov.au/ResourcePackage/ByPin?pin=2JZX4R</w:t>
        </w:r>
      </w:hyperlink>
      <w:r>
        <w:rPr>
          <w:rFonts w:ascii="Tahoma" w:hAnsi="Tahoma" w:cs="Tahoma"/>
          <w:sz w:val="24"/>
          <w:szCs w:val="24"/>
        </w:rPr>
        <w:t>]</w:t>
      </w:r>
    </w:p>
    <w:p w:rsidR="00B73964" w:rsidRDefault="00B73964" w:rsidP="00B73964">
      <w:pPr>
        <w:ind w:right="2953"/>
        <w:rPr>
          <w:rFonts w:ascii="Tahoma" w:hAnsi="Tahoma" w:cs="Tahoma"/>
          <w:b/>
          <w:color w:val="4F81BD"/>
          <w:sz w:val="24"/>
          <w:szCs w:val="24"/>
        </w:rPr>
      </w:pPr>
      <w:r>
        <w:rPr>
          <w:rFonts w:ascii="Tahoma" w:hAnsi="Tahoma" w:cs="Tahoma"/>
          <w:b/>
          <w:color w:val="4F81BD"/>
          <w:sz w:val="24"/>
          <w:szCs w:val="24"/>
        </w:rPr>
        <w:t xml:space="preserve">Slide </w:t>
      </w:r>
      <w:proofErr w:type="gramStart"/>
      <w:r>
        <w:rPr>
          <w:rFonts w:ascii="Tahoma" w:hAnsi="Tahoma" w:cs="Tahoma"/>
          <w:b/>
          <w:color w:val="4F81BD"/>
          <w:sz w:val="24"/>
          <w:szCs w:val="24"/>
        </w:rPr>
        <w:t>7</w:t>
      </w:r>
      <w:proofErr w:type="gramEnd"/>
      <w:r w:rsidRPr="00CA4426">
        <w:rPr>
          <w:rFonts w:ascii="Tahoma" w:hAnsi="Tahoma" w:cs="Tahoma"/>
          <w:b/>
          <w:color w:val="4F81BD"/>
          <w:sz w:val="24"/>
          <w:szCs w:val="24"/>
        </w:rPr>
        <w:t xml:space="preserve"> –</w:t>
      </w:r>
      <w:r>
        <w:rPr>
          <w:rFonts w:ascii="Tahoma" w:hAnsi="Tahoma" w:cs="Tahoma"/>
          <w:b/>
          <w:color w:val="4F81BD"/>
          <w:sz w:val="24"/>
          <w:szCs w:val="24"/>
        </w:rPr>
        <w:t xml:space="preserve"> What is gender-based violence?</w:t>
      </w:r>
    </w:p>
    <w:p w:rsidR="00B73964" w:rsidRDefault="00837FE0" w:rsidP="00837FE0">
      <w:pPr>
        <w:rPr>
          <w:rFonts w:ascii="Tahoma" w:hAnsi="Tahoma" w:cs="Tahoma"/>
          <w:sz w:val="24"/>
          <w:szCs w:val="24"/>
        </w:rPr>
      </w:pPr>
      <w:r w:rsidRPr="00837FE0">
        <w:rPr>
          <w:rFonts w:ascii="Tahoma" w:hAnsi="Tahoma" w:cs="Tahoma"/>
          <w:sz w:val="24"/>
          <w:szCs w:val="24"/>
        </w:rPr>
        <w:t xml:space="preserve">To start this activity, it is important </w:t>
      </w:r>
      <w:proofErr w:type="gramStart"/>
      <w:r w:rsidRPr="00837FE0">
        <w:rPr>
          <w:rFonts w:ascii="Tahoma" w:hAnsi="Tahoma" w:cs="Tahoma"/>
          <w:sz w:val="24"/>
          <w:szCs w:val="24"/>
        </w:rPr>
        <w:t>to first ask</w:t>
      </w:r>
      <w:proofErr w:type="gramEnd"/>
      <w:r w:rsidRPr="00837FE0">
        <w:rPr>
          <w:rFonts w:ascii="Tahoma" w:hAnsi="Tahoma" w:cs="Tahoma"/>
          <w:sz w:val="24"/>
          <w:szCs w:val="24"/>
        </w:rPr>
        <w:t xml:space="preserve"> your students to define 'gender-based violence'. </w:t>
      </w:r>
    </w:p>
    <w:p w:rsidR="00B73964" w:rsidRDefault="00837FE0" w:rsidP="00837FE0">
      <w:pPr>
        <w:rPr>
          <w:rFonts w:ascii="Tahoma" w:hAnsi="Tahoma" w:cs="Tahoma"/>
          <w:sz w:val="24"/>
          <w:szCs w:val="24"/>
        </w:rPr>
      </w:pPr>
      <w:r w:rsidRPr="00837FE0">
        <w:rPr>
          <w:rFonts w:ascii="Tahoma" w:hAnsi="Tahoma" w:cs="Tahoma"/>
          <w:sz w:val="24"/>
          <w:szCs w:val="24"/>
        </w:rPr>
        <w:t xml:space="preserve">There are many ways to do this in a non-confrontational manner. You may ask, "What happens when someone is mean to you?" and ask questions that allow </w:t>
      </w:r>
      <w:proofErr w:type="gramStart"/>
      <w:r w:rsidRPr="00837FE0">
        <w:rPr>
          <w:rFonts w:ascii="Tahoma" w:hAnsi="Tahoma" w:cs="Tahoma"/>
          <w:sz w:val="24"/>
          <w:szCs w:val="24"/>
        </w:rPr>
        <w:t>them</w:t>
      </w:r>
      <w:proofErr w:type="gramEnd"/>
      <w:r w:rsidRPr="00837FE0">
        <w:rPr>
          <w:rFonts w:ascii="Tahoma" w:hAnsi="Tahoma" w:cs="Tahoma"/>
          <w:sz w:val="24"/>
          <w:szCs w:val="24"/>
        </w:rPr>
        <w:t xml:space="preserve"> to make their own connections of violence. </w:t>
      </w:r>
    </w:p>
    <w:p w:rsidR="00B73964" w:rsidRDefault="00837FE0" w:rsidP="00837FE0">
      <w:pPr>
        <w:rPr>
          <w:rFonts w:ascii="Tahoma" w:hAnsi="Tahoma" w:cs="Tahoma"/>
          <w:sz w:val="24"/>
          <w:szCs w:val="24"/>
        </w:rPr>
      </w:pPr>
      <w:r w:rsidRPr="00837FE0">
        <w:rPr>
          <w:rFonts w:ascii="Tahoma" w:hAnsi="Tahoma" w:cs="Tahoma"/>
          <w:sz w:val="24"/>
          <w:szCs w:val="24"/>
        </w:rPr>
        <w:t xml:space="preserve">To support you in doing this activity, think about how YOU would define 'gender-based violence'. </w:t>
      </w:r>
    </w:p>
    <w:p w:rsidR="00B73964" w:rsidRDefault="00837FE0" w:rsidP="00837FE0">
      <w:pPr>
        <w:rPr>
          <w:rFonts w:ascii="Tahoma" w:hAnsi="Tahoma" w:cs="Tahoma"/>
          <w:sz w:val="24"/>
          <w:szCs w:val="24"/>
        </w:rPr>
      </w:pPr>
      <w:r w:rsidRPr="00837FE0">
        <w:rPr>
          <w:rFonts w:ascii="Tahoma" w:hAnsi="Tahoma" w:cs="Tahoma"/>
          <w:sz w:val="24"/>
          <w:szCs w:val="24"/>
        </w:rPr>
        <w:t xml:space="preserve">You can pause the video at any time to have reflection time. </w:t>
      </w:r>
    </w:p>
    <w:p w:rsidR="00B73964" w:rsidRPr="00B73964" w:rsidRDefault="00B73964" w:rsidP="00B73964">
      <w:pPr>
        <w:ind w:right="2953"/>
        <w:rPr>
          <w:rFonts w:ascii="Tahoma" w:hAnsi="Tahoma" w:cs="Tahoma"/>
          <w:b/>
          <w:color w:val="4F81BD"/>
          <w:sz w:val="24"/>
          <w:szCs w:val="24"/>
        </w:rPr>
      </w:pPr>
      <w:r>
        <w:rPr>
          <w:rFonts w:ascii="Tahoma" w:hAnsi="Tahoma" w:cs="Tahoma"/>
          <w:b/>
          <w:color w:val="4F81BD"/>
          <w:sz w:val="24"/>
          <w:szCs w:val="24"/>
        </w:rPr>
        <w:t>Slide 8</w:t>
      </w:r>
      <w:r w:rsidRPr="00CA4426">
        <w:rPr>
          <w:rFonts w:ascii="Tahoma" w:hAnsi="Tahoma" w:cs="Tahoma"/>
          <w:b/>
          <w:color w:val="4F81BD"/>
          <w:sz w:val="24"/>
          <w:szCs w:val="24"/>
        </w:rPr>
        <w:t xml:space="preserve"> –</w:t>
      </w:r>
      <w:r>
        <w:rPr>
          <w:rFonts w:ascii="Tahoma" w:hAnsi="Tahoma" w:cs="Tahoma"/>
          <w:b/>
          <w:color w:val="4F81BD"/>
          <w:sz w:val="24"/>
          <w:szCs w:val="24"/>
        </w:rPr>
        <w:t xml:space="preserve"> Scenario</w:t>
      </w:r>
    </w:p>
    <w:p w:rsidR="00B73964" w:rsidRDefault="00837FE0" w:rsidP="00837FE0">
      <w:pPr>
        <w:rPr>
          <w:rFonts w:ascii="Tahoma" w:hAnsi="Tahoma" w:cs="Tahoma"/>
          <w:sz w:val="24"/>
          <w:szCs w:val="24"/>
        </w:rPr>
      </w:pPr>
      <w:r w:rsidRPr="00837FE0">
        <w:rPr>
          <w:rFonts w:ascii="Tahoma" w:hAnsi="Tahoma" w:cs="Tahoma"/>
          <w:sz w:val="24"/>
          <w:szCs w:val="24"/>
        </w:rPr>
        <w:t xml:space="preserve">Read the scenario and reflect on the key parts. </w:t>
      </w:r>
    </w:p>
    <w:p w:rsidR="00B73964" w:rsidRPr="00B73964" w:rsidRDefault="00B73964" w:rsidP="00B73964">
      <w:pPr>
        <w:ind w:right="2953"/>
        <w:rPr>
          <w:rFonts w:ascii="Tahoma" w:hAnsi="Tahoma" w:cs="Tahoma"/>
          <w:b/>
          <w:color w:val="4F81BD"/>
          <w:sz w:val="24"/>
          <w:szCs w:val="24"/>
        </w:rPr>
      </w:pPr>
      <w:r>
        <w:rPr>
          <w:rFonts w:ascii="Tahoma" w:hAnsi="Tahoma" w:cs="Tahoma"/>
          <w:b/>
          <w:color w:val="4F81BD"/>
          <w:sz w:val="24"/>
          <w:szCs w:val="24"/>
        </w:rPr>
        <w:t xml:space="preserve">Slide 9 </w:t>
      </w:r>
      <w:r w:rsidRPr="00CA4426">
        <w:rPr>
          <w:rFonts w:ascii="Tahoma" w:hAnsi="Tahoma" w:cs="Tahoma"/>
          <w:b/>
          <w:color w:val="4F81BD"/>
          <w:sz w:val="24"/>
          <w:szCs w:val="24"/>
        </w:rPr>
        <w:t>–</w:t>
      </w:r>
      <w:r>
        <w:rPr>
          <w:rFonts w:ascii="Tahoma" w:hAnsi="Tahoma" w:cs="Tahoma"/>
          <w:b/>
          <w:color w:val="4F81BD"/>
          <w:sz w:val="24"/>
          <w:szCs w:val="24"/>
        </w:rPr>
        <w:t xml:space="preserve"> Template</w:t>
      </w:r>
    </w:p>
    <w:p w:rsidR="000513BF" w:rsidRDefault="00837FE0" w:rsidP="00837FE0">
      <w:pPr>
        <w:rPr>
          <w:rFonts w:ascii="Tahoma" w:hAnsi="Tahoma" w:cs="Tahoma"/>
          <w:sz w:val="24"/>
          <w:szCs w:val="24"/>
        </w:rPr>
      </w:pPr>
      <w:r w:rsidRPr="00837FE0">
        <w:rPr>
          <w:rFonts w:ascii="Tahoma" w:hAnsi="Tahoma" w:cs="Tahoma"/>
          <w:sz w:val="24"/>
          <w:szCs w:val="24"/>
        </w:rPr>
        <w:t xml:space="preserve">Now, using this template, have a think about how you would fill it in from the victim's point of view, the perpetrator's point of view and the witness's point of view. </w:t>
      </w:r>
    </w:p>
    <w:p w:rsidR="000513BF" w:rsidRPr="00B73964" w:rsidRDefault="000513BF" w:rsidP="000513BF">
      <w:pPr>
        <w:ind w:right="2953"/>
        <w:rPr>
          <w:rFonts w:ascii="Tahoma" w:hAnsi="Tahoma" w:cs="Tahoma"/>
          <w:b/>
          <w:color w:val="4F81BD"/>
          <w:sz w:val="24"/>
          <w:szCs w:val="24"/>
        </w:rPr>
      </w:pPr>
      <w:r>
        <w:rPr>
          <w:rFonts w:ascii="Tahoma" w:hAnsi="Tahoma" w:cs="Tahoma"/>
          <w:b/>
          <w:color w:val="4F81BD"/>
          <w:sz w:val="24"/>
          <w:szCs w:val="24"/>
        </w:rPr>
        <w:t xml:space="preserve">Slide 10 </w:t>
      </w:r>
      <w:r w:rsidRPr="00CA4426">
        <w:rPr>
          <w:rFonts w:ascii="Tahoma" w:hAnsi="Tahoma" w:cs="Tahoma"/>
          <w:b/>
          <w:color w:val="4F81BD"/>
          <w:sz w:val="24"/>
          <w:szCs w:val="24"/>
        </w:rPr>
        <w:t>–</w:t>
      </w:r>
      <w:r>
        <w:rPr>
          <w:rFonts w:ascii="Tahoma" w:hAnsi="Tahoma" w:cs="Tahoma"/>
          <w:b/>
          <w:color w:val="4F81BD"/>
          <w:sz w:val="24"/>
          <w:szCs w:val="24"/>
        </w:rPr>
        <w:t xml:space="preserve"> Tracking connections template</w:t>
      </w:r>
    </w:p>
    <w:p w:rsidR="000513BF" w:rsidRDefault="00837FE0" w:rsidP="00837FE0">
      <w:pPr>
        <w:rPr>
          <w:rFonts w:ascii="Tahoma" w:hAnsi="Tahoma" w:cs="Tahoma"/>
          <w:sz w:val="24"/>
          <w:szCs w:val="24"/>
        </w:rPr>
      </w:pPr>
      <w:r w:rsidRPr="00837FE0">
        <w:rPr>
          <w:rFonts w:ascii="Tahoma" w:hAnsi="Tahoma" w:cs="Tahoma"/>
          <w:sz w:val="24"/>
          <w:szCs w:val="24"/>
        </w:rPr>
        <w:t xml:space="preserve">Now we have completed the activity, we can fill in this form with the teaching and learning activity and work backwards to the curriculum. </w:t>
      </w:r>
    </w:p>
    <w:p w:rsidR="000513BF" w:rsidRPr="001F01A1" w:rsidRDefault="001F01A1" w:rsidP="001F01A1">
      <w:pPr>
        <w:ind w:right="2953"/>
        <w:rPr>
          <w:rFonts w:ascii="Tahoma" w:hAnsi="Tahoma" w:cs="Tahoma"/>
          <w:b/>
          <w:color w:val="4F81BD"/>
          <w:sz w:val="24"/>
          <w:szCs w:val="24"/>
        </w:rPr>
      </w:pPr>
      <w:r>
        <w:rPr>
          <w:rFonts w:ascii="Tahoma" w:hAnsi="Tahoma" w:cs="Tahoma"/>
          <w:b/>
          <w:color w:val="4F81BD"/>
          <w:sz w:val="24"/>
          <w:szCs w:val="24"/>
        </w:rPr>
        <w:t xml:space="preserve">Slide 11 </w:t>
      </w:r>
      <w:r w:rsidRPr="00CA4426">
        <w:rPr>
          <w:rFonts w:ascii="Tahoma" w:hAnsi="Tahoma" w:cs="Tahoma"/>
          <w:b/>
          <w:color w:val="4F81BD"/>
          <w:sz w:val="24"/>
          <w:szCs w:val="24"/>
        </w:rPr>
        <w:t>–</w:t>
      </w:r>
      <w:r>
        <w:rPr>
          <w:rFonts w:ascii="Tahoma" w:hAnsi="Tahoma" w:cs="Tahoma"/>
          <w:b/>
          <w:color w:val="4F81BD"/>
          <w:sz w:val="24"/>
          <w:szCs w:val="24"/>
        </w:rPr>
        <w:t xml:space="preserve"> Tracking connections example</w:t>
      </w:r>
    </w:p>
    <w:p w:rsidR="001F01A1" w:rsidRDefault="00837FE0" w:rsidP="00837FE0">
      <w:pPr>
        <w:rPr>
          <w:rFonts w:ascii="Tahoma" w:hAnsi="Tahoma" w:cs="Tahoma"/>
          <w:sz w:val="24"/>
          <w:szCs w:val="24"/>
        </w:rPr>
      </w:pPr>
      <w:r w:rsidRPr="00837FE0">
        <w:rPr>
          <w:rFonts w:ascii="Tahoma" w:hAnsi="Tahoma" w:cs="Tahoma"/>
          <w:sz w:val="24"/>
          <w:szCs w:val="24"/>
        </w:rPr>
        <w:t xml:space="preserve">Here is an example using different activities from the RRRR resource. </w:t>
      </w:r>
    </w:p>
    <w:p w:rsidR="001F01A1" w:rsidRPr="001F01A1" w:rsidRDefault="001F01A1" w:rsidP="001F01A1">
      <w:pPr>
        <w:ind w:right="2953"/>
        <w:rPr>
          <w:rFonts w:ascii="Tahoma" w:hAnsi="Tahoma" w:cs="Tahoma"/>
          <w:b/>
          <w:color w:val="4F81BD"/>
          <w:sz w:val="24"/>
          <w:szCs w:val="24"/>
        </w:rPr>
      </w:pPr>
      <w:r>
        <w:rPr>
          <w:rFonts w:ascii="Tahoma" w:hAnsi="Tahoma" w:cs="Tahoma"/>
          <w:b/>
          <w:color w:val="4F81BD"/>
          <w:sz w:val="24"/>
          <w:szCs w:val="24"/>
        </w:rPr>
        <w:t xml:space="preserve">Slide 12 </w:t>
      </w:r>
      <w:r w:rsidRPr="00CA4426">
        <w:rPr>
          <w:rFonts w:ascii="Tahoma" w:hAnsi="Tahoma" w:cs="Tahoma"/>
          <w:b/>
          <w:color w:val="4F81BD"/>
          <w:sz w:val="24"/>
          <w:szCs w:val="24"/>
        </w:rPr>
        <w:t>–</w:t>
      </w:r>
      <w:r>
        <w:rPr>
          <w:rFonts w:ascii="Tahoma" w:hAnsi="Tahoma" w:cs="Tahoma"/>
          <w:b/>
          <w:color w:val="4F81BD"/>
          <w:sz w:val="24"/>
          <w:szCs w:val="24"/>
        </w:rPr>
        <w:t xml:space="preserve"> Next steps</w:t>
      </w:r>
    </w:p>
    <w:p w:rsidR="001F01A1" w:rsidRDefault="00837FE0" w:rsidP="00837FE0">
      <w:pPr>
        <w:rPr>
          <w:rFonts w:ascii="Tahoma" w:hAnsi="Tahoma" w:cs="Tahoma"/>
          <w:sz w:val="24"/>
          <w:szCs w:val="24"/>
        </w:rPr>
      </w:pPr>
      <w:r w:rsidRPr="00837FE0">
        <w:rPr>
          <w:rFonts w:ascii="Tahoma" w:hAnsi="Tahoma" w:cs="Tahoma"/>
          <w:sz w:val="24"/>
          <w:szCs w:val="24"/>
        </w:rPr>
        <w:t xml:space="preserve">Now that </w:t>
      </w:r>
      <w:proofErr w:type="gramStart"/>
      <w:r w:rsidRPr="00837FE0">
        <w:rPr>
          <w:rFonts w:ascii="Tahoma" w:hAnsi="Tahoma" w:cs="Tahoma"/>
          <w:sz w:val="24"/>
          <w:szCs w:val="24"/>
        </w:rPr>
        <w:t>you've got</w:t>
      </w:r>
      <w:proofErr w:type="gramEnd"/>
      <w:r w:rsidRPr="00837FE0">
        <w:rPr>
          <w:rFonts w:ascii="Tahoma" w:hAnsi="Tahoma" w:cs="Tahoma"/>
          <w:sz w:val="24"/>
          <w:szCs w:val="24"/>
        </w:rPr>
        <w:t xml:space="preserve"> a guide, you can use the resource to align the activities with the curriculum as they work for your setting and your cohort of students. </w:t>
      </w:r>
    </w:p>
    <w:p w:rsidR="001F01A1" w:rsidRDefault="00837FE0" w:rsidP="00837FE0">
      <w:pPr>
        <w:rPr>
          <w:rFonts w:ascii="Tahoma" w:hAnsi="Tahoma" w:cs="Tahoma"/>
          <w:sz w:val="24"/>
          <w:szCs w:val="24"/>
        </w:rPr>
      </w:pPr>
      <w:r w:rsidRPr="00837FE0">
        <w:rPr>
          <w:rFonts w:ascii="Tahoma" w:hAnsi="Tahoma" w:cs="Tahoma"/>
          <w:sz w:val="24"/>
          <w:szCs w:val="24"/>
        </w:rPr>
        <w:t xml:space="preserve">Remember, there are many resources on the VCAA website that you can use to support your teaching and planning and assessment in schools, so please do take the time to have a look. </w:t>
      </w:r>
    </w:p>
    <w:p w:rsidR="00837FE0" w:rsidRPr="00837FE0" w:rsidRDefault="00837FE0" w:rsidP="00837FE0">
      <w:pPr>
        <w:rPr>
          <w:rFonts w:ascii="Tahoma" w:hAnsi="Tahoma" w:cs="Tahoma"/>
          <w:sz w:val="24"/>
          <w:szCs w:val="24"/>
        </w:rPr>
      </w:pPr>
      <w:r w:rsidRPr="00837FE0">
        <w:rPr>
          <w:rFonts w:ascii="Tahoma" w:hAnsi="Tahoma" w:cs="Tahoma"/>
          <w:sz w:val="24"/>
          <w:szCs w:val="24"/>
        </w:rPr>
        <w:lastRenderedPageBreak/>
        <w:t xml:space="preserve">Thank you for listening to this two-way planning module.  </w:t>
      </w:r>
    </w:p>
    <w:sectPr w:rsidR="00837FE0" w:rsidRPr="00837FE0" w:rsidSect="009754E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D7" w:rsidRDefault="003C3AD7" w:rsidP="009754E1">
      <w:pPr>
        <w:spacing w:after="0" w:line="240" w:lineRule="auto"/>
      </w:pPr>
      <w:r>
        <w:separator/>
      </w:r>
    </w:p>
  </w:endnote>
  <w:endnote w:type="continuationSeparator" w:id="0">
    <w:p w:rsidR="003C3AD7" w:rsidRDefault="003C3AD7" w:rsidP="0097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E1" w:rsidRDefault="009754E1" w:rsidP="009754E1">
    <w:pPr>
      <w:pStyle w:val="Footer"/>
    </w:pPr>
    <w:r w:rsidRPr="00A22F6B">
      <w:rPr>
        <w:rFonts w:ascii="Arial" w:hAnsi="Arial" w:cs="Arial"/>
        <w:color w:val="009ED0"/>
      </w:rPr>
      <w:t>©</w:t>
    </w:r>
    <w:hyperlink r:id="rId1" w:history="1">
      <w:r w:rsidRPr="00A22F6B">
        <w:rPr>
          <w:rStyle w:val="Hyperlink"/>
          <w:rFonts w:ascii="Arial" w:hAnsi="Arial" w:cs="Arial"/>
          <w:color w:val="009ED0"/>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D7" w:rsidRDefault="003C3AD7" w:rsidP="009754E1">
      <w:pPr>
        <w:spacing w:after="0" w:line="240" w:lineRule="auto"/>
      </w:pPr>
      <w:r>
        <w:separator/>
      </w:r>
    </w:p>
  </w:footnote>
  <w:footnote w:type="continuationSeparator" w:id="0">
    <w:p w:rsidR="003C3AD7" w:rsidRDefault="003C3AD7" w:rsidP="0097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E1" w:rsidRDefault="00637596" w:rsidP="004C7F04">
    <w:pPr>
      <w:pStyle w:val="Header"/>
      <w:tabs>
        <w:tab w:val="clear" w:pos="4513"/>
        <w:tab w:val="clear" w:pos="9026"/>
        <w:tab w:val="left" w:pos="8196"/>
      </w:tabs>
      <w:ind w:firstLine="6480"/>
    </w:pPr>
    <w:r>
      <w:rPr>
        <w:noProof/>
        <w:lang w:eastAsia="en-AU"/>
      </w:rPr>
      <w:drawing>
        <wp:anchor distT="0" distB="0" distL="114300" distR="114300" simplePos="0" relativeHeight="251657216" behindDoc="1" locked="0" layoutInCell="1" allowOverlap="1">
          <wp:simplePos x="0" y="0"/>
          <wp:positionH relativeFrom="column">
            <wp:posOffset>-295275</wp:posOffset>
          </wp:positionH>
          <wp:positionV relativeFrom="paragraph">
            <wp:posOffset>-165100</wp:posOffset>
          </wp:positionV>
          <wp:extent cx="2979420" cy="392430"/>
          <wp:effectExtent l="0" t="0" r="0" b="0"/>
          <wp:wrapNone/>
          <wp:docPr id="1" name="Picture 1" descr="Description: 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column">
            <wp:posOffset>3785870</wp:posOffset>
          </wp:positionH>
          <wp:positionV relativeFrom="paragraph">
            <wp:posOffset>-184150</wp:posOffset>
          </wp:positionV>
          <wp:extent cx="2162175" cy="409575"/>
          <wp:effectExtent l="0" t="0" r="0" b="0"/>
          <wp:wrapSquare wrapText="bothSides"/>
          <wp:docPr id="2" name="Picture 2" descr="Title: Victorian Curriculum and Assessment Authority logo - Description: 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Victorian Curriculum and Assessment Authority logo - Description: The logo and registered trademark of Victorian Curriculum and Assessment Authori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FC7"/>
    <w:multiLevelType w:val="hybridMultilevel"/>
    <w:tmpl w:val="FCF4AF4A"/>
    <w:lvl w:ilvl="0" w:tplc="4B7A0E52">
      <w:start w:val="1"/>
      <w:numFmt w:val="bullet"/>
      <w:lvlText w:val="■"/>
      <w:lvlJc w:val="left"/>
      <w:pPr>
        <w:tabs>
          <w:tab w:val="num" w:pos="720"/>
        </w:tabs>
        <w:ind w:left="720" w:hanging="360"/>
      </w:pPr>
      <w:rPr>
        <w:rFonts w:ascii="Franklin Gothic Book" w:hAnsi="Franklin Gothic Book" w:hint="default"/>
      </w:rPr>
    </w:lvl>
    <w:lvl w:ilvl="1" w:tplc="AEB28BB4" w:tentative="1">
      <w:start w:val="1"/>
      <w:numFmt w:val="bullet"/>
      <w:lvlText w:val="■"/>
      <w:lvlJc w:val="left"/>
      <w:pPr>
        <w:tabs>
          <w:tab w:val="num" w:pos="1440"/>
        </w:tabs>
        <w:ind w:left="1440" w:hanging="360"/>
      </w:pPr>
      <w:rPr>
        <w:rFonts w:ascii="Franklin Gothic Book" w:hAnsi="Franklin Gothic Book" w:hint="default"/>
      </w:rPr>
    </w:lvl>
    <w:lvl w:ilvl="2" w:tplc="0DC80E34" w:tentative="1">
      <w:start w:val="1"/>
      <w:numFmt w:val="bullet"/>
      <w:lvlText w:val="■"/>
      <w:lvlJc w:val="left"/>
      <w:pPr>
        <w:tabs>
          <w:tab w:val="num" w:pos="2160"/>
        </w:tabs>
        <w:ind w:left="2160" w:hanging="360"/>
      </w:pPr>
      <w:rPr>
        <w:rFonts w:ascii="Franklin Gothic Book" w:hAnsi="Franklin Gothic Book" w:hint="default"/>
      </w:rPr>
    </w:lvl>
    <w:lvl w:ilvl="3" w:tplc="531023D8" w:tentative="1">
      <w:start w:val="1"/>
      <w:numFmt w:val="bullet"/>
      <w:lvlText w:val="■"/>
      <w:lvlJc w:val="left"/>
      <w:pPr>
        <w:tabs>
          <w:tab w:val="num" w:pos="2880"/>
        </w:tabs>
        <w:ind w:left="2880" w:hanging="360"/>
      </w:pPr>
      <w:rPr>
        <w:rFonts w:ascii="Franklin Gothic Book" w:hAnsi="Franklin Gothic Book" w:hint="default"/>
      </w:rPr>
    </w:lvl>
    <w:lvl w:ilvl="4" w:tplc="989E5B3A" w:tentative="1">
      <w:start w:val="1"/>
      <w:numFmt w:val="bullet"/>
      <w:lvlText w:val="■"/>
      <w:lvlJc w:val="left"/>
      <w:pPr>
        <w:tabs>
          <w:tab w:val="num" w:pos="3600"/>
        </w:tabs>
        <w:ind w:left="3600" w:hanging="360"/>
      </w:pPr>
      <w:rPr>
        <w:rFonts w:ascii="Franklin Gothic Book" w:hAnsi="Franklin Gothic Book" w:hint="default"/>
      </w:rPr>
    </w:lvl>
    <w:lvl w:ilvl="5" w:tplc="3C3EAA0A" w:tentative="1">
      <w:start w:val="1"/>
      <w:numFmt w:val="bullet"/>
      <w:lvlText w:val="■"/>
      <w:lvlJc w:val="left"/>
      <w:pPr>
        <w:tabs>
          <w:tab w:val="num" w:pos="4320"/>
        </w:tabs>
        <w:ind w:left="4320" w:hanging="360"/>
      </w:pPr>
      <w:rPr>
        <w:rFonts w:ascii="Franklin Gothic Book" w:hAnsi="Franklin Gothic Book" w:hint="default"/>
      </w:rPr>
    </w:lvl>
    <w:lvl w:ilvl="6" w:tplc="DC2E7A0E" w:tentative="1">
      <w:start w:val="1"/>
      <w:numFmt w:val="bullet"/>
      <w:lvlText w:val="■"/>
      <w:lvlJc w:val="left"/>
      <w:pPr>
        <w:tabs>
          <w:tab w:val="num" w:pos="5040"/>
        </w:tabs>
        <w:ind w:left="5040" w:hanging="360"/>
      </w:pPr>
      <w:rPr>
        <w:rFonts w:ascii="Franklin Gothic Book" w:hAnsi="Franklin Gothic Book" w:hint="default"/>
      </w:rPr>
    </w:lvl>
    <w:lvl w:ilvl="7" w:tplc="E61EB870" w:tentative="1">
      <w:start w:val="1"/>
      <w:numFmt w:val="bullet"/>
      <w:lvlText w:val="■"/>
      <w:lvlJc w:val="left"/>
      <w:pPr>
        <w:tabs>
          <w:tab w:val="num" w:pos="5760"/>
        </w:tabs>
        <w:ind w:left="5760" w:hanging="360"/>
      </w:pPr>
      <w:rPr>
        <w:rFonts w:ascii="Franklin Gothic Book" w:hAnsi="Franklin Gothic Book" w:hint="default"/>
      </w:rPr>
    </w:lvl>
    <w:lvl w:ilvl="8" w:tplc="249A9D70"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9E47FEF"/>
    <w:multiLevelType w:val="multilevel"/>
    <w:tmpl w:val="8C0C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B6155"/>
    <w:multiLevelType w:val="multilevel"/>
    <w:tmpl w:val="6688E5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F1BC3"/>
    <w:multiLevelType w:val="multilevel"/>
    <w:tmpl w:val="5FE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30CE1"/>
    <w:multiLevelType w:val="multilevel"/>
    <w:tmpl w:val="6688E5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93EA5"/>
    <w:multiLevelType w:val="multilevel"/>
    <w:tmpl w:val="0D86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64C1D"/>
    <w:multiLevelType w:val="multilevel"/>
    <w:tmpl w:val="954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15D17"/>
    <w:multiLevelType w:val="multilevel"/>
    <w:tmpl w:val="0568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42BA3"/>
    <w:multiLevelType w:val="multilevel"/>
    <w:tmpl w:val="6DCE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36D36"/>
    <w:multiLevelType w:val="multilevel"/>
    <w:tmpl w:val="DBFCE73C"/>
    <w:lvl w:ilvl="0">
      <w:start w:val="1"/>
      <w:numFmt w:val="decimal"/>
      <w:lvlText w:val="%1."/>
      <w:lvlJc w:val="left"/>
      <w:pPr>
        <w:tabs>
          <w:tab w:val="num" w:pos="2145"/>
        </w:tabs>
        <w:ind w:left="2145" w:hanging="360"/>
      </w:pPr>
    </w:lvl>
    <w:lvl w:ilvl="1" w:tentative="1">
      <w:start w:val="1"/>
      <w:numFmt w:val="decimal"/>
      <w:lvlText w:val="%2."/>
      <w:lvlJc w:val="left"/>
      <w:pPr>
        <w:tabs>
          <w:tab w:val="num" w:pos="2865"/>
        </w:tabs>
        <w:ind w:left="2865" w:hanging="360"/>
      </w:pPr>
    </w:lvl>
    <w:lvl w:ilvl="2" w:tentative="1">
      <w:start w:val="1"/>
      <w:numFmt w:val="decimal"/>
      <w:lvlText w:val="%3."/>
      <w:lvlJc w:val="left"/>
      <w:pPr>
        <w:tabs>
          <w:tab w:val="num" w:pos="3585"/>
        </w:tabs>
        <w:ind w:left="3585" w:hanging="360"/>
      </w:pPr>
    </w:lvl>
    <w:lvl w:ilvl="3" w:tentative="1">
      <w:start w:val="1"/>
      <w:numFmt w:val="decimal"/>
      <w:lvlText w:val="%4."/>
      <w:lvlJc w:val="left"/>
      <w:pPr>
        <w:tabs>
          <w:tab w:val="num" w:pos="4305"/>
        </w:tabs>
        <w:ind w:left="4305" w:hanging="360"/>
      </w:pPr>
    </w:lvl>
    <w:lvl w:ilvl="4" w:tentative="1">
      <w:start w:val="1"/>
      <w:numFmt w:val="decimal"/>
      <w:lvlText w:val="%5."/>
      <w:lvlJc w:val="left"/>
      <w:pPr>
        <w:tabs>
          <w:tab w:val="num" w:pos="5025"/>
        </w:tabs>
        <w:ind w:left="5025" w:hanging="360"/>
      </w:pPr>
    </w:lvl>
    <w:lvl w:ilvl="5" w:tentative="1">
      <w:start w:val="1"/>
      <w:numFmt w:val="decimal"/>
      <w:lvlText w:val="%6."/>
      <w:lvlJc w:val="left"/>
      <w:pPr>
        <w:tabs>
          <w:tab w:val="num" w:pos="5745"/>
        </w:tabs>
        <w:ind w:left="5745" w:hanging="360"/>
      </w:pPr>
    </w:lvl>
    <w:lvl w:ilvl="6" w:tentative="1">
      <w:start w:val="1"/>
      <w:numFmt w:val="decimal"/>
      <w:lvlText w:val="%7."/>
      <w:lvlJc w:val="left"/>
      <w:pPr>
        <w:tabs>
          <w:tab w:val="num" w:pos="6465"/>
        </w:tabs>
        <w:ind w:left="6465" w:hanging="360"/>
      </w:pPr>
    </w:lvl>
    <w:lvl w:ilvl="7" w:tentative="1">
      <w:start w:val="1"/>
      <w:numFmt w:val="decimal"/>
      <w:lvlText w:val="%8."/>
      <w:lvlJc w:val="left"/>
      <w:pPr>
        <w:tabs>
          <w:tab w:val="num" w:pos="7185"/>
        </w:tabs>
        <w:ind w:left="7185" w:hanging="360"/>
      </w:pPr>
    </w:lvl>
    <w:lvl w:ilvl="8" w:tentative="1">
      <w:start w:val="1"/>
      <w:numFmt w:val="decimal"/>
      <w:lvlText w:val="%9."/>
      <w:lvlJc w:val="left"/>
      <w:pPr>
        <w:tabs>
          <w:tab w:val="num" w:pos="7905"/>
        </w:tabs>
        <w:ind w:left="7905" w:hanging="360"/>
      </w:pPr>
    </w:lvl>
  </w:abstractNum>
  <w:abstractNum w:abstractNumId="10" w15:restartNumberingAfterBreak="0">
    <w:nsid w:val="5F6F73E8"/>
    <w:multiLevelType w:val="multilevel"/>
    <w:tmpl w:val="6688E5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9456D"/>
    <w:multiLevelType w:val="multilevel"/>
    <w:tmpl w:val="32A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C59AB"/>
    <w:multiLevelType w:val="hybridMultilevel"/>
    <w:tmpl w:val="8750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F3E97"/>
    <w:multiLevelType w:val="hybridMultilevel"/>
    <w:tmpl w:val="F12EF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2"/>
  </w:num>
  <w:num w:numId="5">
    <w:abstractNumId w:val="5"/>
  </w:num>
  <w:num w:numId="6">
    <w:abstractNumId w:val="10"/>
  </w:num>
  <w:num w:numId="7">
    <w:abstractNumId w:val="4"/>
  </w:num>
  <w:num w:numId="8">
    <w:abstractNumId w:val="9"/>
  </w:num>
  <w:num w:numId="9">
    <w:abstractNumId w:val="1"/>
  </w:num>
  <w:num w:numId="10">
    <w:abstractNumId w:val="11"/>
  </w:num>
  <w:num w:numId="11">
    <w:abstractNumId w:val="6"/>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99"/>
    <w:rsid w:val="000020B0"/>
    <w:rsid w:val="00011DB5"/>
    <w:rsid w:val="00017302"/>
    <w:rsid w:val="000513BF"/>
    <w:rsid w:val="00051D3B"/>
    <w:rsid w:val="00054427"/>
    <w:rsid w:val="0007241C"/>
    <w:rsid w:val="00087A12"/>
    <w:rsid w:val="000B4FB5"/>
    <w:rsid w:val="000C3DA0"/>
    <w:rsid w:val="001137DD"/>
    <w:rsid w:val="00126855"/>
    <w:rsid w:val="00170914"/>
    <w:rsid w:val="001847F3"/>
    <w:rsid w:val="001A4794"/>
    <w:rsid w:val="001C2A89"/>
    <w:rsid w:val="001F01A1"/>
    <w:rsid w:val="00202B2F"/>
    <w:rsid w:val="00213A66"/>
    <w:rsid w:val="00226087"/>
    <w:rsid w:val="00230047"/>
    <w:rsid w:val="002728EE"/>
    <w:rsid w:val="00273289"/>
    <w:rsid w:val="00297651"/>
    <w:rsid w:val="00307143"/>
    <w:rsid w:val="00322165"/>
    <w:rsid w:val="003335B0"/>
    <w:rsid w:val="00346185"/>
    <w:rsid w:val="00381771"/>
    <w:rsid w:val="003939F0"/>
    <w:rsid w:val="003B5E0D"/>
    <w:rsid w:val="003C3AD7"/>
    <w:rsid w:val="0041488D"/>
    <w:rsid w:val="00420743"/>
    <w:rsid w:val="00450267"/>
    <w:rsid w:val="004629B5"/>
    <w:rsid w:val="00484692"/>
    <w:rsid w:val="004C7F04"/>
    <w:rsid w:val="004E7621"/>
    <w:rsid w:val="004E7E20"/>
    <w:rsid w:val="00517DA0"/>
    <w:rsid w:val="00550009"/>
    <w:rsid w:val="00553195"/>
    <w:rsid w:val="005814BE"/>
    <w:rsid w:val="00593D24"/>
    <w:rsid w:val="00595AA3"/>
    <w:rsid w:val="006166AF"/>
    <w:rsid w:val="00637596"/>
    <w:rsid w:val="00686AA0"/>
    <w:rsid w:val="006973F3"/>
    <w:rsid w:val="006B288E"/>
    <w:rsid w:val="006B35F2"/>
    <w:rsid w:val="006B7146"/>
    <w:rsid w:val="006C64AC"/>
    <w:rsid w:val="007073B1"/>
    <w:rsid w:val="00727BC4"/>
    <w:rsid w:val="0075037B"/>
    <w:rsid w:val="00753E29"/>
    <w:rsid w:val="007628A0"/>
    <w:rsid w:val="00837FE0"/>
    <w:rsid w:val="00843138"/>
    <w:rsid w:val="00861189"/>
    <w:rsid w:val="008B58C6"/>
    <w:rsid w:val="008C66FC"/>
    <w:rsid w:val="00947926"/>
    <w:rsid w:val="009754E1"/>
    <w:rsid w:val="0099601F"/>
    <w:rsid w:val="009A2797"/>
    <w:rsid w:val="009C1B90"/>
    <w:rsid w:val="00A56013"/>
    <w:rsid w:val="00AC1789"/>
    <w:rsid w:val="00AE56C4"/>
    <w:rsid w:val="00B73964"/>
    <w:rsid w:val="00BA1D28"/>
    <w:rsid w:val="00BA2283"/>
    <w:rsid w:val="00BC0898"/>
    <w:rsid w:val="00BE53A2"/>
    <w:rsid w:val="00BF2D99"/>
    <w:rsid w:val="00C01609"/>
    <w:rsid w:val="00C13AF5"/>
    <w:rsid w:val="00C25226"/>
    <w:rsid w:val="00C60E69"/>
    <w:rsid w:val="00C60FF4"/>
    <w:rsid w:val="00CA4426"/>
    <w:rsid w:val="00CB17FB"/>
    <w:rsid w:val="00CC1DCD"/>
    <w:rsid w:val="00CD4FDD"/>
    <w:rsid w:val="00CE62E8"/>
    <w:rsid w:val="00CE6555"/>
    <w:rsid w:val="00CF130F"/>
    <w:rsid w:val="00CF55B6"/>
    <w:rsid w:val="00D14B42"/>
    <w:rsid w:val="00D1695A"/>
    <w:rsid w:val="00D877B6"/>
    <w:rsid w:val="00DB6FEA"/>
    <w:rsid w:val="00DE2448"/>
    <w:rsid w:val="00DE3D05"/>
    <w:rsid w:val="00E10AC2"/>
    <w:rsid w:val="00E824D8"/>
    <w:rsid w:val="00EC25FF"/>
    <w:rsid w:val="00EE1340"/>
    <w:rsid w:val="00EE77B5"/>
    <w:rsid w:val="00EF546A"/>
    <w:rsid w:val="00F275EF"/>
    <w:rsid w:val="00F50CB4"/>
    <w:rsid w:val="00F527A8"/>
    <w:rsid w:val="00F75847"/>
    <w:rsid w:val="00FD0267"/>
    <w:rsid w:val="00FD4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6DA8B45-7336-49C6-A157-282BAAA0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1695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1695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E2448"/>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89"/>
    <w:pPr>
      <w:ind w:left="720"/>
      <w:contextualSpacing/>
    </w:pPr>
  </w:style>
  <w:style w:type="paragraph" w:styleId="NormalWeb">
    <w:name w:val="Normal (Web)"/>
    <w:basedOn w:val="Normal"/>
    <w:uiPriority w:val="99"/>
    <w:unhideWhenUsed/>
    <w:rsid w:val="00DE244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DE2448"/>
  </w:style>
  <w:style w:type="character" w:styleId="Hyperlink">
    <w:name w:val="Hyperlink"/>
    <w:uiPriority w:val="99"/>
    <w:unhideWhenUsed/>
    <w:rsid w:val="00DE2448"/>
    <w:rPr>
      <w:color w:val="0000FF"/>
      <w:u w:val="single"/>
    </w:rPr>
  </w:style>
  <w:style w:type="character" w:customStyle="1" w:styleId="Heading3Char">
    <w:name w:val="Heading 3 Char"/>
    <w:link w:val="Heading3"/>
    <w:uiPriority w:val="9"/>
    <w:rsid w:val="00DE2448"/>
    <w:rPr>
      <w:rFonts w:ascii="Calibri Light" w:eastAsia="Times New Roman" w:hAnsi="Calibri Light" w:cs="Times New Roman"/>
      <w:color w:val="1F4D78"/>
      <w:sz w:val="24"/>
      <w:szCs w:val="24"/>
    </w:rPr>
  </w:style>
  <w:style w:type="character" w:styleId="Strong">
    <w:name w:val="Strong"/>
    <w:uiPriority w:val="22"/>
    <w:qFormat/>
    <w:rsid w:val="00DE2448"/>
    <w:rPr>
      <w:b/>
      <w:bCs/>
    </w:rPr>
  </w:style>
  <w:style w:type="character" w:styleId="Emphasis">
    <w:name w:val="Emphasis"/>
    <w:uiPriority w:val="20"/>
    <w:qFormat/>
    <w:rsid w:val="00CC1DCD"/>
    <w:rPr>
      <w:i/>
      <w:iCs/>
    </w:rPr>
  </w:style>
  <w:style w:type="character" w:styleId="CommentReference">
    <w:name w:val="annotation reference"/>
    <w:uiPriority w:val="99"/>
    <w:semiHidden/>
    <w:unhideWhenUsed/>
    <w:rsid w:val="00861189"/>
    <w:rPr>
      <w:sz w:val="16"/>
      <w:szCs w:val="16"/>
    </w:rPr>
  </w:style>
  <w:style w:type="paragraph" w:styleId="CommentText">
    <w:name w:val="annotation text"/>
    <w:basedOn w:val="Normal"/>
    <w:link w:val="CommentTextChar"/>
    <w:uiPriority w:val="99"/>
    <w:unhideWhenUsed/>
    <w:rsid w:val="00861189"/>
    <w:pPr>
      <w:spacing w:line="240" w:lineRule="auto"/>
    </w:pPr>
    <w:rPr>
      <w:sz w:val="20"/>
      <w:szCs w:val="20"/>
    </w:rPr>
  </w:style>
  <w:style w:type="character" w:customStyle="1" w:styleId="CommentTextChar">
    <w:name w:val="Comment Text Char"/>
    <w:link w:val="CommentText"/>
    <w:uiPriority w:val="99"/>
    <w:rsid w:val="00861189"/>
    <w:rPr>
      <w:sz w:val="20"/>
      <w:szCs w:val="20"/>
    </w:rPr>
  </w:style>
  <w:style w:type="paragraph" w:styleId="CommentSubject">
    <w:name w:val="annotation subject"/>
    <w:basedOn w:val="CommentText"/>
    <w:next w:val="CommentText"/>
    <w:link w:val="CommentSubjectChar"/>
    <w:uiPriority w:val="99"/>
    <w:semiHidden/>
    <w:unhideWhenUsed/>
    <w:rsid w:val="00861189"/>
    <w:rPr>
      <w:b/>
      <w:bCs/>
    </w:rPr>
  </w:style>
  <w:style w:type="character" w:customStyle="1" w:styleId="CommentSubjectChar">
    <w:name w:val="Comment Subject Char"/>
    <w:link w:val="CommentSubject"/>
    <w:uiPriority w:val="99"/>
    <w:semiHidden/>
    <w:rsid w:val="00861189"/>
    <w:rPr>
      <w:b/>
      <w:bCs/>
      <w:sz w:val="20"/>
      <w:szCs w:val="20"/>
    </w:rPr>
  </w:style>
  <w:style w:type="paragraph" w:styleId="BalloonText">
    <w:name w:val="Balloon Text"/>
    <w:basedOn w:val="Normal"/>
    <w:link w:val="BalloonTextChar"/>
    <w:uiPriority w:val="99"/>
    <w:semiHidden/>
    <w:unhideWhenUsed/>
    <w:rsid w:val="00861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1189"/>
    <w:rPr>
      <w:rFonts w:ascii="Tahoma" w:hAnsi="Tahoma" w:cs="Tahoma"/>
      <w:sz w:val="16"/>
      <w:szCs w:val="16"/>
    </w:rPr>
  </w:style>
  <w:style w:type="paragraph" w:styleId="Header">
    <w:name w:val="header"/>
    <w:basedOn w:val="Normal"/>
    <w:link w:val="HeaderChar"/>
    <w:uiPriority w:val="99"/>
    <w:unhideWhenUsed/>
    <w:rsid w:val="00975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E1"/>
  </w:style>
  <w:style w:type="paragraph" w:styleId="Footer">
    <w:name w:val="footer"/>
    <w:basedOn w:val="Normal"/>
    <w:link w:val="FooterChar"/>
    <w:uiPriority w:val="99"/>
    <w:unhideWhenUsed/>
    <w:rsid w:val="00975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E1"/>
  </w:style>
  <w:style w:type="character" w:customStyle="1" w:styleId="Heading2Char">
    <w:name w:val="Heading 2 Char"/>
    <w:link w:val="Heading2"/>
    <w:uiPriority w:val="9"/>
    <w:rsid w:val="00D1695A"/>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D1695A"/>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11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375">
      <w:bodyDiv w:val="1"/>
      <w:marLeft w:val="0"/>
      <w:marRight w:val="0"/>
      <w:marTop w:val="0"/>
      <w:marBottom w:val="0"/>
      <w:divBdr>
        <w:top w:val="none" w:sz="0" w:space="0" w:color="auto"/>
        <w:left w:val="none" w:sz="0" w:space="0" w:color="auto"/>
        <w:bottom w:val="none" w:sz="0" w:space="0" w:color="auto"/>
        <w:right w:val="none" w:sz="0" w:space="0" w:color="auto"/>
      </w:divBdr>
      <w:divsChild>
        <w:div w:id="233584172">
          <w:marLeft w:val="605"/>
          <w:marRight w:val="0"/>
          <w:marTop w:val="200"/>
          <w:marBottom w:val="40"/>
          <w:divBdr>
            <w:top w:val="none" w:sz="0" w:space="0" w:color="auto"/>
            <w:left w:val="none" w:sz="0" w:space="0" w:color="auto"/>
            <w:bottom w:val="none" w:sz="0" w:space="0" w:color="auto"/>
            <w:right w:val="none" w:sz="0" w:space="0" w:color="auto"/>
          </w:divBdr>
        </w:div>
        <w:div w:id="1033502981">
          <w:marLeft w:val="605"/>
          <w:marRight w:val="0"/>
          <w:marTop w:val="200"/>
          <w:marBottom w:val="40"/>
          <w:divBdr>
            <w:top w:val="none" w:sz="0" w:space="0" w:color="auto"/>
            <w:left w:val="none" w:sz="0" w:space="0" w:color="auto"/>
            <w:bottom w:val="none" w:sz="0" w:space="0" w:color="auto"/>
            <w:right w:val="none" w:sz="0" w:space="0" w:color="auto"/>
          </w:divBdr>
        </w:div>
        <w:div w:id="1131828121">
          <w:marLeft w:val="605"/>
          <w:marRight w:val="0"/>
          <w:marTop w:val="200"/>
          <w:marBottom w:val="40"/>
          <w:divBdr>
            <w:top w:val="none" w:sz="0" w:space="0" w:color="auto"/>
            <w:left w:val="none" w:sz="0" w:space="0" w:color="auto"/>
            <w:bottom w:val="none" w:sz="0" w:space="0" w:color="auto"/>
            <w:right w:val="none" w:sz="0" w:space="0" w:color="auto"/>
          </w:divBdr>
        </w:div>
        <w:div w:id="1994262315">
          <w:marLeft w:val="605"/>
          <w:marRight w:val="0"/>
          <w:marTop w:val="200"/>
          <w:marBottom w:val="40"/>
          <w:divBdr>
            <w:top w:val="none" w:sz="0" w:space="0" w:color="auto"/>
            <w:left w:val="none" w:sz="0" w:space="0" w:color="auto"/>
            <w:bottom w:val="none" w:sz="0" w:space="0" w:color="auto"/>
            <w:right w:val="none" w:sz="0" w:space="0" w:color="auto"/>
          </w:divBdr>
        </w:div>
      </w:divsChild>
    </w:div>
    <w:div w:id="176775008">
      <w:bodyDiv w:val="1"/>
      <w:marLeft w:val="0"/>
      <w:marRight w:val="0"/>
      <w:marTop w:val="0"/>
      <w:marBottom w:val="0"/>
      <w:divBdr>
        <w:top w:val="none" w:sz="0" w:space="0" w:color="auto"/>
        <w:left w:val="none" w:sz="0" w:space="0" w:color="auto"/>
        <w:bottom w:val="none" w:sz="0" w:space="0" w:color="auto"/>
        <w:right w:val="none" w:sz="0" w:space="0" w:color="auto"/>
      </w:divBdr>
    </w:div>
    <w:div w:id="9039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use.education.vic.gov.au/ResourcePackage/ByPin?pin=2JZX4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a319977fc8504e09982f090ae1d7c602 xmlns="1aab662d-a6b2-42d6-996b-a574723d1ad8">
      <Terms xmlns="http://schemas.microsoft.com/office/infopath/2007/PartnerControl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39D2-7FBF-490D-9EAE-2F7CC7EDFFF0}"/>
</file>

<file path=customXml/itemProps2.xml><?xml version="1.0" encoding="utf-8"?>
<ds:datastoreItem xmlns:ds="http://schemas.openxmlformats.org/officeDocument/2006/customXml" ds:itemID="{011C340E-42DB-4EB0-8008-F1AF589DD960}">
  <ds:schemaRefs>
    <ds:schemaRef ds:uri="http://schemas.microsoft.com/sharepoint/v3/contenttype/forms"/>
  </ds:schemaRefs>
</ds:datastoreItem>
</file>

<file path=customXml/itemProps3.xml><?xml version="1.0" encoding="utf-8"?>
<ds:datastoreItem xmlns:ds="http://schemas.openxmlformats.org/officeDocument/2006/customXml" ds:itemID="{18E39ED3-A653-4332-89DA-082E3158CAE2}">
  <ds:schemaRefs>
    <ds:schemaRef ds:uri="http://www.w3.org/XML/1998/namespace"/>
    <ds:schemaRef ds:uri="http://schemas.microsoft.com/office/2006/documentManagement/types"/>
    <ds:schemaRef ds:uri="http://schemas.microsoft.com/sharepoint/v3"/>
    <ds:schemaRef ds:uri="http://schemas.microsoft.com/office/infopath/2007/PartnerControls"/>
    <ds:schemaRef ds:uri="32dcfad0-71f0-4cf6-831b-e05f27705f29"/>
    <ds:schemaRef ds:uri="http://purl.org/dc/elements/1.1/"/>
    <ds:schemaRef ds:uri="http://schemas.openxmlformats.org/package/2006/metadata/core-properties"/>
    <ds:schemaRef ds:uri="http://purl.org/dc/terms/"/>
    <ds:schemaRef ds:uri="http://schemas.microsoft.com/office/2006/metadata/properties"/>
    <ds:schemaRef ds:uri="4c60e483-8d08-4915-ba50-24b6b57890d0"/>
    <ds:schemaRef ds:uri="http://purl.org/dc/dcmitype/"/>
  </ds:schemaRefs>
</ds:datastoreItem>
</file>

<file path=customXml/itemProps4.xml><?xml version="1.0" encoding="utf-8"?>
<ds:datastoreItem xmlns:ds="http://schemas.openxmlformats.org/officeDocument/2006/customXml" ds:itemID="{C3B6EDC7-9D77-4DDA-81F0-A1C70E56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2019 Two-way Planning </vt:lpstr>
    </vt:vector>
  </TitlesOfParts>
  <Company/>
  <LinksUpToDate>false</LinksUpToDate>
  <CharactersWithSpaces>3541</CharactersWithSpaces>
  <SharedDoc>false</SharedDoc>
  <HLinks>
    <vt:vector size="12" baseType="variant">
      <vt:variant>
        <vt:i4>5177363</vt:i4>
      </vt:variant>
      <vt:variant>
        <vt:i4>0</vt:i4>
      </vt:variant>
      <vt:variant>
        <vt:i4>0</vt:i4>
      </vt:variant>
      <vt:variant>
        <vt:i4>5</vt:i4>
      </vt:variant>
      <vt:variant>
        <vt:lpwstr>http://fuse.education.vic.gov.au/ResourcePackage/ByPin?pin=2JZX4R</vt:lpwstr>
      </vt:variant>
      <vt:variant>
        <vt:lpwstr/>
      </vt:variant>
      <vt:variant>
        <vt:i4>3014779</vt:i4>
      </vt:variant>
      <vt:variant>
        <vt:i4>0</vt:i4>
      </vt:variant>
      <vt:variant>
        <vt:i4>0</vt:i4>
      </vt:variant>
      <vt:variant>
        <vt:i4>5</vt:i4>
      </vt:variant>
      <vt:variant>
        <vt:lpwstr>http://www.vcaa.vic.edu.au/Pages/aboutus/policies/policy-copyright.aspx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Two-way Planning </dc:title>
  <dc:subject/>
  <dc:creator>Victorian Curriculum and Assessment Authority</dc:creator>
  <cp:keywords>2019 Two-way Planning, transcript</cp:keywords>
  <cp:lastModifiedBy>Ng, Francis F</cp:lastModifiedBy>
  <cp:revision>3</cp:revision>
  <dcterms:created xsi:type="dcterms:W3CDTF">2019-09-01T22:36:00Z</dcterms:created>
  <dcterms:modified xsi:type="dcterms:W3CDTF">2019-09-08T22:38:00Z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